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AD37" w14:textId="77777777" w:rsidR="00187DB1" w:rsidRPr="00581DA4" w:rsidRDefault="00187DB1" w:rsidP="00187DB1">
      <w:pPr>
        <w:rPr>
          <w:rFonts w:ascii="Times New Roman" w:eastAsia="MS Mincho" w:hAnsi="Times New Roman" w:cs="Times New Roman"/>
          <w:b/>
          <w:kern w:val="2"/>
        </w:rPr>
      </w:pPr>
      <w:r w:rsidRPr="00581DA4">
        <w:rPr>
          <w:rFonts w:ascii="Times New Roman" w:eastAsia="MS Mincho" w:hAnsi="Times New Roman" w:cs="Times New Roman"/>
          <w:b/>
          <w:kern w:val="2"/>
        </w:rPr>
        <w:t>Supplementary materials and methods</w:t>
      </w:r>
    </w:p>
    <w:p w14:paraId="23AEEFEC" w14:textId="77777777" w:rsidR="00187DB1" w:rsidRPr="00581DA4" w:rsidRDefault="00187DB1" w:rsidP="00187DB1">
      <w:pPr>
        <w:rPr>
          <w:rFonts w:ascii="Times New Roman" w:eastAsia="MS Mincho" w:hAnsi="Times New Roman" w:cs="Times New Roman"/>
          <w:i/>
          <w:kern w:val="2"/>
        </w:rPr>
      </w:pPr>
    </w:p>
    <w:p w14:paraId="0936FB84" w14:textId="77777777" w:rsidR="00187DB1" w:rsidRPr="00581DA4" w:rsidRDefault="00187DB1" w:rsidP="00187DB1">
      <w:pPr>
        <w:rPr>
          <w:rFonts w:ascii="Times New Roman" w:eastAsia="MS Mincho" w:hAnsi="Times New Roman" w:cs="Times New Roman"/>
          <w:i/>
          <w:kern w:val="2"/>
        </w:rPr>
      </w:pPr>
      <w:r w:rsidRPr="00581DA4">
        <w:rPr>
          <w:rFonts w:ascii="Times New Roman" w:eastAsia="MS Mincho" w:hAnsi="Times New Roman" w:cs="Times New Roman"/>
          <w:i/>
          <w:kern w:val="2"/>
        </w:rPr>
        <w:t>Antibodies, flow cytometry and ELISA</w:t>
      </w:r>
    </w:p>
    <w:p w14:paraId="1D5BB512" w14:textId="77777777" w:rsidR="00187DB1" w:rsidRPr="00581DA4" w:rsidRDefault="00187DB1" w:rsidP="00187DB1">
      <w:pPr>
        <w:rPr>
          <w:rFonts w:ascii="Times New Roman" w:hAnsi="Times New Roman" w:cs="Times New Roman"/>
        </w:rPr>
      </w:pPr>
    </w:p>
    <w:p w14:paraId="623E3D44" w14:textId="18A9FA79" w:rsidR="00187DB1" w:rsidRPr="00581DA4" w:rsidRDefault="00187DB1" w:rsidP="00187DB1">
      <w:pPr>
        <w:widowControl w:val="0"/>
        <w:wordWrap w:val="0"/>
        <w:autoSpaceDE w:val="0"/>
        <w:autoSpaceDN w:val="0"/>
        <w:spacing w:after="200" w:line="480" w:lineRule="auto"/>
        <w:jc w:val="both"/>
        <w:rPr>
          <w:rFonts w:ascii="Times New Roman" w:eastAsia="Times New Roman" w:hAnsi="Times New Roman" w:cs="Times New Roman"/>
          <w:b/>
          <w:kern w:val="2"/>
          <w:shd w:val="clear" w:color="auto" w:fill="FFFFFF"/>
          <w:lang w:val="en-CA"/>
        </w:rPr>
      </w:pPr>
      <w:r w:rsidRPr="00581DA4">
        <w:rPr>
          <w:rFonts w:ascii="Times New Roman" w:eastAsia="MS Mincho" w:hAnsi="Times New Roman" w:cs="Times New Roman"/>
          <w:kern w:val="2"/>
        </w:rPr>
        <w:t>The following anti-human antibodies were used for cell staining: CD3-FITC or -PECy7, CD4-FITC or -PE, CD8-FITC or -PE, CD34-F</w:t>
      </w:r>
      <w:r w:rsidR="000F5A1C" w:rsidRPr="00581DA4">
        <w:rPr>
          <w:rFonts w:ascii="Times New Roman" w:eastAsia="MS Mincho" w:hAnsi="Times New Roman" w:cs="Times New Roman"/>
          <w:kern w:val="2"/>
        </w:rPr>
        <w:t xml:space="preserve">ITC or -PE, and CD33-APC or –PECy5 </w:t>
      </w:r>
      <w:r w:rsidRPr="00581DA4">
        <w:rPr>
          <w:rFonts w:ascii="Times New Roman" w:eastAsia="MS Mincho" w:hAnsi="Times New Roman" w:cs="Times New Roman"/>
          <w:kern w:val="2"/>
        </w:rPr>
        <w:t xml:space="preserve">were purchased from </w:t>
      </w:r>
      <w:proofErr w:type="spellStart"/>
      <w:r w:rsidRPr="00581DA4">
        <w:rPr>
          <w:rFonts w:ascii="Times New Roman" w:eastAsia="MS Mincho" w:hAnsi="Times New Roman" w:cs="Times New Roman"/>
          <w:kern w:val="2"/>
        </w:rPr>
        <w:t>BioLegend</w:t>
      </w:r>
      <w:proofErr w:type="spellEnd"/>
      <w:r w:rsidRPr="00581DA4">
        <w:rPr>
          <w:rFonts w:ascii="Times New Roman" w:eastAsia="MS Mincho" w:hAnsi="Times New Roman" w:cs="Times New Roman"/>
          <w:kern w:val="2"/>
        </w:rPr>
        <w:t xml:space="preserve">. Data acquisitions were performed using either BD </w:t>
      </w:r>
      <w:proofErr w:type="spellStart"/>
      <w:r w:rsidRPr="00581DA4">
        <w:rPr>
          <w:rFonts w:ascii="Times New Roman" w:eastAsia="MS Mincho" w:hAnsi="Times New Roman" w:cs="Times New Roman"/>
          <w:kern w:val="2"/>
        </w:rPr>
        <w:t>Accuri</w:t>
      </w:r>
      <w:proofErr w:type="spellEnd"/>
      <w:r w:rsidRPr="00581DA4">
        <w:rPr>
          <w:rFonts w:ascii="Times New Roman" w:eastAsia="MS Mincho" w:hAnsi="Times New Roman" w:cs="Times New Roman"/>
          <w:kern w:val="2"/>
        </w:rPr>
        <w:t xml:space="preserve"> C6 Flow cytometry (BD Bioscience) or LSRII (BD Biosciences) Flow cytometers and data were analyzed using </w:t>
      </w:r>
      <w:proofErr w:type="spellStart"/>
      <w:r w:rsidRPr="00581DA4">
        <w:rPr>
          <w:rFonts w:ascii="Times New Roman" w:eastAsia="MS Mincho" w:hAnsi="Times New Roman" w:cs="Times New Roman"/>
          <w:kern w:val="2"/>
        </w:rPr>
        <w:t>FlowJo</w:t>
      </w:r>
      <w:proofErr w:type="spellEnd"/>
      <w:r w:rsidRPr="00581DA4">
        <w:rPr>
          <w:rFonts w:ascii="Times New Roman" w:eastAsia="MS Mincho" w:hAnsi="Times New Roman" w:cs="Times New Roman"/>
          <w:kern w:val="2"/>
        </w:rPr>
        <w:t xml:space="preserve"> software (Tree Star, Inc.).</w:t>
      </w:r>
      <w:r w:rsidRPr="00581DA4">
        <w:rPr>
          <w:rFonts w:ascii="Times New Roman" w:eastAsia="Times New Roman" w:hAnsi="Times New Roman" w:cs="Times New Roman"/>
          <w:kern w:val="2"/>
          <w:shd w:val="clear" w:color="auto" w:fill="FFFFFF"/>
          <w:lang w:val="en-CA"/>
        </w:rPr>
        <w:t xml:space="preserve"> </w:t>
      </w:r>
    </w:p>
    <w:p w14:paraId="7BB42AE6" w14:textId="57243FA0" w:rsidR="0025635A" w:rsidRPr="00A721FB" w:rsidRDefault="000F5A1C" w:rsidP="00187DB1">
      <w:pPr>
        <w:widowControl w:val="0"/>
        <w:wordWrap w:val="0"/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i/>
          <w:kern w:val="2"/>
          <w:shd w:val="clear" w:color="auto" w:fill="FFFFFF"/>
        </w:rPr>
      </w:pPr>
      <w:r w:rsidRPr="00A721FB">
        <w:rPr>
          <w:rFonts w:ascii="Times New Roman" w:eastAsia="Times New Roman" w:hAnsi="Times New Roman" w:cs="Times New Roman"/>
          <w:i/>
          <w:kern w:val="2"/>
          <w:shd w:val="clear" w:color="auto" w:fill="FFFFFF"/>
        </w:rPr>
        <w:t>Cell lines</w:t>
      </w:r>
    </w:p>
    <w:p w14:paraId="1717FFC3" w14:textId="24A9B65E" w:rsidR="00BB58C1" w:rsidRPr="00581DA4" w:rsidRDefault="000F5A1C" w:rsidP="00A721F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Cell lines, AML3/OCI, MV4-11, </w:t>
      </w:r>
      <w:proofErr w:type="spellStart"/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>Jurkat</w:t>
      </w:r>
      <w:proofErr w:type="spellEnd"/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>Daudi</w:t>
      </w:r>
      <w:proofErr w:type="spellEnd"/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H460, and A549 were obtained from ATCC KG1a, EBV-LCL was obtained from The Center for Applied Genomics at The Hospital for Sick Children. AML3/OCI were cultured in alpha-MEM supplemented with 10% fetal bovine serum (FBS), EBV-LCL, </w:t>
      </w:r>
      <w:proofErr w:type="spellStart"/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>Jurkat</w:t>
      </w:r>
      <w:proofErr w:type="spellEnd"/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</w:t>
      </w:r>
      <w:proofErr w:type="spellStart"/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>Daudi</w:t>
      </w:r>
      <w:proofErr w:type="spellEnd"/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were cultured in RPMI-1640 supplemented with 10% FBS, MV4–11 was cultured in IMDM supplemented with 10% FBS, </w:t>
      </w:r>
      <w:r w:rsidRPr="00581DA4">
        <w:rPr>
          <w:rFonts w:ascii="Times New Roman" w:eastAsia="Apple SD Gothic Neo" w:hAnsi="Times New Roman" w:cs="Times New Roman"/>
          <w:color w:val="000000"/>
        </w:rPr>
        <w:t xml:space="preserve">H460 </w:t>
      </w:r>
      <w:r w:rsidR="0088012C" w:rsidRPr="00581DA4">
        <w:rPr>
          <w:rFonts w:ascii="Times New Roman" w:eastAsia="Apple SD Gothic Neo" w:hAnsi="Times New Roman" w:cs="Times New Roman"/>
          <w:color w:val="000000"/>
        </w:rPr>
        <w:t xml:space="preserve">and </w:t>
      </w:r>
      <w:r w:rsidRPr="00581DA4">
        <w:rPr>
          <w:rFonts w:ascii="Times New Roman" w:eastAsia="Apple SD Gothic Neo" w:hAnsi="Times New Roman" w:cs="Times New Roman"/>
          <w:color w:val="000000"/>
        </w:rPr>
        <w:t>A549 were maintained in DMEM/F12 supplemented with 10% FBS.</w:t>
      </w:r>
      <w:r w:rsidRPr="00581DA4">
        <w:rPr>
          <w:rFonts w:ascii="Times New Roman" w:eastAsia="Times New Roman" w:hAnsi="Times New Roman" w:cs="Times New Roman"/>
        </w:rPr>
        <w:t xml:space="preserve"> </w:t>
      </w:r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>All cell lines were incubated at 37 °C in 5% CO</w:t>
      </w:r>
      <w:r w:rsidRPr="00581DA4">
        <w:rPr>
          <w:rFonts w:ascii="Times New Roman" w:eastAsia="Times New Roman" w:hAnsi="Times New Roman" w:cs="Times New Roman"/>
          <w:color w:val="333333"/>
          <w:shd w:val="clear" w:color="auto" w:fill="FFFFFF"/>
          <w:vertAlign w:val="subscript"/>
        </w:rPr>
        <w:t>2</w:t>
      </w:r>
    </w:p>
    <w:p w14:paraId="6E077511" w14:textId="0EBB95D6" w:rsidR="00BB58C1" w:rsidRPr="00A721FB" w:rsidRDefault="00BB58C1" w:rsidP="00187DB1">
      <w:pPr>
        <w:widowControl w:val="0"/>
        <w:wordWrap w:val="0"/>
        <w:autoSpaceDE w:val="0"/>
        <w:autoSpaceDN w:val="0"/>
        <w:spacing w:line="480" w:lineRule="auto"/>
        <w:jc w:val="both"/>
        <w:rPr>
          <w:rFonts w:ascii="Times New Roman" w:hAnsi="Times New Roman" w:cs="Times New Roman"/>
          <w:i/>
          <w:lang w:val="en-CA"/>
        </w:rPr>
      </w:pPr>
      <w:r w:rsidRPr="00A721FB">
        <w:rPr>
          <w:rFonts w:ascii="Times New Roman" w:hAnsi="Times New Roman" w:cs="Times New Roman"/>
          <w:i/>
          <w:lang w:val="en-CA"/>
        </w:rPr>
        <w:t>Intracellular staining of CTLA-4</w:t>
      </w:r>
    </w:p>
    <w:p w14:paraId="4D6FFCD9" w14:textId="652B29ED" w:rsidR="00BB58C1" w:rsidRPr="00A721FB" w:rsidRDefault="00BB58C1" w:rsidP="00187DB1">
      <w:pPr>
        <w:widowControl w:val="0"/>
        <w:wordWrap w:val="0"/>
        <w:autoSpaceDE w:val="0"/>
        <w:autoSpaceDN w:val="0"/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581DA4">
        <w:rPr>
          <w:rFonts w:ascii="Times New Roman" w:hAnsi="Times New Roman" w:cs="Times New Roman"/>
          <w:i/>
          <w:lang w:val="en-CA"/>
        </w:rPr>
        <w:t xml:space="preserve">Ex vivo </w:t>
      </w:r>
      <w:r w:rsidRPr="00581DA4">
        <w:rPr>
          <w:rFonts w:ascii="Times New Roman" w:hAnsi="Times New Roman" w:cs="Times New Roman"/>
          <w:lang w:val="en-CA"/>
        </w:rPr>
        <w:t>expanded DNTs</w:t>
      </w:r>
      <w:r w:rsidR="006B7AAE">
        <w:rPr>
          <w:rFonts w:ascii="Times New Roman" w:hAnsi="Times New Roman" w:cs="Times New Roman"/>
          <w:lang w:val="en-CA"/>
        </w:rPr>
        <w:t xml:space="preserve"> </w:t>
      </w:r>
      <w:r w:rsidRPr="00581DA4">
        <w:rPr>
          <w:rFonts w:ascii="Times New Roman" w:hAnsi="Times New Roman" w:cs="Times New Roman"/>
          <w:lang w:val="en-CA"/>
        </w:rPr>
        <w:t xml:space="preserve">surfaced stained with anti-human CD3, CD4, and CD8 antibodies, and fixed and permeabilized using intracellular fixation and permeabilization </w:t>
      </w:r>
      <w:r w:rsidR="00581DA4" w:rsidRPr="00581DA4">
        <w:rPr>
          <w:rFonts w:ascii="Times New Roman" w:hAnsi="Times New Roman" w:cs="Times New Roman"/>
          <w:lang w:val="en-CA"/>
        </w:rPr>
        <w:t xml:space="preserve">kit </w:t>
      </w:r>
      <w:r w:rsidRPr="00581DA4">
        <w:rPr>
          <w:rFonts w:ascii="Times New Roman" w:hAnsi="Times New Roman" w:cs="Times New Roman"/>
          <w:lang w:val="en-CA"/>
        </w:rPr>
        <w:t>(</w:t>
      </w:r>
      <w:proofErr w:type="spellStart"/>
      <w:r w:rsidRPr="00581DA4">
        <w:rPr>
          <w:rFonts w:ascii="Times New Roman" w:hAnsi="Times New Roman" w:cs="Times New Roman"/>
          <w:lang w:val="en-CA"/>
        </w:rPr>
        <w:t>eBioscience</w:t>
      </w:r>
      <w:proofErr w:type="spellEnd"/>
      <w:r w:rsidRPr="00581DA4">
        <w:rPr>
          <w:rFonts w:ascii="Times New Roman" w:hAnsi="Times New Roman" w:cs="Times New Roman"/>
          <w:lang w:val="en-CA"/>
        </w:rPr>
        <w:t xml:space="preserve">). Permeabilized cells were stained with anti-CTLA-4 antibody (Clone L3D10) for </w:t>
      </w:r>
      <w:r w:rsidRPr="00A721FB">
        <w:rPr>
          <w:rFonts w:ascii="Times New Roman" w:hAnsi="Times New Roman" w:cs="Times New Roman"/>
          <w:lang w:val="en-CA"/>
        </w:rPr>
        <w:t>30</w:t>
      </w:r>
      <w:r w:rsidR="006B7AAE">
        <w:rPr>
          <w:rFonts w:ascii="Times New Roman" w:hAnsi="Times New Roman" w:cs="Times New Roman"/>
          <w:lang w:val="en-CA"/>
        </w:rPr>
        <w:t xml:space="preserve"> </w:t>
      </w:r>
      <w:r w:rsidRPr="00A721FB">
        <w:rPr>
          <w:rFonts w:ascii="Times New Roman" w:hAnsi="Times New Roman" w:cs="Times New Roman"/>
          <w:lang w:val="en-CA"/>
        </w:rPr>
        <w:t>mins at 4</w:t>
      </w:r>
      <w:r w:rsidR="006B7AAE">
        <w:rPr>
          <w:rFonts w:ascii="Times New Roman" w:hAnsi="Times New Roman" w:cs="Times New Roman"/>
          <w:lang w:val="en-CA"/>
        </w:rPr>
        <w:t xml:space="preserve"> </w:t>
      </w:r>
      <w:r w:rsidR="006B7AAE" w:rsidRPr="00581DA4">
        <w:rPr>
          <w:rFonts w:ascii="Times New Roman" w:eastAsia="Times New Roman" w:hAnsi="Times New Roman" w:cs="Times New Roman"/>
          <w:color w:val="333333"/>
          <w:shd w:val="clear" w:color="auto" w:fill="FFFFFF"/>
        </w:rPr>
        <w:t>°</w:t>
      </w:r>
      <w:r w:rsidRPr="00A721FB">
        <w:rPr>
          <w:rFonts w:ascii="Times New Roman" w:hAnsi="Times New Roman" w:cs="Times New Roman"/>
          <w:lang w:val="en-CA"/>
        </w:rPr>
        <w:t>C. After washing, cells were analyzed by flow cytometry.</w:t>
      </w:r>
    </w:p>
    <w:p w14:paraId="70F3F91E" w14:textId="4B18B5F7" w:rsidR="00581DA4" w:rsidRPr="00A721FB" w:rsidRDefault="00581DA4" w:rsidP="00187DB1">
      <w:pPr>
        <w:widowControl w:val="0"/>
        <w:wordWrap w:val="0"/>
        <w:autoSpaceDE w:val="0"/>
        <w:autoSpaceDN w:val="0"/>
        <w:spacing w:line="480" w:lineRule="auto"/>
        <w:jc w:val="both"/>
        <w:rPr>
          <w:rFonts w:ascii="Times New Roman" w:hAnsi="Times New Roman" w:cs="Times New Roman"/>
          <w:i/>
          <w:lang w:val="en-CA"/>
        </w:rPr>
      </w:pPr>
      <w:r w:rsidRPr="00A721FB">
        <w:rPr>
          <w:rFonts w:ascii="Times New Roman" w:hAnsi="Times New Roman" w:cs="Times New Roman"/>
          <w:i/>
          <w:lang w:val="en-CA"/>
        </w:rPr>
        <w:t>GvHD-model tissue damage scoring</w:t>
      </w:r>
    </w:p>
    <w:p w14:paraId="0E09AD2F" w14:textId="7C6C63C2" w:rsidR="00581DA4" w:rsidRPr="00A721FB" w:rsidRDefault="00581DA4" w:rsidP="00187DB1">
      <w:pPr>
        <w:widowControl w:val="0"/>
        <w:wordWrap w:val="0"/>
        <w:autoSpaceDE w:val="0"/>
        <w:autoSpaceDN w:val="0"/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A721FB">
        <w:rPr>
          <w:rFonts w:ascii="Times New Roman" w:hAnsi="Times New Roman" w:cs="Times New Roman"/>
          <w:lang w:val="en-CA"/>
        </w:rPr>
        <w:t>Mice treated with PBS, DNT, or PBMC were sacrificed and liver and lung tissues harvested, fixed in 10% formalin, and H&amp;E stained</w:t>
      </w:r>
      <w:r w:rsidR="006B7AAE">
        <w:rPr>
          <w:rFonts w:ascii="Times New Roman" w:hAnsi="Times New Roman" w:cs="Times New Roman"/>
          <w:lang w:val="en-CA"/>
        </w:rPr>
        <w:t>. Liver and lung histology slides</w:t>
      </w:r>
      <w:bookmarkStart w:id="0" w:name="_GoBack"/>
      <w:bookmarkEnd w:id="0"/>
      <w:r w:rsidRPr="00A721FB">
        <w:rPr>
          <w:rFonts w:ascii="Times New Roman" w:hAnsi="Times New Roman" w:cs="Times New Roman"/>
          <w:lang w:val="en-CA"/>
        </w:rPr>
        <w:t xml:space="preserve"> were blindly scored by a pathologist following the scoring charts</w:t>
      </w:r>
      <w:r w:rsidR="00A721FB">
        <w:rPr>
          <w:rFonts w:ascii="Times New Roman" w:hAnsi="Times New Roman" w:cs="Times New Roman"/>
          <w:lang w:val="en-CA"/>
        </w:rPr>
        <w:t xml:space="preserve"> below</w:t>
      </w:r>
      <w:r w:rsidR="006B7AAE">
        <w:rPr>
          <w:rFonts w:ascii="Times New Roman" w:hAnsi="Times New Roman" w:cs="Times New Roman"/>
          <w:lang w:val="en-CA"/>
        </w:rPr>
        <w:t>:</w:t>
      </w:r>
    </w:p>
    <w:p w14:paraId="5C6738B0" w14:textId="77777777" w:rsidR="00581DA4" w:rsidRPr="00A721FB" w:rsidRDefault="00581DA4" w:rsidP="00581DA4">
      <w:pPr>
        <w:rPr>
          <w:rFonts w:ascii="Times New Roman" w:hAnsi="Times New Roman" w:cs="Times New Roman"/>
        </w:rPr>
      </w:pPr>
      <w:r w:rsidRPr="00A721FB">
        <w:rPr>
          <w:rFonts w:ascii="Times New Roman" w:hAnsi="Times New Roman" w:cs="Times New Roman"/>
        </w:rPr>
        <w:lastRenderedPageBreak/>
        <w:t>Liver GVHD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81DA4" w:rsidRPr="00581DA4" w14:paraId="02287395" w14:textId="77777777" w:rsidTr="00D94A77">
        <w:tc>
          <w:tcPr>
            <w:tcW w:w="1771" w:type="dxa"/>
          </w:tcPr>
          <w:p w14:paraId="7EF6AAA6" w14:textId="77777777" w:rsidR="00581DA4" w:rsidRPr="00581DA4" w:rsidRDefault="00581DA4" w:rsidP="00D94A77">
            <w:pPr>
              <w:jc w:val="center"/>
            </w:pPr>
          </w:p>
        </w:tc>
        <w:tc>
          <w:tcPr>
            <w:tcW w:w="1771" w:type="dxa"/>
          </w:tcPr>
          <w:p w14:paraId="57FDA607" w14:textId="77777777" w:rsidR="00581DA4" w:rsidRPr="00581DA4" w:rsidRDefault="00581DA4" w:rsidP="00D94A77">
            <w:pPr>
              <w:jc w:val="center"/>
            </w:pPr>
            <w:r w:rsidRPr="00581DA4">
              <w:t>0</w:t>
            </w:r>
          </w:p>
        </w:tc>
        <w:tc>
          <w:tcPr>
            <w:tcW w:w="1771" w:type="dxa"/>
          </w:tcPr>
          <w:p w14:paraId="38D740F9" w14:textId="77777777" w:rsidR="00581DA4" w:rsidRPr="00581DA4" w:rsidRDefault="00581DA4" w:rsidP="00D94A77">
            <w:pPr>
              <w:jc w:val="center"/>
            </w:pPr>
            <w:r w:rsidRPr="00581DA4">
              <w:t>1</w:t>
            </w:r>
          </w:p>
        </w:tc>
        <w:tc>
          <w:tcPr>
            <w:tcW w:w="1771" w:type="dxa"/>
          </w:tcPr>
          <w:p w14:paraId="34E44F8C" w14:textId="77777777" w:rsidR="00581DA4" w:rsidRPr="00581DA4" w:rsidRDefault="00581DA4" w:rsidP="00D94A77">
            <w:pPr>
              <w:jc w:val="center"/>
            </w:pPr>
            <w:r w:rsidRPr="00581DA4">
              <w:t>2</w:t>
            </w:r>
          </w:p>
        </w:tc>
        <w:tc>
          <w:tcPr>
            <w:tcW w:w="1772" w:type="dxa"/>
          </w:tcPr>
          <w:p w14:paraId="35CC8574" w14:textId="77777777" w:rsidR="00581DA4" w:rsidRPr="00581DA4" w:rsidRDefault="00581DA4" w:rsidP="00D94A77">
            <w:pPr>
              <w:jc w:val="center"/>
            </w:pPr>
            <w:r w:rsidRPr="00581DA4">
              <w:t>3</w:t>
            </w:r>
          </w:p>
        </w:tc>
      </w:tr>
      <w:tr w:rsidR="00581DA4" w:rsidRPr="00581DA4" w14:paraId="1B7BDD7E" w14:textId="77777777" w:rsidTr="00D94A77">
        <w:tc>
          <w:tcPr>
            <w:tcW w:w="1771" w:type="dxa"/>
          </w:tcPr>
          <w:p w14:paraId="64E6D6B2" w14:textId="77777777" w:rsidR="00581DA4" w:rsidRPr="00581DA4" w:rsidRDefault="00581DA4" w:rsidP="00D94A77">
            <w:pPr>
              <w:jc w:val="center"/>
            </w:pPr>
            <w:r w:rsidRPr="00581DA4">
              <w:t xml:space="preserve">Portal inflammation </w:t>
            </w:r>
          </w:p>
        </w:tc>
        <w:tc>
          <w:tcPr>
            <w:tcW w:w="1771" w:type="dxa"/>
          </w:tcPr>
          <w:p w14:paraId="06C75405" w14:textId="77777777" w:rsidR="00581DA4" w:rsidRPr="00581DA4" w:rsidRDefault="00581DA4" w:rsidP="00D94A77">
            <w:pPr>
              <w:jc w:val="center"/>
            </w:pPr>
            <w:r w:rsidRPr="00581DA4">
              <w:t>Absent</w:t>
            </w:r>
          </w:p>
        </w:tc>
        <w:tc>
          <w:tcPr>
            <w:tcW w:w="1771" w:type="dxa"/>
          </w:tcPr>
          <w:p w14:paraId="27EEF6C5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Mild</w:t>
            </w:r>
          </w:p>
          <w:p w14:paraId="157DAAD3" w14:textId="77777777" w:rsidR="00581DA4" w:rsidRPr="00581DA4" w:rsidRDefault="00581DA4" w:rsidP="00D94A77">
            <w:pPr>
              <w:jc w:val="center"/>
            </w:pPr>
            <w:r w:rsidRPr="00581DA4">
              <w:t>Present in fewer than 30% of portal tracts</w:t>
            </w:r>
          </w:p>
        </w:tc>
        <w:tc>
          <w:tcPr>
            <w:tcW w:w="1771" w:type="dxa"/>
          </w:tcPr>
          <w:p w14:paraId="110F3087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Moderate</w:t>
            </w:r>
          </w:p>
          <w:p w14:paraId="0EC576A6" w14:textId="77777777" w:rsidR="00581DA4" w:rsidRPr="00581DA4" w:rsidRDefault="00581DA4" w:rsidP="00D94A77">
            <w:pPr>
              <w:jc w:val="center"/>
            </w:pPr>
            <w:r w:rsidRPr="00581DA4">
              <w:t>Present in more 30%-50% of portal tracts</w:t>
            </w:r>
          </w:p>
        </w:tc>
        <w:tc>
          <w:tcPr>
            <w:tcW w:w="1772" w:type="dxa"/>
          </w:tcPr>
          <w:p w14:paraId="48657C58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Severe</w:t>
            </w:r>
          </w:p>
          <w:p w14:paraId="78602517" w14:textId="77777777" w:rsidR="00581DA4" w:rsidRPr="00581DA4" w:rsidRDefault="00581DA4" w:rsidP="00D94A77">
            <w:pPr>
              <w:jc w:val="center"/>
            </w:pPr>
            <w:r w:rsidRPr="00581DA4">
              <w:t>Present in majority (more than 50%) of portal tracts</w:t>
            </w:r>
          </w:p>
        </w:tc>
      </w:tr>
      <w:tr w:rsidR="00581DA4" w:rsidRPr="00581DA4" w14:paraId="43C24319" w14:textId="77777777" w:rsidTr="00D94A77">
        <w:tc>
          <w:tcPr>
            <w:tcW w:w="1771" w:type="dxa"/>
          </w:tcPr>
          <w:p w14:paraId="79ECE13E" w14:textId="77777777" w:rsidR="00581DA4" w:rsidRPr="00581DA4" w:rsidRDefault="00581DA4" w:rsidP="00D94A77">
            <w:pPr>
              <w:jc w:val="center"/>
            </w:pPr>
            <w:r w:rsidRPr="00581DA4">
              <w:t>Lobular Inflammation</w:t>
            </w:r>
          </w:p>
        </w:tc>
        <w:tc>
          <w:tcPr>
            <w:tcW w:w="1771" w:type="dxa"/>
          </w:tcPr>
          <w:p w14:paraId="0F8A09C1" w14:textId="77777777" w:rsidR="00581DA4" w:rsidRPr="00581DA4" w:rsidRDefault="00581DA4" w:rsidP="00D94A77">
            <w:pPr>
              <w:jc w:val="center"/>
            </w:pPr>
            <w:r w:rsidRPr="00581DA4">
              <w:t>Absent</w:t>
            </w:r>
          </w:p>
        </w:tc>
        <w:tc>
          <w:tcPr>
            <w:tcW w:w="1771" w:type="dxa"/>
          </w:tcPr>
          <w:p w14:paraId="3DA4D8E7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Mild</w:t>
            </w:r>
          </w:p>
          <w:p w14:paraId="7821DAB3" w14:textId="77777777" w:rsidR="00581DA4" w:rsidRPr="00581DA4" w:rsidRDefault="00581DA4" w:rsidP="00D94A77">
            <w:pPr>
              <w:jc w:val="center"/>
            </w:pPr>
            <w:r w:rsidRPr="00581DA4">
              <w:t>With little hepatocytes necrosis or apoptosis</w:t>
            </w:r>
          </w:p>
        </w:tc>
        <w:tc>
          <w:tcPr>
            <w:tcW w:w="1771" w:type="dxa"/>
          </w:tcPr>
          <w:p w14:paraId="45CFFB7D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Moderate</w:t>
            </w:r>
          </w:p>
          <w:p w14:paraId="56EFCAFE" w14:textId="77777777" w:rsidR="00581DA4" w:rsidRPr="00581DA4" w:rsidRDefault="00581DA4" w:rsidP="00D94A77">
            <w:pPr>
              <w:jc w:val="center"/>
            </w:pPr>
            <w:r w:rsidRPr="00581DA4">
              <w:t xml:space="preserve">With focal necrosis causing confluence and/or several </w:t>
            </w:r>
            <w:proofErr w:type="spellStart"/>
            <w:r w:rsidRPr="00581DA4">
              <w:t>apoptoses</w:t>
            </w:r>
            <w:proofErr w:type="spellEnd"/>
            <w:r w:rsidRPr="00581DA4">
              <w:t xml:space="preserve">  </w:t>
            </w:r>
          </w:p>
        </w:tc>
        <w:tc>
          <w:tcPr>
            <w:tcW w:w="1772" w:type="dxa"/>
          </w:tcPr>
          <w:p w14:paraId="484B5148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Severe</w:t>
            </w:r>
          </w:p>
          <w:p w14:paraId="0C7A1D49" w14:textId="77777777" w:rsidR="00581DA4" w:rsidRPr="00581DA4" w:rsidRDefault="00581DA4" w:rsidP="00D94A77">
            <w:pPr>
              <w:jc w:val="center"/>
            </w:pPr>
            <w:r w:rsidRPr="00581DA4">
              <w:t>With bridging/severe parenchymal necrosis</w:t>
            </w:r>
          </w:p>
        </w:tc>
      </w:tr>
      <w:tr w:rsidR="00581DA4" w:rsidRPr="00581DA4" w14:paraId="5626354E" w14:textId="77777777" w:rsidTr="00D94A77">
        <w:tc>
          <w:tcPr>
            <w:tcW w:w="1771" w:type="dxa"/>
          </w:tcPr>
          <w:p w14:paraId="0E94FE29" w14:textId="77777777" w:rsidR="00581DA4" w:rsidRPr="00581DA4" w:rsidRDefault="00581DA4" w:rsidP="00D94A77">
            <w:pPr>
              <w:jc w:val="center"/>
            </w:pPr>
            <w:r w:rsidRPr="00581DA4">
              <w:t>Bile duct injury</w:t>
            </w:r>
          </w:p>
        </w:tc>
        <w:tc>
          <w:tcPr>
            <w:tcW w:w="1771" w:type="dxa"/>
          </w:tcPr>
          <w:p w14:paraId="04E729D7" w14:textId="77777777" w:rsidR="00581DA4" w:rsidRPr="00581DA4" w:rsidRDefault="00581DA4" w:rsidP="00D94A77">
            <w:pPr>
              <w:jc w:val="center"/>
            </w:pPr>
            <w:r w:rsidRPr="00581DA4">
              <w:t>Absent</w:t>
            </w:r>
          </w:p>
        </w:tc>
        <w:tc>
          <w:tcPr>
            <w:tcW w:w="1771" w:type="dxa"/>
          </w:tcPr>
          <w:p w14:paraId="333CC066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Mild</w:t>
            </w:r>
          </w:p>
          <w:p w14:paraId="3CADD1BC" w14:textId="77777777" w:rsidR="00581DA4" w:rsidRPr="00581DA4" w:rsidRDefault="00581DA4" w:rsidP="00D94A77">
            <w:pPr>
              <w:jc w:val="center"/>
            </w:pPr>
            <w:r w:rsidRPr="00581DA4">
              <w:t>Slight duct epithelium disorder with cytoplasmic eosinophilia</w:t>
            </w:r>
          </w:p>
        </w:tc>
        <w:tc>
          <w:tcPr>
            <w:tcW w:w="1771" w:type="dxa"/>
          </w:tcPr>
          <w:p w14:paraId="7353FA7A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Moderate</w:t>
            </w:r>
          </w:p>
          <w:p w14:paraId="77BD0AB6" w14:textId="77777777" w:rsidR="00581DA4" w:rsidRPr="00581DA4" w:rsidRDefault="00581DA4" w:rsidP="00D94A77">
            <w:pPr>
              <w:jc w:val="center"/>
            </w:pPr>
            <w:r w:rsidRPr="00581DA4">
              <w:t>Duct epithelial disorganization with partial necrosis of affected ducts</w:t>
            </w:r>
          </w:p>
        </w:tc>
        <w:tc>
          <w:tcPr>
            <w:tcW w:w="1772" w:type="dxa"/>
          </w:tcPr>
          <w:p w14:paraId="2A50D3A4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Severe</w:t>
            </w:r>
          </w:p>
          <w:p w14:paraId="79D4073A" w14:textId="77777777" w:rsidR="00581DA4" w:rsidRPr="00581DA4" w:rsidRDefault="00581DA4" w:rsidP="00D94A77">
            <w:pPr>
              <w:jc w:val="center"/>
            </w:pPr>
            <w:r w:rsidRPr="00581DA4">
              <w:t xml:space="preserve">Extensive duct epithelial disorganization with complete necrosis </w:t>
            </w:r>
            <w:proofErr w:type="gramStart"/>
            <w:r w:rsidRPr="00581DA4">
              <w:t>of  affected</w:t>
            </w:r>
            <w:proofErr w:type="gramEnd"/>
            <w:r w:rsidRPr="00581DA4">
              <w:t xml:space="preserve"> ducts </w:t>
            </w:r>
          </w:p>
        </w:tc>
      </w:tr>
      <w:tr w:rsidR="00581DA4" w:rsidRPr="00581DA4" w14:paraId="465C1925" w14:textId="77777777" w:rsidTr="00D94A77">
        <w:tc>
          <w:tcPr>
            <w:tcW w:w="1771" w:type="dxa"/>
          </w:tcPr>
          <w:p w14:paraId="12D7C748" w14:textId="77777777" w:rsidR="00581DA4" w:rsidRPr="00581DA4" w:rsidRDefault="00581DA4" w:rsidP="00D94A77">
            <w:pPr>
              <w:jc w:val="center"/>
            </w:pPr>
            <w:r w:rsidRPr="00581DA4">
              <w:t>Bile duct loss</w:t>
            </w:r>
          </w:p>
        </w:tc>
        <w:tc>
          <w:tcPr>
            <w:tcW w:w="1771" w:type="dxa"/>
          </w:tcPr>
          <w:p w14:paraId="7B04D5BE" w14:textId="77777777" w:rsidR="00581DA4" w:rsidRPr="00581DA4" w:rsidRDefault="00581DA4" w:rsidP="00D94A77">
            <w:pPr>
              <w:jc w:val="center"/>
            </w:pPr>
            <w:r w:rsidRPr="00581DA4">
              <w:t>Absent</w:t>
            </w:r>
          </w:p>
        </w:tc>
        <w:tc>
          <w:tcPr>
            <w:tcW w:w="1771" w:type="dxa"/>
          </w:tcPr>
          <w:p w14:paraId="0388C9E5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Mild</w:t>
            </w:r>
          </w:p>
          <w:p w14:paraId="31B61103" w14:textId="77777777" w:rsidR="00581DA4" w:rsidRPr="00581DA4" w:rsidRDefault="00581DA4" w:rsidP="00D94A77">
            <w:pPr>
              <w:jc w:val="center"/>
            </w:pPr>
            <w:r w:rsidRPr="00581DA4">
              <w:t>Affecting 30% or less</w:t>
            </w:r>
          </w:p>
        </w:tc>
        <w:tc>
          <w:tcPr>
            <w:tcW w:w="1771" w:type="dxa"/>
          </w:tcPr>
          <w:p w14:paraId="30B76A1F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Moderate</w:t>
            </w:r>
          </w:p>
          <w:p w14:paraId="076EEC6D" w14:textId="77777777" w:rsidR="00581DA4" w:rsidRPr="00581DA4" w:rsidRDefault="00581DA4" w:rsidP="00D94A77">
            <w:pPr>
              <w:jc w:val="center"/>
            </w:pPr>
            <w:r w:rsidRPr="00581DA4">
              <w:t>Affecting 30-60%</w:t>
            </w:r>
          </w:p>
        </w:tc>
        <w:tc>
          <w:tcPr>
            <w:tcW w:w="1772" w:type="dxa"/>
          </w:tcPr>
          <w:p w14:paraId="4570B7D0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Severe</w:t>
            </w:r>
          </w:p>
          <w:p w14:paraId="10487278" w14:textId="77777777" w:rsidR="00581DA4" w:rsidRPr="00581DA4" w:rsidRDefault="00581DA4" w:rsidP="00D94A77">
            <w:pPr>
              <w:rPr>
                <w:b/>
              </w:rPr>
            </w:pPr>
            <w:r w:rsidRPr="00581DA4">
              <w:t xml:space="preserve">Affecting more than 60% </w:t>
            </w:r>
          </w:p>
        </w:tc>
      </w:tr>
      <w:tr w:rsidR="00581DA4" w:rsidRPr="00581DA4" w14:paraId="5E54FD17" w14:textId="77777777" w:rsidTr="00D94A77">
        <w:tc>
          <w:tcPr>
            <w:tcW w:w="1771" w:type="dxa"/>
          </w:tcPr>
          <w:p w14:paraId="563D7915" w14:textId="77777777" w:rsidR="00581DA4" w:rsidRPr="00581DA4" w:rsidRDefault="00581DA4" w:rsidP="00D94A77">
            <w:pPr>
              <w:jc w:val="center"/>
            </w:pPr>
            <w:r w:rsidRPr="00581DA4">
              <w:t>Cholestasis</w:t>
            </w:r>
          </w:p>
        </w:tc>
        <w:tc>
          <w:tcPr>
            <w:tcW w:w="1771" w:type="dxa"/>
          </w:tcPr>
          <w:p w14:paraId="0F5AEFE7" w14:textId="77777777" w:rsidR="00581DA4" w:rsidRPr="00581DA4" w:rsidRDefault="00581DA4" w:rsidP="00D94A77">
            <w:pPr>
              <w:jc w:val="center"/>
            </w:pPr>
            <w:r w:rsidRPr="00581DA4">
              <w:t>Absent</w:t>
            </w:r>
          </w:p>
        </w:tc>
        <w:tc>
          <w:tcPr>
            <w:tcW w:w="1771" w:type="dxa"/>
          </w:tcPr>
          <w:p w14:paraId="2EB21928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Mild</w:t>
            </w:r>
          </w:p>
          <w:p w14:paraId="017BDBC4" w14:textId="77777777" w:rsidR="00581DA4" w:rsidRPr="00581DA4" w:rsidRDefault="00581DA4" w:rsidP="00D94A77">
            <w:pPr>
              <w:jc w:val="center"/>
            </w:pPr>
            <w:r w:rsidRPr="00581DA4">
              <w:t>Visible only at 20X or higher magnification</w:t>
            </w:r>
          </w:p>
        </w:tc>
        <w:tc>
          <w:tcPr>
            <w:tcW w:w="1771" w:type="dxa"/>
          </w:tcPr>
          <w:p w14:paraId="07AAA594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Moderate</w:t>
            </w:r>
          </w:p>
          <w:p w14:paraId="389EDB29" w14:textId="77777777" w:rsidR="00581DA4" w:rsidRPr="00581DA4" w:rsidRDefault="00581DA4" w:rsidP="00D94A77">
            <w:pPr>
              <w:jc w:val="center"/>
            </w:pPr>
            <w:r w:rsidRPr="00581DA4">
              <w:t>Visible at 5-10x magnification but not easily</w:t>
            </w:r>
          </w:p>
        </w:tc>
        <w:tc>
          <w:tcPr>
            <w:tcW w:w="1772" w:type="dxa"/>
          </w:tcPr>
          <w:p w14:paraId="414A824F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Severe</w:t>
            </w:r>
          </w:p>
          <w:p w14:paraId="6275DABA" w14:textId="77777777" w:rsidR="00581DA4" w:rsidRPr="00581DA4" w:rsidRDefault="00581DA4" w:rsidP="00D94A77">
            <w:pPr>
              <w:jc w:val="center"/>
            </w:pPr>
            <w:r w:rsidRPr="00581DA4">
              <w:t>Visible easily at 5x magnification</w:t>
            </w:r>
          </w:p>
        </w:tc>
      </w:tr>
      <w:tr w:rsidR="00581DA4" w:rsidRPr="00581DA4" w14:paraId="43A4340B" w14:textId="77777777" w:rsidTr="00D94A77">
        <w:tc>
          <w:tcPr>
            <w:tcW w:w="1771" w:type="dxa"/>
          </w:tcPr>
          <w:p w14:paraId="7D7E4E4B" w14:textId="77777777" w:rsidR="00581DA4" w:rsidRPr="00581DA4" w:rsidRDefault="00581DA4" w:rsidP="00D94A77">
            <w:pPr>
              <w:jc w:val="center"/>
            </w:pPr>
            <w:r w:rsidRPr="00581DA4">
              <w:t>Total Score (/15)</w:t>
            </w:r>
          </w:p>
        </w:tc>
        <w:tc>
          <w:tcPr>
            <w:tcW w:w="1771" w:type="dxa"/>
          </w:tcPr>
          <w:p w14:paraId="718E8582" w14:textId="77777777" w:rsidR="00581DA4" w:rsidRPr="00581DA4" w:rsidRDefault="00581DA4" w:rsidP="00D94A77">
            <w:pPr>
              <w:jc w:val="center"/>
            </w:pPr>
          </w:p>
        </w:tc>
        <w:tc>
          <w:tcPr>
            <w:tcW w:w="1771" w:type="dxa"/>
          </w:tcPr>
          <w:p w14:paraId="03A4CC95" w14:textId="77777777" w:rsidR="00581DA4" w:rsidRPr="00581DA4" w:rsidRDefault="00581DA4" w:rsidP="00D94A77">
            <w:pPr>
              <w:jc w:val="center"/>
            </w:pPr>
          </w:p>
        </w:tc>
        <w:tc>
          <w:tcPr>
            <w:tcW w:w="1771" w:type="dxa"/>
          </w:tcPr>
          <w:p w14:paraId="64492972" w14:textId="77777777" w:rsidR="00581DA4" w:rsidRPr="00581DA4" w:rsidRDefault="00581DA4" w:rsidP="00D94A77">
            <w:pPr>
              <w:jc w:val="center"/>
            </w:pPr>
          </w:p>
        </w:tc>
        <w:tc>
          <w:tcPr>
            <w:tcW w:w="1772" w:type="dxa"/>
          </w:tcPr>
          <w:p w14:paraId="65C7F8E4" w14:textId="77777777" w:rsidR="00581DA4" w:rsidRPr="00581DA4" w:rsidRDefault="00581DA4" w:rsidP="00D94A77">
            <w:pPr>
              <w:jc w:val="center"/>
            </w:pPr>
          </w:p>
        </w:tc>
      </w:tr>
    </w:tbl>
    <w:p w14:paraId="34E731C0" w14:textId="77777777" w:rsidR="00581DA4" w:rsidRPr="00A721FB" w:rsidRDefault="00581DA4" w:rsidP="00581DA4">
      <w:pPr>
        <w:rPr>
          <w:rFonts w:ascii="Times New Roman" w:hAnsi="Times New Roman" w:cs="Times New Roman"/>
        </w:rPr>
      </w:pPr>
    </w:p>
    <w:p w14:paraId="28E442B0" w14:textId="270639E1" w:rsidR="00581DA4" w:rsidRPr="00A721FB" w:rsidRDefault="00581DA4" w:rsidP="00581DA4">
      <w:pPr>
        <w:rPr>
          <w:rFonts w:ascii="Times New Roman" w:hAnsi="Times New Roman" w:cs="Times New Roman"/>
        </w:rPr>
      </w:pPr>
      <w:r w:rsidRPr="00A721FB">
        <w:rPr>
          <w:rFonts w:ascii="Times New Roman" w:hAnsi="Times New Roman" w:cs="Times New Roman"/>
        </w:rPr>
        <w:t>Lung GVHD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375"/>
        <w:gridCol w:w="1670"/>
        <w:gridCol w:w="1737"/>
        <w:gridCol w:w="1738"/>
      </w:tblGrid>
      <w:tr w:rsidR="00581DA4" w:rsidRPr="00581DA4" w14:paraId="1210C82E" w14:textId="77777777" w:rsidTr="00D94A77">
        <w:tc>
          <w:tcPr>
            <w:tcW w:w="2336" w:type="dxa"/>
          </w:tcPr>
          <w:p w14:paraId="57DF356C" w14:textId="77777777" w:rsidR="00581DA4" w:rsidRPr="00581DA4" w:rsidRDefault="00581DA4" w:rsidP="00D94A77">
            <w:pPr>
              <w:jc w:val="center"/>
            </w:pPr>
          </w:p>
        </w:tc>
        <w:tc>
          <w:tcPr>
            <w:tcW w:w="1375" w:type="dxa"/>
          </w:tcPr>
          <w:p w14:paraId="2911681F" w14:textId="77777777" w:rsidR="00581DA4" w:rsidRPr="00581DA4" w:rsidRDefault="00581DA4" w:rsidP="00D94A77">
            <w:pPr>
              <w:jc w:val="center"/>
            </w:pPr>
            <w:r w:rsidRPr="00581DA4">
              <w:t>0</w:t>
            </w:r>
          </w:p>
        </w:tc>
        <w:tc>
          <w:tcPr>
            <w:tcW w:w="1670" w:type="dxa"/>
          </w:tcPr>
          <w:p w14:paraId="1BD438B8" w14:textId="77777777" w:rsidR="00581DA4" w:rsidRPr="00581DA4" w:rsidRDefault="00581DA4" w:rsidP="00D94A77">
            <w:pPr>
              <w:jc w:val="center"/>
            </w:pPr>
            <w:r w:rsidRPr="00581DA4">
              <w:t>1</w:t>
            </w:r>
          </w:p>
        </w:tc>
        <w:tc>
          <w:tcPr>
            <w:tcW w:w="1737" w:type="dxa"/>
          </w:tcPr>
          <w:p w14:paraId="37909AF3" w14:textId="77777777" w:rsidR="00581DA4" w:rsidRPr="00581DA4" w:rsidRDefault="00581DA4" w:rsidP="00D94A77">
            <w:pPr>
              <w:jc w:val="center"/>
            </w:pPr>
            <w:r w:rsidRPr="00581DA4">
              <w:t>2</w:t>
            </w:r>
          </w:p>
        </w:tc>
        <w:tc>
          <w:tcPr>
            <w:tcW w:w="1738" w:type="dxa"/>
          </w:tcPr>
          <w:p w14:paraId="41952748" w14:textId="77777777" w:rsidR="00581DA4" w:rsidRPr="00581DA4" w:rsidRDefault="00581DA4" w:rsidP="00D94A77">
            <w:pPr>
              <w:jc w:val="center"/>
            </w:pPr>
            <w:r w:rsidRPr="00581DA4">
              <w:t>3</w:t>
            </w:r>
          </w:p>
        </w:tc>
      </w:tr>
      <w:tr w:rsidR="00581DA4" w:rsidRPr="00581DA4" w14:paraId="274E1FED" w14:textId="77777777" w:rsidTr="00D94A77">
        <w:tc>
          <w:tcPr>
            <w:tcW w:w="2336" w:type="dxa"/>
          </w:tcPr>
          <w:p w14:paraId="28DC4A14" w14:textId="77777777" w:rsidR="00581DA4" w:rsidRPr="00581DA4" w:rsidRDefault="00581DA4" w:rsidP="00D94A77">
            <w:pPr>
              <w:jc w:val="center"/>
            </w:pPr>
            <w:r w:rsidRPr="00581DA4">
              <w:t xml:space="preserve">inflammation </w:t>
            </w:r>
          </w:p>
        </w:tc>
        <w:tc>
          <w:tcPr>
            <w:tcW w:w="1375" w:type="dxa"/>
          </w:tcPr>
          <w:p w14:paraId="2612B20A" w14:textId="77777777" w:rsidR="00581DA4" w:rsidRPr="00581DA4" w:rsidRDefault="00581DA4" w:rsidP="00D94A77">
            <w:pPr>
              <w:jc w:val="center"/>
            </w:pPr>
            <w:r w:rsidRPr="00581DA4">
              <w:t>Absent</w:t>
            </w:r>
          </w:p>
        </w:tc>
        <w:tc>
          <w:tcPr>
            <w:tcW w:w="1670" w:type="dxa"/>
          </w:tcPr>
          <w:p w14:paraId="3644FC21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Mild</w:t>
            </w:r>
          </w:p>
          <w:p w14:paraId="0F89574E" w14:textId="77777777" w:rsidR="00581DA4" w:rsidRPr="00581DA4" w:rsidRDefault="00581DA4" w:rsidP="00D94A77">
            <w:pPr>
              <w:jc w:val="center"/>
            </w:pPr>
            <w:r w:rsidRPr="00581DA4">
              <w:t xml:space="preserve">Present around vessels without </w:t>
            </w:r>
            <w:proofErr w:type="spellStart"/>
            <w:r w:rsidRPr="00581DA4">
              <w:t>endotheliitis</w:t>
            </w:r>
            <w:proofErr w:type="spellEnd"/>
          </w:p>
        </w:tc>
        <w:tc>
          <w:tcPr>
            <w:tcW w:w="1737" w:type="dxa"/>
          </w:tcPr>
          <w:p w14:paraId="22E71298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Moderate</w:t>
            </w:r>
          </w:p>
          <w:p w14:paraId="15C12118" w14:textId="77777777" w:rsidR="00581DA4" w:rsidRPr="00581DA4" w:rsidRDefault="00581DA4" w:rsidP="00D94A77">
            <w:pPr>
              <w:jc w:val="center"/>
            </w:pPr>
            <w:r w:rsidRPr="00581DA4">
              <w:t xml:space="preserve">Present with </w:t>
            </w:r>
            <w:proofErr w:type="spellStart"/>
            <w:r w:rsidRPr="00581DA4">
              <w:t>endotheliitis</w:t>
            </w:r>
            <w:proofErr w:type="spellEnd"/>
            <w:r w:rsidRPr="00581DA4">
              <w:t xml:space="preserve"> +-/ septal expansion+/- mild alveolar extension</w:t>
            </w:r>
          </w:p>
        </w:tc>
        <w:tc>
          <w:tcPr>
            <w:tcW w:w="1738" w:type="dxa"/>
          </w:tcPr>
          <w:p w14:paraId="2D1F6153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Severe</w:t>
            </w:r>
          </w:p>
          <w:p w14:paraId="27E56B32" w14:textId="77777777" w:rsidR="00581DA4" w:rsidRPr="00581DA4" w:rsidRDefault="00581DA4" w:rsidP="00D94A77">
            <w:pPr>
              <w:jc w:val="center"/>
            </w:pPr>
            <w:r w:rsidRPr="00581DA4">
              <w:t>Present with extensive septal expansion, heavy intra-alveolar inflammation +/- hemorrhages +/- alveolar involvement</w:t>
            </w:r>
          </w:p>
        </w:tc>
      </w:tr>
      <w:tr w:rsidR="00581DA4" w:rsidRPr="00581DA4" w14:paraId="7D6585E4" w14:textId="77777777" w:rsidTr="00D94A77">
        <w:tc>
          <w:tcPr>
            <w:tcW w:w="2336" w:type="dxa"/>
          </w:tcPr>
          <w:p w14:paraId="7B2B9ADD" w14:textId="77777777" w:rsidR="00581DA4" w:rsidRPr="00581DA4" w:rsidRDefault="00581DA4" w:rsidP="00D94A77">
            <w:pPr>
              <w:jc w:val="center"/>
            </w:pPr>
            <w:r w:rsidRPr="00581DA4">
              <w:t>Bronchial/bronchiolar Epithelial injury</w:t>
            </w:r>
          </w:p>
        </w:tc>
        <w:tc>
          <w:tcPr>
            <w:tcW w:w="1375" w:type="dxa"/>
          </w:tcPr>
          <w:p w14:paraId="52E11355" w14:textId="77777777" w:rsidR="00581DA4" w:rsidRPr="00581DA4" w:rsidRDefault="00581DA4" w:rsidP="00D94A77">
            <w:pPr>
              <w:jc w:val="center"/>
            </w:pPr>
            <w:r w:rsidRPr="00581DA4">
              <w:t>Absent</w:t>
            </w:r>
          </w:p>
        </w:tc>
        <w:tc>
          <w:tcPr>
            <w:tcW w:w="1670" w:type="dxa"/>
          </w:tcPr>
          <w:p w14:paraId="1FAF983F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Mild</w:t>
            </w:r>
          </w:p>
          <w:p w14:paraId="2E705FBC" w14:textId="77777777" w:rsidR="00581DA4" w:rsidRPr="00581DA4" w:rsidRDefault="00581DA4" w:rsidP="00D94A77">
            <w:pPr>
              <w:jc w:val="center"/>
            </w:pPr>
            <w:r w:rsidRPr="00581DA4">
              <w:t>Subepithelial inflammation with no intra-epithelial inflammation</w:t>
            </w:r>
          </w:p>
        </w:tc>
        <w:tc>
          <w:tcPr>
            <w:tcW w:w="1737" w:type="dxa"/>
          </w:tcPr>
          <w:p w14:paraId="281587A4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Moderate</w:t>
            </w:r>
          </w:p>
          <w:p w14:paraId="5D0157F9" w14:textId="77777777" w:rsidR="00581DA4" w:rsidRPr="00581DA4" w:rsidRDefault="00581DA4" w:rsidP="00D94A77">
            <w:pPr>
              <w:jc w:val="center"/>
            </w:pPr>
            <w:r w:rsidRPr="00581DA4">
              <w:t xml:space="preserve">Subepithelial inflammation with intra-epithelial inflammation but no epithelial necrosis and/or </w:t>
            </w:r>
            <w:proofErr w:type="spellStart"/>
            <w:r w:rsidRPr="00581DA4">
              <w:t>apoptoses</w:t>
            </w:r>
            <w:proofErr w:type="spellEnd"/>
          </w:p>
        </w:tc>
        <w:tc>
          <w:tcPr>
            <w:tcW w:w="1738" w:type="dxa"/>
          </w:tcPr>
          <w:p w14:paraId="1798CA8B" w14:textId="77777777" w:rsidR="00581DA4" w:rsidRPr="00581DA4" w:rsidRDefault="00581DA4" w:rsidP="00D94A77">
            <w:pPr>
              <w:jc w:val="center"/>
              <w:rPr>
                <w:b/>
              </w:rPr>
            </w:pPr>
            <w:r w:rsidRPr="00581DA4">
              <w:rPr>
                <w:b/>
              </w:rPr>
              <w:t>Severe</w:t>
            </w:r>
          </w:p>
          <w:p w14:paraId="5B9EFD3A" w14:textId="77777777" w:rsidR="00581DA4" w:rsidRPr="00581DA4" w:rsidRDefault="00581DA4" w:rsidP="00D94A77">
            <w:pPr>
              <w:jc w:val="center"/>
            </w:pPr>
            <w:r w:rsidRPr="00581DA4">
              <w:t>Subepithelial inflammation with intra-epithelial inflammation and necrosis</w:t>
            </w:r>
          </w:p>
        </w:tc>
      </w:tr>
      <w:tr w:rsidR="00581DA4" w:rsidRPr="00581DA4" w14:paraId="2DAB7DCF" w14:textId="77777777" w:rsidTr="00D94A77">
        <w:tc>
          <w:tcPr>
            <w:tcW w:w="2336" w:type="dxa"/>
          </w:tcPr>
          <w:p w14:paraId="3ACE6447" w14:textId="77777777" w:rsidR="00581DA4" w:rsidRPr="00581DA4" w:rsidRDefault="00581DA4" w:rsidP="00D94A77">
            <w:pPr>
              <w:jc w:val="center"/>
            </w:pPr>
            <w:r w:rsidRPr="00581DA4">
              <w:t>Total Score (/6)</w:t>
            </w:r>
          </w:p>
        </w:tc>
        <w:tc>
          <w:tcPr>
            <w:tcW w:w="1375" w:type="dxa"/>
          </w:tcPr>
          <w:p w14:paraId="1AE9D9BA" w14:textId="77777777" w:rsidR="00581DA4" w:rsidRPr="00581DA4" w:rsidRDefault="00581DA4" w:rsidP="00D94A77">
            <w:pPr>
              <w:jc w:val="center"/>
            </w:pPr>
          </w:p>
        </w:tc>
        <w:tc>
          <w:tcPr>
            <w:tcW w:w="1670" w:type="dxa"/>
          </w:tcPr>
          <w:p w14:paraId="1852778F" w14:textId="77777777" w:rsidR="00581DA4" w:rsidRPr="00581DA4" w:rsidRDefault="00581DA4" w:rsidP="00D94A77">
            <w:pPr>
              <w:jc w:val="center"/>
            </w:pPr>
          </w:p>
        </w:tc>
        <w:tc>
          <w:tcPr>
            <w:tcW w:w="1737" w:type="dxa"/>
          </w:tcPr>
          <w:p w14:paraId="2EC16B43" w14:textId="77777777" w:rsidR="00581DA4" w:rsidRPr="00581DA4" w:rsidRDefault="00581DA4" w:rsidP="00D94A77">
            <w:pPr>
              <w:jc w:val="center"/>
            </w:pPr>
          </w:p>
        </w:tc>
        <w:tc>
          <w:tcPr>
            <w:tcW w:w="1738" w:type="dxa"/>
          </w:tcPr>
          <w:p w14:paraId="4D3CB9AA" w14:textId="77777777" w:rsidR="00581DA4" w:rsidRPr="00581DA4" w:rsidRDefault="00581DA4" w:rsidP="00D94A77">
            <w:pPr>
              <w:jc w:val="center"/>
            </w:pPr>
          </w:p>
        </w:tc>
      </w:tr>
    </w:tbl>
    <w:p w14:paraId="7A4400D1" w14:textId="77777777" w:rsidR="00581DA4" w:rsidRPr="00A721FB" w:rsidRDefault="00581DA4" w:rsidP="00187DB1">
      <w:pPr>
        <w:widowControl w:val="0"/>
        <w:wordWrap w:val="0"/>
        <w:autoSpaceDE w:val="0"/>
        <w:autoSpaceDN w:val="0"/>
        <w:spacing w:line="480" w:lineRule="auto"/>
        <w:jc w:val="both"/>
        <w:rPr>
          <w:rFonts w:ascii="Times New Roman" w:hAnsi="Times New Roman" w:cs="Times New Roman"/>
          <w:u w:val="single"/>
          <w:lang w:val="en-CA"/>
        </w:rPr>
      </w:pPr>
    </w:p>
    <w:sectPr w:rsidR="00581DA4" w:rsidRPr="00A721FB" w:rsidSect="003A7D2A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B1"/>
    <w:rsid w:val="00065965"/>
    <w:rsid w:val="00080C46"/>
    <w:rsid w:val="0009770C"/>
    <w:rsid w:val="000B6230"/>
    <w:rsid w:val="000C1983"/>
    <w:rsid w:val="000C3054"/>
    <w:rsid w:val="000C3E20"/>
    <w:rsid w:val="000F5A1C"/>
    <w:rsid w:val="000F6097"/>
    <w:rsid w:val="001368F3"/>
    <w:rsid w:val="00150661"/>
    <w:rsid w:val="001563F8"/>
    <w:rsid w:val="00172B3B"/>
    <w:rsid w:val="00177344"/>
    <w:rsid w:val="00187DB1"/>
    <w:rsid w:val="00191416"/>
    <w:rsid w:val="00197120"/>
    <w:rsid w:val="001B07F9"/>
    <w:rsid w:val="001B19DE"/>
    <w:rsid w:val="001C4CA4"/>
    <w:rsid w:val="001E2529"/>
    <w:rsid w:val="00221065"/>
    <w:rsid w:val="0025635A"/>
    <w:rsid w:val="00272E98"/>
    <w:rsid w:val="0027594C"/>
    <w:rsid w:val="00280810"/>
    <w:rsid w:val="002A104E"/>
    <w:rsid w:val="002D1F21"/>
    <w:rsid w:val="002E1FC3"/>
    <w:rsid w:val="002E39B1"/>
    <w:rsid w:val="003010B9"/>
    <w:rsid w:val="00307A97"/>
    <w:rsid w:val="00336465"/>
    <w:rsid w:val="003515C0"/>
    <w:rsid w:val="00387391"/>
    <w:rsid w:val="003D3F03"/>
    <w:rsid w:val="0043524F"/>
    <w:rsid w:val="00480AFA"/>
    <w:rsid w:val="00486331"/>
    <w:rsid w:val="0049159D"/>
    <w:rsid w:val="004E7FB6"/>
    <w:rsid w:val="004F5E01"/>
    <w:rsid w:val="00501806"/>
    <w:rsid w:val="00501C8F"/>
    <w:rsid w:val="00540322"/>
    <w:rsid w:val="00542477"/>
    <w:rsid w:val="00581DA4"/>
    <w:rsid w:val="005B2544"/>
    <w:rsid w:val="005B35A6"/>
    <w:rsid w:val="005B7FF7"/>
    <w:rsid w:val="006110EB"/>
    <w:rsid w:val="0064798B"/>
    <w:rsid w:val="00672867"/>
    <w:rsid w:val="00672F33"/>
    <w:rsid w:val="0069252B"/>
    <w:rsid w:val="006B0C18"/>
    <w:rsid w:val="006B52B9"/>
    <w:rsid w:val="006B63EE"/>
    <w:rsid w:val="006B7AAE"/>
    <w:rsid w:val="006C1877"/>
    <w:rsid w:val="006C5C04"/>
    <w:rsid w:val="006F0BE9"/>
    <w:rsid w:val="006F6C7E"/>
    <w:rsid w:val="00703320"/>
    <w:rsid w:val="00782C12"/>
    <w:rsid w:val="00792146"/>
    <w:rsid w:val="007A62B2"/>
    <w:rsid w:val="007B6F8B"/>
    <w:rsid w:val="007C55BC"/>
    <w:rsid w:val="0081110D"/>
    <w:rsid w:val="00844B98"/>
    <w:rsid w:val="00852DEA"/>
    <w:rsid w:val="00855A81"/>
    <w:rsid w:val="008609E4"/>
    <w:rsid w:val="0088012C"/>
    <w:rsid w:val="008A2E44"/>
    <w:rsid w:val="008D4B70"/>
    <w:rsid w:val="008E42D6"/>
    <w:rsid w:val="0090097A"/>
    <w:rsid w:val="00911E71"/>
    <w:rsid w:val="009527BB"/>
    <w:rsid w:val="009603DF"/>
    <w:rsid w:val="0096448D"/>
    <w:rsid w:val="00975B2C"/>
    <w:rsid w:val="009778A7"/>
    <w:rsid w:val="009C4624"/>
    <w:rsid w:val="00A53FAA"/>
    <w:rsid w:val="00A721FB"/>
    <w:rsid w:val="00AA2414"/>
    <w:rsid w:val="00AC238E"/>
    <w:rsid w:val="00AD0EEC"/>
    <w:rsid w:val="00B0483C"/>
    <w:rsid w:val="00B14C85"/>
    <w:rsid w:val="00B93F6F"/>
    <w:rsid w:val="00B94522"/>
    <w:rsid w:val="00B97102"/>
    <w:rsid w:val="00BB281D"/>
    <w:rsid w:val="00BB58C1"/>
    <w:rsid w:val="00BD07C0"/>
    <w:rsid w:val="00BF340D"/>
    <w:rsid w:val="00C03765"/>
    <w:rsid w:val="00C67A9A"/>
    <w:rsid w:val="00C7053C"/>
    <w:rsid w:val="00C777EB"/>
    <w:rsid w:val="00C915C0"/>
    <w:rsid w:val="00C93D9A"/>
    <w:rsid w:val="00CD40BA"/>
    <w:rsid w:val="00D15191"/>
    <w:rsid w:val="00D301A1"/>
    <w:rsid w:val="00D7000E"/>
    <w:rsid w:val="00D75479"/>
    <w:rsid w:val="00DB1753"/>
    <w:rsid w:val="00DD25F0"/>
    <w:rsid w:val="00DD4C72"/>
    <w:rsid w:val="00DF6555"/>
    <w:rsid w:val="00E94DAA"/>
    <w:rsid w:val="00EA0523"/>
    <w:rsid w:val="00EE0BED"/>
    <w:rsid w:val="00F10426"/>
    <w:rsid w:val="00F173C3"/>
    <w:rsid w:val="00F227AE"/>
    <w:rsid w:val="00F37AC1"/>
    <w:rsid w:val="00F42210"/>
    <w:rsid w:val="00F467E1"/>
    <w:rsid w:val="00F83DFA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9D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81DA4"/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Lee</dc:creator>
  <cp:keywords/>
  <dc:description/>
  <cp:lastModifiedBy>Jong Lee</cp:lastModifiedBy>
  <cp:revision>6</cp:revision>
  <dcterms:created xsi:type="dcterms:W3CDTF">2018-07-17T21:03:00Z</dcterms:created>
  <dcterms:modified xsi:type="dcterms:W3CDTF">2018-11-19T18:25:00Z</dcterms:modified>
</cp:coreProperties>
</file>