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b/>
          <w:sz w:val="24"/>
          <w:szCs w:val="24"/>
          <w:lang w:val="en-US"/>
        </w:rPr>
        <w:t>SUPPLEMENTARY METHODS</w:t>
      </w: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b/>
          <w:sz w:val="24"/>
          <w:szCs w:val="24"/>
          <w:lang w:val="en-US"/>
        </w:rPr>
        <w:t>Sanger sequencing</w:t>
      </w: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The MSH6 genomic region surrounding the c.3438+1G&gt;A* mutation was amplified using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AmpliTaq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Gold (Applied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Biosystems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, Foster City, CA, USA), with the following primer pair: forward, 5′- GCAGGAAAATGGCAAAGCCT-3′ and reverse, 5′- CAGGGAGTAATTTCCCTTTGCTTC-3′. Upon agarose-gel quality control, PCR products (215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bp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) were purified with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Illustra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ExoSAP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-IT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ExoProStar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(GE Healthcare, Buckinghamshire, UK) and underwent Sanger sequencing on the ABI 2720 thermal cycler (Applied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Biosystems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). Amplicons were sequenced using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BigDye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Terminator Cycle Sequencing Kit v1.1 on the ABI Prism 3730xl DNA Analyzer (Applied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Biosystems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>) in both directions.</w:t>
      </w: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b/>
          <w:sz w:val="24"/>
          <w:szCs w:val="24"/>
          <w:lang w:val="en-US"/>
        </w:rPr>
        <w:t>IDH1/2 mutations</w:t>
      </w: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sz w:val="24"/>
          <w:szCs w:val="24"/>
          <w:lang w:val="en-US"/>
        </w:rPr>
        <w:t>Sanger sequencing of IDH1 and IDH2 genes (exon 4) was performed to identify all mutations at codon 132 and 172, respectively.</w:t>
      </w: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b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b/>
          <w:sz w:val="24"/>
          <w:szCs w:val="24"/>
          <w:lang w:val="en-US"/>
        </w:rPr>
        <w:t>Fluorescence in situ hybridization (FISH)</w:t>
      </w:r>
      <w:bookmarkStart w:id="0" w:name="_GoBack"/>
      <w:bookmarkEnd w:id="0"/>
    </w:p>
    <w:p w:rsidR="00A85F4D" w:rsidRPr="00A85F4D" w:rsidRDefault="00A85F4D" w:rsidP="00874FD4">
      <w:pPr>
        <w:spacing w:after="0" w:line="360" w:lineRule="auto"/>
        <w:jc w:val="both"/>
        <w:rPr>
          <w:rFonts w:asciiTheme="minorHAnsi" w:hAnsiTheme="minorHAnsi" w:cstheme="majorHAnsi"/>
          <w:sz w:val="24"/>
          <w:szCs w:val="24"/>
          <w:lang w:val="en-US"/>
        </w:rPr>
      </w:pPr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FISH was performed on 4 </w:t>
      </w:r>
      <w:r w:rsidRPr="00A85F4D">
        <w:rPr>
          <w:rFonts w:asciiTheme="minorHAnsi" w:hAnsiTheme="minorHAnsi" w:cstheme="majorHAnsi"/>
          <w:sz w:val="24"/>
          <w:szCs w:val="24"/>
        </w:rPr>
        <w:t>μ</w:t>
      </w:r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m paraffin-embedded sections with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ZytoLight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SPEC EGFR/CEN 7 dual color probe (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ZytoVision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, Bremerhaven, Germany) following standard procedures. Analyses were carried out with a fluorescence Zeiss microscope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AxioImager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Z2 (Zeiss,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Göttingen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, Germany) and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TissueFISH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 xml:space="preserve"> software (Metasystems, Germany) in one hundred non-overlapping nuclei. Amplification of EGFR was defined as ratio EGFR/CEP7 ≥ 2 or average of EGFR copy number ≥ 6 copies/nucleus. In the presence of heterogeneous pattern, a case was considered amplified if the population of amplified cells was greater than 10% of the whole </w:t>
      </w:r>
      <w:proofErr w:type="spellStart"/>
      <w:r w:rsidRPr="00A85F4D">
        <w:rPr>
          <w:rFonts w:asciiTheme="minorHAnsi" w:hAnsiTheme="minorHAnsi" w:cstheme="majorHAnsi"/>
          <w:sz w:val="24"/>
          <w:szCs w:val="24"/>
          <w:lang w:val="en-US"/>
        </w:rPr>
        <w:t>tumour</w:t>
      </w:r>
      <w:proofErr w:type="spellEnd"/>
      <w:r w:rsidRPr="00A85F4D">
        <w:rPr>
          <w:rFonts w:asciiTheme="minorHAnsi" w:hAnsiTheme="minorHAnsi" w:cstheme="majorHAnsi"/>
          <w:sz w:val="24"/>
          <w:szCs w:val="24"/>
          <w:lang w:val="en-US"/>
        </w:rPr>
        <w:t>. </w:t>
      </w:r>
    </w:p>
    <w:p w:rsidR="00732177" w:rsidRPr="00A85F4D" w:rsidRDefault="00732177" w:rsidP="00874FD4">
      <w:pPr>
        <w:spacing w:after="0" w:line="360" w:lineRule="auto"/>
        <w:rPr>
          <w:lang w:val="en-US"/>
        </w:rPr>
      </w:pPr>
    </w:p>
    <w:sectPr w:rsidR="00732177" w:rsidRPr="00A85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4D"/>
    <w:rsid w:val="000254B4"/>
    <w:rsid w:val="00732177"/>
    <w:rsid w:val="00874FD4"/>
    <w:rsid w:val="00A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204"/>
  <w15:chartTrackingRefBased/>
  <w15:docId w15:val="{B9D7620A-18CC-418E-B58E-86713941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85F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2018-09-25T13:46:00Z</dcterms:created>
  <dcterms:modified xsi:type="dcterms:W3CDTF">2018-09-25T14:04:00Z</dcterms:modified>
</cp:coreProperties>
</file>