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14C" w:rsidRPr="00DC783E" w:rsidRDefault="00ED314C" w:rsidP="005637A3">
      <w:pPr>
        <w:spacing w:after="0" w:line="360" w:lineRule="auto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t>SUPPLEMENTARY FIGURES</w:t>
      </w:r>
    </w:p>
    <w:p w:rsidR="00ED314C" w:rsidRPr="00DC783E" w:rsidRDefault="00ED314C" w:rsidP="005637A3">
      <w:pPr>
        <w:spacing w:after="0" w:line="360" w:lineRule="auto"/>
        <w:rPr>
          <w:rFonts w:cstheme="minorHAnsi"/>
          <w:sz w:val="24"/>
          <w:szCs w:val="24"/>
          <w:lang w:val="en-US"/>
        </w:rPr>
      </w:pPr>
    </w:p>
    <w:p w:rsidR="00ED314C" w:rsidRPr="00DC783E" w:rsidRDefault="00ED314C" w:rsidP="005637A3">
      <w:pPr>
        <w:spacing w:after="0" w:line="360" w:lineRule="auto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 wp14:anchorId="77A7F6A1">
            <wp:extent cx="5773420" cy="577342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577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14C" w:rsidRPr="001101CD" w:rsidRDefault="00ED314C" w:rsidP="005637A3">
      <w:pPr>
        <w:spacing w:before="100" w:beforeAutospacing="1" w:after="0" w:line="360" w:lineRule="auto"/>
        <w:jc w:val="both"/>
        <w:rPr>
          <w:rFonts w:cstheme="minorHAnsi"/>
          <w:b/>
          <w:bCs/>
          <w:color w:val="000000" w:themeColor="text1"/>
          <w:kern w:val="24"/>
          <w:sz w:val="24"/>
          <w:szCs w:val="24"/>
          <w:lang w:val="en-US"/>
        </w:rPr>
      </w:pPr>
      <w:r>
        <w:rPr>
          <w:rFonts w:eastAsia="Times New Roman" w:cstheme="minorHAnsi"/>
          <w:b/>
          <w:sz w:val="24"/>
          <w:szCs w:val="24"/>
          <w:lang w:val="en-US" w:eastAsia="it-IT"/>
        </w:rPr>
        <w:t>Supplementary</w:t>
      </w:r>
      <w:r w:rsidRPr="00DC783E">
        <w:rPr>
          <w:rFonts w:eastAsia="Times New Roman" w:cstheme="minorHAnsi"/>
          <w:b/>
          <w:sz w:val="24"/>
          <w:szCs w:val="24"/>
          <w:lang w:val="en-US" w:eastAsia="it-IT"/>
        </w:rPr>
        <w:t xml:space="preserve"> Figure </w:t>
      </w:r>
      <w:r>
        <w:rPr>
          <w:rFonts w:eastAsia="Times New Roman" w:cstheme="minorHAnsi"/>
          <w:b/>
          <w:sz w:val="24"/>
          <w:szCs w:val="24"/>
          <w:lang w:val="en-US" w:eastAsia="it-IT"/>
        </w:rPr>
        <w:t>S</w:t>
      </w:r>
      <w:r w:rsidRPr="00DC783E">
        <w:rPr>
          <w:rFonts w:eastAsia="Times New Roman" w:cstheme="minorHAnsi"/>
          <w:b/>
          <w:sz w:val="24"/>
          <w:szCs w:val="24"/>
          <w:lang w:val="en-US" w:eastAsia="it-IT"/>
        </w:rPr>
        <w:t>1. V</w:t>
      </w:r>
      <w:r w:rsidRPr="001101CD">
        <w:rPr>
          <w:rFonts w:cstheme="minorHAnsi"/>
          <w:b/>
          <w:bCs/>
          <w:color w:val="000000" w:themeColor="text1"/>
          <w:kern w:val="24"/>
          <w:sz w:val="24"/>
          <w:szCs w:val="24"/>
          <w:lang w:val="en-US"/>
        </w:rPr>
        <w:t>alidation by Sanger sequencing of the c.3438+1G&gt;A* MSH6 variant</w:t>
      </w:r>
    </w:p>
    <w:p w:rsidR="00ED314C" w:rsidRPr="00DC783E" w:rsidRDefault="00ED314C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  <w:r w:rsidRPr="001101CD">
        <w:rPr>
          <w:rFonts w:cstheme="minorHAnsi"/>
          <w:color w:val="000000" w:themeColor="text1"/>
          <w:kern w:val="24"/>
          <w:sz w:val="24"/>
          <w:szCs w:val="24"/>
          <w:lang w:val="en-US"/>
        </w:rPr>
        <w:t>Detection of the exon-skipping mutation in the MSH6 negative recurrent GBM tumors (#18/II, #53/II) in both strands (forward, upper panel; reverse, lower panel) compared to their matched primary counterpart (#18/I, #53/I)</w:t>
      </w:r>
      <w:r w:rsidR="00300805">
        <w:rPr>
          <w:rFonts w:cstheme="minorHAnsi"/>
          <w:color w:val="000000" w:themeColor="text1"/>
          <w:kern w:val="24"/>
          <w:sz w:val="24"/>
          <w:szCs w:val="24"/>
          <w:lang w:val="en-US"/>
        </w:rPr>
        <w:t>,</w:t>
      </w:r>
      <w:r w:rsidRPr="001101CD">
        <w:rPr>
          <w:rFonts w:cstheme="minorHAnsi"/>
          <w:color w:val="000000" w:themeColor="text1"/>
          <w:kern w:val="24"/>
          <w:sz w:val="24"/>
          <w:szCs w:val="24"/>
          <w:lang w:val="en-US"/>
        </w:rPr>
        <w:t xml:space="preserve"> which stained positive for MSH6.</w:t>
      </w:r>
    </w:p>
    <w:p w:rsidR="00F711AE" w:rsidRDefault="00F711AE" w:rsidP="005637A3">
      <w:pPr>
        <w:spacing w:after="0" w:line="360" w:lineRule="auto"/>
        <w:rPr>
          <w:rFonts w:eastAsia="Times New Roman" w:cstheme="minorHAnsi"/>
          <w:b/>
          <w:sz w:val="24"/>
          <w:szCs w:val="24"/>
          <w:lang w:val="en-US" w:eastAsia="it-IT"/>
        </w:rPr>
      </w:pPr>
      <w:r>
        <w:rPr>
          <w:rFonts w:eastAsia="Times New Roman" w:cstheme="minorHAnsi"/>
          <w:b/>
          <w:sz w:val="24"/>
          <w:szCs w:val="24"/>
          <w:lang w:val="en-US" w:eastAsia="it-IT"/>
        </w:rPr>
        <w:br w:type="page"/>
      </w:r>
    </w:p>
    <w:p w:rsidR="00ED314C" w:rsidRDefault="00F711AE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  <w:r>
        <w:rPr>
          <w:rFonts w:cstheme="minorHAnsi"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 wp14:anchorId="2FE8F0B2" wp14:editId="1666990F">
            <wp:simplePos x="0" y="0"/>
            <wp:positionH relativeFrom="margin">
              <wp:posOffset>0</wp:posOffset>
            </wp:positionH>
            <wp:positionV relativeFrom="margin">
              <wp:posOffset>371475</wp:posOffset>
            </wp:positionV>
            <wp:extent cx="5686425" cy="4115435"/>
            <wp:effectExtent l="0" t="0" r="9525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.Fig2_24.05.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t="12901" r="3196"/>
                    <a:stretch/>
                  </pic:blipFill>
                  <pic:spPr bwMode="auto">
                    <a:xfrm>
                      <a:off x="0" y="0"/>
                      <a:ext cx="5686425" cy="411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14C" w:rsidRDefault="00ED314C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F711AE" w:rsidRDefault="00F711AE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F711AE" w:rsidRDefault="00F711AE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F711AE" w:rsidRDefault="00F711AE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F711AE" w:rsidRDefault="00F711AE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F711AE" w:rsidRDefault="00F711AE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F711AE" w:rsidRDefault="00F711AE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F711AE" w:rsidRDefault="00F711AE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F711AE" w:rsidRDefault="00F711AE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F711AE" w:rsidRDefault="00F711AE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ED314C" w:rsidRPr="00DC783E" w:rsidRDefault="00F711AE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  <w:r>
        <w:rPr>
          <w:rFonts w:eastAsia="Times New Roman" w:cstheme="minorHAnsi"/>
          <w:b/>
          <w:sz w:val="24"/>
          <w:szCs w:val="24"/>
          <w:lang w:val="en-US" w:eastAsia="it-IT"/>
        </w:rPr>
        <w:t>Supplementary</w:t>
      </w:r>
      <w:r w:rsidR="00ED314C" w:rsidRPr="00DC783E">
        <w:rPr>
          <w:rFonts w:eastAsia="Times New Roman" w:cstheme="minorHAnsi"/>
          <w:b/>
          <w:sz w:val="24"/>
          <w:szCs w:val="24"/>
          <w:lang w:val="en-US" w:eastAsia="it-IT"/>
        </w:rPr>
        <w:t xml:space="preserve"> Figure </w:t>
      </w:r>
      <w:r>
        <w:rPr>
          <w:rFonts w:eastAsia="Times New Roman" w:cstheme="minorHAnsi"/>
          <w:b/>
          <w:sz w:val="24"/>
          <w:szCs w:val="24"/>
          <w:lang w:val="en-US" w:eastAsia="it-IT"/>
        </w:rPr>
        <w:t>S</w:t>
      </w:r>
      <w:r w:rsidR="00ED314C" w:rsidRPr="00DC783E">
        <w:rPr>
          <w:rFonts w:eastAsia="Times New Roman" w:cstheme="minorHAnsi"/>
          <w:b/>
          <w:sz w:val="24"/>
          <w:szCs w:val="24"/>
          <w:lang w:val="en-US" w:eastAsia="it-IT"/>
        </w:rPr>
        <w:t>2. EGFR amplification by FISH analysis</w:t>
      </w:r>
    </w:p>
    <w:p w:rsidR="00EE3952" w:rsidRDefault="00ED314C" w:rsidP="005637A3">
      <w:pPr>
        <w:spacing w:before="100" w:beforeAutospacing="1" w:after="0" w:line="360" w:lineRule="auto"/>
        <w:jc w:val="both"/>
        <w:rPr>
          <w:rFonts w:eastAsia="Times New Roman" w:cstheme="minorHAnsi"/>
          <w:sz w:val="24"/>
          <w:szCs w:val="24"/>
          <w:lang w:val="en-US" w:eastAsia="it-IT"/>
        </w:rPr>
      </w:pPr>
      <w:r w:rsidRPr="00DC783E">
        <w:rPr>
          <w:rFonts w:eastAsia="Times New Roman" w:cstheme="minorHAnsi"/>
          <w:sz w:val="24"/>
          <w:szCs w:val="24"/>
          <w:lang w:val="en-US" w:eastAsia="it-IT"/>
        </w:rPr>
        <w:t xml:space="preserve">Two representative cases illustrating loss of EGFR amplification at relapse (#25) or gain of EGFR amplification at relapse (#2) </w:t>
      </w:r>
      <w:proofErr w:type="gramStart"/>
      <w:r w:rsidRPr="00DC783E">
        <w:rPr>
          <w:rFonts w:eastAsia="Times New Roman" w:cstheme="minorHAnsi"/>
          <w:sz w:val="24"/>
          <w:szCs w:val="24"/>
          <w:lang w:val="en-US" w:eastAsia="it-IT"/>
        </w:rPr>
        <w:t>are shown</w:t>
      </w:r>
      <w:proofErr w:type="gramEnd"/>
      <w:r w:rsidRPr="00DC783E">
        <w:rPr>
          <w:rFonts w:eastAsia="Times New Roman" w:cstheme="minorHAnsi"/>
          <w:sz w:val="24"/>
          <w:szCs w:val="24"/>
          <w:lang w:val="en-US" w:eastAsia="it-IT"/>
        </w:rPr>
        <w:t>.</w:t>
      </w:r>
    </w:p>
    <w:p w:rsidR="00300805" w:rsidRDefault="00EE3952" w:rsidP="005637A3">
      <w:pPr>
        <w:spacing w:after="0" w:line="360" w:lineRule="auto"/>
        <w:rPr>
          <w:rFonts w:eastAsia="Times New Roman" w:cstheme="minorHAnsi"/>
          <w:sz w:val="24"/>
          <w:szCs w:val="24"/>
          <w:lang w:val="en-US" w:eastAsia="it-IT"/>
        </w:rPr>
      </w:pPr>
      <w:r>
        <w:rPr>
          <w:rFonts w:eastAsia="Times New Roman" w:cstheme="minorHAnsi"/>
          <w:sz w:val="24"/>
          <w:szCs w:val="24"/>
          <w:lang w:val="en-US" w:eastAsia="it-IT"/>
        </w:rPr>
        <w:br w:type="page"/>
      </w:r>
    </w:p>
    <w:p w:rsidR="00EE3952" w:rsidRDefault="00300805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  <w:r w:rsidRPr="001101CD">
        <w:rPr>
          <w:rFonts w:cstheme="minorHAnsi"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61312" behindDoc="0" locked="0" layoutInCell="1" allowOverlap="1" wp14:anchorId="6DAB51FD" wp14:editId="60753D7C">
            <wp:simplePos x="0" y="0"/>
            <wp:positionH relativeFrom="margin">
              <wp:align>left</wp:align>
            </wp:positionH>
            <wp:positionV relativeFrom="margin">
              <wp:posOffset>909955</wp:posOffset>
            </wp:positionV>
            <wp:extent cx="5067300" cy="6344920"/>
            <wp:effectExtent l="0" t="0" r="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.Fig3_27.04.18-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" t="8814" r="2625" b="4274"/>
                    <a:stretch/>
                  </pic:blipFill>
                  <pic:spPr bwMode="auto">
                    <a:xfrm>
                      <a:off x="0" y="0"/>
                      <a:ext cx="5067300" cy="634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952" w:rsidRDefault="00EE3952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EE3952" w:rsidRDefault="00EE3952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EE3952" w:rsidRDefault="00EE3952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EE3952" w:rsidRDefault="00EE3952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EE3952" w:rsidRDefault="00EE3952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EE3952" w:rsidRDefault="00EE3952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EE3952" w:rsidRDefault="00EE3952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EE3952" w:rsidRDefault="00EE3952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C068B8" w:rsidRDefault="00C068B8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C068B8" w:rsidRDefault="00C068B8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C068B8" w:rsidRDefault="00C068B8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300805" w:rsidRDefault="00300805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300805" w:rsidRDefault="00300805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</w:p>
    <w:p w:rsidR="00ED314C" w:rsidRPr="00DC783E" w:rsidRDefault="00EE3952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  <w:r>
        <w:rPr>
          <w:rFonts w:eastAsia="Times New Roman" w:cstheme="minorHAnsi"/>
          <w:b/>
          <w:sz w:val="24"/>
          <w:szCs w:val="24"/>
          <w:lang w:val="en-US" w:eastAsia="it-IT"/>
        </w:rPr>
        <w:t>Supplementary</w:t>
      </w:r>
      <w:r w:rsidR="00ED314C" w:rsidRPr="00DC783E">
        <w:rPr>
          <w:rFonts w:eastAsia="Times New Roman" w:cstheme="minorHAnsi"/>
          <w:b/>
          <w:sz w:val="24"/>
          <w:szCs w:val="24"/>
          <w:lang w:val="en-US" w:eastAsia="it-IT"/>
        </w:rPr>
        <w:t xml:space="preserve"> Figure </w:t>
      </w:r>
      <w:r>
        <w:rPr>
          <w:rFonts w:eastAsia="Times New Roman" w:cstheme="minorHAnsi"/>
          <w:b/>
          <w:sz w:val="24"/>
          <w:szCs w:val="24"/>
          <w:lang w:val="en-US" w:eastAsia="it-IT"/>
        </w:rPr>
        <w:t>S</w:t>
      </w:r>
      <w:r w:rsidR="00ED314C" w:rsidRPr="00DC783E">
        <w:rPr>
          <w:rFonts w:eastAsia="Times New Roman" w:cstheme="minorHAnsi"/>
          <w:b/>
          <w:sz w:val="24"/>
          <w:szCs w:val="24"/>
          <w:lang w:val="en-US" w:eastAsia="it-IT"/>
        </w:rPr>
        <w:t>3. Immunological markers in relapsed GBM</w:t>
      </w:r>
    </w:p>
    <w:p w:rsidR="00ED314C" w:rsidRPr="00DC783E" w:rsidRDefault="00ED314C" w:rsidP="005637A3">
      <w:pPr>
        <w:spacing w:before="100" w:beforeAutospacing="1" w:after="0" w:line="360" w:lineRule="auto"/>
        <w:jc w:val="both"/>
        <w:rPr>
          <w:rFonts w:eastAsia="Times New Roman" w:cstheme="minorHAnsi"/>
          <w:sz w:val="24"/>
          <w:szCs w:val="24"/>
          <w:lang w:val="en-US" w:eastAsia="it-IT"/>
        </w:rPr>
      </w:pPr>
      <w:r w:rsidRPr="00DC783E">
        <w:rPr>
          <w:rFonts w:eastAsia="Times New Roman" w:cstheme="minorHAnsi"/>
          <w:sz w:val="24"/>
          <w:szCs w:val="24"/>
          <w:lang w:val="en-US" w:eastAsia="it-IT"/>
        </w:rPr>
        <w:t xml:space="preserve">Representative images of CD8+ cells, HLA class </w:t>
      </w:r>
      <w:proofErr w:type="gramStart"/>
      <w:r w:rsidRPr="00DC783E">
        <w:rPr>
          <w:rFonts w:eastAsia="Times New Roman" w:cstheme="minorHAnsi"/>
          <w:sz w:val="24"/>
          <w:szCs w:val="24"/>
          <w:lang w:val="en-US" w:eastAsia="it-IT"/>
        </w:rPr>
        <w:t>I</w:t>
      </w:r>
      <w:proofErr w:type="gramEnd"/>
      <w:r w:rsidRPr="00DC783E">
        <w:rPr>
          <w:rFonts w:eastAsia="Times New Roman" w:cstheme="minorHAnsi"/>
          <w:sz w:val="24"/>
          <w:szCs w:val="24"/>
          <w:lang w:val="en-US" w:eastAsia="it-IT"/>
        </w:rPr>
        <w:t xml:space="preserve"> and PD-L1 expression in GBM samples. Magnification x20 </w:t>
      </w:r>
      <w:proofErr w:type="gramStart"/>
      <w:r w:rsidRPr="00DC783E">
        <w:rPr>
          <w:rFonts w:eastAsia="Times New Roman" w:cstheme="minorHAnsi"/>
          <w:sz w:val="24"/>
          <w:szCs w:val="24"/>
          <w:lang w:val="en-US" w:eastAsia="it-IT"/>
        </w:rPr>
        <w:t>was used</w:t>
      </w:r>
      <w:proofErr w:type="gramEnd"/>
      <w:r w:rsidRPr="00DC783E">
        <w:rPr>
          <w:rFonts w:eastAsia="Times New Roman" w:cstheme="minorHAnsi"/>
          <w:sz w:val="24"/>
          <w:szCs w:val="24"/>
          <w:lang w:val="en-US" w:eastAsia="it-IT"/>
        </w:rPr>
        <w:t>.</w:t>
      </w:r>
    </w:p>
    <w:p w:rsidR="00C068B8" w:rsidRDefault="00C068B8" w:rsidP="005637A3">
      <w:pPr>
        <w:spacing w:after="0" w:line="360" w:lineRule="auto"/>
        <w:rPr>
          <w:rFonts w:eastAsia="Times New Roman" w:cstheme="minorHAnsi"/>
          <w:b/>
          <w:sz w:val="24"/>
          <w:szCs w:val="24"/>
          <w:lang w:val="en-US" w:eastAsia="it-IT"/>
        </w:rPr>
      </w:pPr>
      <w:r>
        <w:rPr>
          <w:rFonts w:eastAsia="Times New Roman" w:cstheme="minorHAnsi"/>
          <w:b/>
          <w:sz w:val="24"/>
          <w:szCs w:val="24"/>
          <w:lang w:val="en-US" w:eastAsia="it-IT"/>
        </w:rPr>
        <w:br w:type="page"/>
      </w:r>
    </w:p>
    <w:p w:rsidR="00C068B8" w:rsidRDefault="00C068B8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  <w:r>
        <w:rPr>
          <w:rFonts w:eastAsia="Times New Roman" w:cstheme="minorHAnsi"/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562475" cy="379322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S da 1' CH new 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853" cy="384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8B8" w:rsidRDefault="00C068B8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  <w:r>
        <w:rPr>
          <w:rFonts w:eastAsia="Times New Roman" w:cstheme="minorHAnsi"/>
          <w:b/>
          <w:noProof/>
          <w:sz w:val="24"/>
          <w:szCs w:val="24"/>
          <w:lang w:eastAsia="it-IT"/>
        </w:rPr>
        <w:drawing>
          <wp:inline distT="0" distB="0" distL="0" distR="0">
            <wp:extent cx="4648200" cy="3864498"/>
            <wp:effectExtent l="0" t="0" r="0" b="317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S da 2 CH new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121" cy="387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8B8" w:rsidRPr="00DC783E" w:rsidRDefault="00EB2E31" w:rsidP="005637A3">
      <w:pPr>
        <w:spacing w:before="100" w:beforeAutospacing="1" w:after="0" w:line="360" w:lineRule="auto"/>
        <w:jc w:val="both"/>
        <w:rPr>
          <w:rFonts w:eastAsia="Times New Roman" w:cstheme="minorHAnsi"/>
          <w:sz w:val="24"/>
          <w:szCs w:val="24"/>
          <w:lang w:val="en-US" w:eastAsia="it-IT"/>
        </w:rPr>
      </w:pPr>
      <w:r>
        <w:rPr>
          <w:rFonts w:eastAsia="Times New Roman" w:cstheme="minorHAnsi"/>
          <w:b/>
          <w:sz w:val="24"/>
          <w:szCs w:val="24"/>
          <w:lang w:val="en-US" w:eastAsia="it-IT"/>
        </w:rPr>
        <w:t>Supplementary</w:t>
      </w:r>
      <w:r w:rsidR="00C068B8" w:rsidRPr="00DC783E">
        <w:rPr>
          <w:rFonts w:eastAsia="Times New Roman" w:cstheme="minorHAnsi"/>
          <w:b/>
          <w:sz w:val="24"/>
          <w:szCs w:val="24"/>
          <w:lang w:val="en-US" w:eastAsia="it-IT"/>
        </w:rPr>
        <w:t xml:space="preserve"> Figure </w:t>
      </w:r>
      <w:r>
        <w:rPr>
          <w:rFonts w:eastAsia="Times New Roman" w:cstheme="minorHAnsi"/>
          <w:b/>
          <w:sz w:val="24"/>
          <w:szCs w:val="24"/>
          <w:lang w:val="en-US" w:eastAsia="it-IT"/>
        </w:rPr>
        <w:t>S</w:t>
      </w:r>
      <w:r w:rsidR="00C068B8" w:rsidRPr="00DC783E">
        <w:rPr>
          <w:rFonts w:eastAsia="Times New Roman" w:cstheme="minorHAnsi"/>
          <w:b/>
          <w:sz w:val="24"/>
          <w:szCs w:val="24"/>
          <w:lang w:val="en-US" w:eastAsia="it-IT"/>
        </w:rPr>
        <w:t xml:space="preserve">4. </w:t>
      </w:r>
      <w:r w:rsidR="00C068B8" w:rsidRPr="00DC783E">
        <w:rPr>
          <w:rFonts w:eastAsia="Times New Roman" w:cstheme="minorHAnsi"/>
          <w:sz w:val="24"/>
          <w:szCs w:val="24"/>
          <w:lang w:val="en-US" w:eastAsia="it-IT"/>
        </w:rPr>
        <w:t>Kaplan-Meier surviva</w:t>
      </w:r>
      <w:r w:rsidR="00C068B8">
        <w:rPr>
          <w:rFonts w:eastAsia="Times New Roman" w:cstheme="minorHAnsi"/>
          <w:sz w:val="24"/>
          <w:szCs w:val="24"/>
          <w:lang w:val="en-US" w:eastAsia="it-IT"/>
        </w:rPr>
        <w:t xml:space="preserve">l curves, </w:t>
      </w:r>
      <w:r>
        <w:rPr>
          <w:rFonts w:eastAsia="Times New Roman" w:cstheme="minorHAnsi"/>
          <w:sz w:val="24"/>
          <w:szCs w:val="24"/>
          <w:lang w:val="en-US" w:eastAsia="it-IT"/>
        </w:rPr>
        <w:t>calculated from first surgery (top panel) or second surgery (bottom panel</w:t>
      </w:r>
      <w:r w:rsidR="00C068B8">
        <w:rPr>
          <w:rFonts w:eastAsia="Times New Roman" w:cstheme="minorHAnsi"/>
          <w:sz w:val="24"/>
          <w:szCs w:val="24"/>
          <w:lang w:val="en-US" w:eastAsia="it-IT"/>
        </w:rPr>
        <w:t>).</w:t>
      </w:r>
    </w:p>
    <w:p w:rsidR="00ED314C" w:rsidRDefault="00EB2E31" w:rsidP="005637A3">
      <w:pPr>
        <w:spacing w:before="100" w:beforeAutospacing="1" w:after="0" w:line="360" w:lineRule="auto"/>
        <w:jc w:val="both"/>
        <w:rPr>
          <w:rFonts w:eastAsia="Times New Roman" w:cstheme="minorHAnsi"/>
          <w:b/>
          <w:sz w:val="24"/>
          <w:szCs w:val="24"/>
          <w:lang w:val="en-US" w:eastAsia="it-IT"/>
        </w:rPr>
      </w:pPr>
      <w:r>
        <w:rPr>
          <w:rFonts w:eastAsia="Times New Roman" w:cstheme="minorHAnsi"/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508825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 da 2CH vs MMR 2 CH new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14C" w:rsidRPr="00DC783E" w:rsidRDefault="00EB2E31" w:rsidP="005637A3">
      <w:pPr>
        <w:spacing w:before="100" w:beforeAutospacing="1" w:after="0" w:line="360" w:lineRule="auto"/>
        <w:jc w:val="both"/>
        <w:rPr>
          <w:rFonts w:eastAsia="Times New Roman" w:cstheme="minorHAnsi"/>
          <w:sz w:val="24"/>
          <w:szCs w:val="24"/>
          <w:lang w:val="en-US" w:eastAsia="it-IT"/>
        </w:rPr>
      </w:pPr>
      <w:r>
        <w:rPr>
          <w:rFonts w:eastAsia="Times New Roman" w:cstheme="minorHAnsi"/>
          <w:b/>
          <w:sz w:val="24"/>
          <w:szCs w:val="24"/>
          <w:lang w:val="en-US" w:eastAsia="it-IT"/>
        </w:rPr>
        <w:t>Supplementary</w:t>
      </w:r>
      <w:r w:rsidR="00683891">
        <w:rPr>
          <w:rFonts w:eastAsia="Times New Roman" w:cstheme="minorHAnsi"/>
          <w:b/>
          <w:sz w:val="24"/>
          <w:szCs w:val="24"/>
          <w:lang w:val="en-US" w:eastAsia="it-IT"/>
        </w:rPr>
        <w:t xml:space="preserve"> Figure </w:t>
      </w:r>
      <w:r>
        <w:rPr>
          <w:rFonts w:eastAsia="Times New Roman" w:cstheme="minorHAnsi"/>
          <w:b/>
          <w:sz w:val="24"/>
          <w:szCs w:val="24"/>
          <w:lang w:val="en-US" w:eastAsia="it-IT"/>
        </w:rPr>
        <w:t>S</w:t>
      </w:r>
      <w:r w:rsidR="00683891">
        <w:rPr>
          <w:rFonts w:eastAsia="Times New Roman" w:cstheme="minorHAnsi"/>
          <w:b/>
          <w:sz w:val="24"/>
          <w:szCs w:val="24"/>
          <w:lang w:val="en-US" w:eastAsia="it-IT"/>
        </w:rPr>
        <w:t>5</w:t>
      </w:r>
      <w:r w:rsidR="00ED314C" w:rsidRPr="00DC783E">
        <w:rPr>
          <w:rFonts w:eastAsia="Times New Roman" w:cstheme="minorHAnsi"/>
          <w:b/>
          <w:sz w:val="24"/>
          <w:szCs w:val="24"/>
          <w:lang w:val="en-US" w:eastAsia="it-IT"/>
        </w:rPr>
        <w:t xml:space="preserve">. </w:t>
      </w:r>
      <w:r w:rsidR="00ED314C" w:rsidRPr="00DC783E">
        <w:rPr>
          <w:rFonts w:eastAsia="Times New Roman" w:cstheme="minorHAnsi"/>
          <w:sz w:val="24"/>
          <w:szCs w:val="24"/>
          <w:lang w:val="en-US" w:eastAsia="it-IT"/>
        </w:rPr>
        <w:t>Kaplan-Meier survival curves according to MMR status, calculated from relapse.</w:t>
      </w:r>
    </w:p>
    <w:p w:rsidR="00EB2E31" w:rsidRDefault="00EB2E31" w:rsidP="005637A3">
      <w:pPr>
        <w:spacing w:after="0" w:line="360" w:lineRule="auto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br w:type="page"/>
      </w:r>
    </w:p>
    <w:p w:rsidR="00ED314C" w:rsidRDefault="00EB2E31" w:rsidP="005637A3">
      <w:pPr>
        <w:spacing w:after="0" w:line="360" w:lineRule="auto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508825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S da 1 CH vs MGMT 1CH_new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14C" w:rsidRPr="00DC783E" w:rsidRDefault="00EB2E31" w:rsidP="005637A3">
      <w:pPr>
        <w:spacing w:after="0" w:line="36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t>Supplementary</w:t>
      </w:r>
      <w:r w:rsidR="00683891">
        <w:rPr>
          <w:rFonts w:cstheme="minorHAnsi"/>
          <w:b/>
          <w:sz w:val="24"/>
          <w:szCs w:val="24"/>
          <w:lang w:val="en-US"/>
        </w:rPr>
        <w:t xml:space="preserve"> Figure </w:t>
      </w:r>
      <w:r>
        <w:rPr>
          <w:rFonts w:cstheme="minorHAnsi"/>
          <w:b/>
          <w:sz w:val="24"/>
          <w:szCs w:val="24"/>
          <w:lang w:val="en-US"/>
        </w:rPr>
        <w:t>S</w:t>
      </w:r>
      <w:r w:rsidR="00683891">
        <w:rPr>
          <w:rFonts w:cstheme="minorHAnsi"/>
          <w:b/>
          <w:sz w:val="24"/>
          <w:szCs w:val="24"/>
          <w:lang w:val="en-US"/>
        </w:rPr>
        <w:t>6</w:t>
      </w:r>
      <w:r w:rsidR="00ED314C" w:rsidRPr="00DC783E">
        <w:rPr>
          <w:rFonts w:cstheme="minorHAnsi"/>
          <w:b/>
          <w:sz w:val="24"/>
          <w:szCs w:val="24"/>
          <w:lang w:val="en-US"/>
        </w:rPr>
        <w:t>.</w:t>
      </w:r>
      <w:r w:rsidR="00ED314C" w:rsidRPr="00DC783E">
        <w:rPr>
          <w:rFonts w:cstheme="minorHAnsi"/>
          <w:sz w:val="24"/>
          <w:szCs w:val="24"/>
          <w:lang w:val="en-US"/>
        </w:rPr>
        <w:t xml:space="preserve"> Kaplan-Meier survival curves according to MGMT status, calculated from relapse.</w:t>
      </w:r>
    </w:p>
    <w:p w:rsidR="003550C5" w:rsidRPr="005637A3" w:rsidRDefault="003550C5" w:rsidP="005637A3">
      <w:pPr>
        <w:spacing w:after="0" w:line="360" w:lineRule="auto"/>
        <w:rPr>
          <w:lang w:val="en-US"/>
        </w:rPr>
      </w:pPr>
    </w:p>
    <w:p w:rsidR="005637A3" w:rsidRDefault="005637A3" w:rsidP="005637A3">
      <w:pPr>
        <w:spacing w:after="0" w:line="360" w:lineRule="auto"/>
        <w:rPr>
          <w:lang w:val="en-US"/>
        </w:rPr>
      </w:pPr>
    </w:p>
    <w:p w:rsidR="005637A3" w:rsidRDefault="005637A3" w:rsidP="005637A3">
      <w:pPr>
        <w:spacing w:after="0" w:line="360" w:lineRule="auto"/>
        <w:rPr>
          <w:lang w:val="en-US"/>
        </w:rPr>
      </w:pPr>
    </w:p>
    <w:p w:rsidR="005637A3" w:rsidRDefault="005637A3" w:rsidP="005637A3">
      <w:pPr>
        <w:spacing w:after="0" w:line="360" w:lineRule="auto"/>
        <w:rPr>
          <w:lang w:val="en-US"/>
        </w:rPr>
      </w:pPr>
    </w:p>
    <w:p w:rsidR="005637A3" w:rsidRDefault="005637A3" w:rsidP="005637A3">
      <w:pPr>
        <w:spacing w:after="0" w:line="360" w:lineRule="auto"/>
        <w:rPr>
          <w:lang w:val="en-US"/>
        </w:rPr>
      </w:pPr>
    </w:p>
    <w:p w:rsidR="005637A3" w:rsidRDefault="005637A3" w:rsidP="005637A3">
      <w:pPr>
        <w:spacing w:after="0" w:line="360" w:lineRule="auto"/>
        <w:rPr>
          <w:lang w:val="en-US"/>
        </w:rPr>
      </w:pPr>
    </w:p>
    <w:p w:rsidR="005637A3" w:rsidRDefault="005637A3" w:rsidP="005637A3">
      <w:pPr>
        <w:spacing w:after="0" w:line="360" w:lineRule="auto"/>
        <w:rPr>
          <w:lang w:val="en-US"/>
        </w:rPr>
      </w:pPr>
    </w:p>
    <w:p w:rsidR="005637A3" w:rsidRDefault="005637A3" w:rsidP="005637A3">
      <w:pPr>
        <w:spacing w:after="0" w:line="360" w:lineRule="auto"/>
        <w:rPr>
          <w:lang w:val="en-US"/>
        </w:rPr>
      </w:pPr>
    </w:p>
    <w:p w:rsidR="005637A3" w:rsidRDefault="005637A3" w:rsidP="005637A3">
      <w:pPr>
        <w:spacing w:after="0" w:line="360" w:lineRule="auto"/>
        <w:rPr>
          <w:lang w:val="en-US"/>
        </w:rPr>
      </w:pPr>
    </w:p>
    <w:p w:rsidR="005637A3" w:rsidRDefault="005637A3" w:rsidP="005637A3">
      <w:pPr>
        <w:spacing w:after="0" w:line="360" w:lineRule="auto"/>
        <w:rPr>
          <w:lang w:val="en-US"/>
        </w:rPr>
      </w:pPr>
    </w:p>
    <w:p w:rsidR="005637A3" w:rsidRDefault="005637A3" w:rsidP="005637A3">
      <w:pPr>
        <w:spacing w:after="0" w:line="360" w:lineRule="auto"/>
        <w:jc w:val="center"/>
        <w:rPr>
          <w:lang w:val="en-US"/>
        </w:rPr>
      </w:pPr>
    </w:p>
    <w:p w:rsidR="005637A3" w:rsidRDefault="009439C6" w:rsidP="005637A3">
      <w:pPr>
        <w:spacing w:after="0" w:line="360" w:lineRule="auto"/>
        <w:jc w:val="center"/>
        <w:rPr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 wp14:anchorId="4F367418">
            <wp:extent cx="4968789" cy="7611762"/>
            <wp:effectExtent l="0" t="0" r="3810" b="8255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589" cy="7616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9C6" w:rsidRDefault="009439C6" w:rsidP="005637A3">
      <w:pPr>
        <w:spacing w:after="0" w:line="360" w:lineRule="auto"/>
        <w:jc w:val="center"/>
        <w:rPr>
          <w:lang w:val="en-US"/>
        </w:rPr>
      </w:pPr>
    </w:p>
    <w:p w:rsidR="005637A3" w:rsidRPr="005637A3" w:rsidRDefault="005637A3" w:rsidP="000A0CF4">
      <w:pPr>
        <w:spacing w:after="0" w:line="360" w:lineRule="auto"/>
        <w:jc w:val="both"/>
        <w:rPr>
          <w:lang w:val="en-US"/>
        </w:rPr>
      </w:pPr>
      <w:bookmarkStart w:id="0" w:name="_GoBack"/>
      <w:bookmarkEnd w:id="0"/>
      <w:r w:rsidRPr="00F6721B">
        <w:rPr>
          <w:rFonts w:cstheme="minorHAnsi"/>
          <w:b/>
          <w:sz w:val="24"/>
          <w:szCs w:val="24"/>
          <w:lang w:val="en-US"/>
        </w:rPr>
        <w:t>Supplementary Figure S7.</w:t>
      </w:r>
      <w:r w:rsidRPr="00F6721B">
        <w:rPr>
          <w:rFonts w:cstheme="minorHAnsi"/>
          <w:sz w:val="24"/>
          <w:szCs w:val="24"/>
          <w:lang w:val="en-US"/>
        </w:rPr>
        <w:t xml:space="preserve"> Multilevel profiling workflow </w:t>
      </w:r>
      <w:r w:rsidR="000A0CF4" w:rsidRPr="00F6721B">
        <w:rPr>
          <w:rFonts w:cstheme="minorHAnsi"/>
          <w:sz w:val="24"/>
          <w:szCs w:val="24"/>
          <w:lang w:val="en-US"/>
        </w:rPr>
        <w:t>and overview of the main findings of the study</w:t>
      </w:r>
      <w:r w:rsidRPr="00F6721B">
        <w:rPr>
          <w:rFonts w:cstheme="minorHAnsi"/>
          <w:sz w:val="24"/>
          <w:szCs w:val="24"/>
          <w:lang w:val="en-US"/>
        </w:rPr>
        <w:t xml:space="preserve">. MMR= mismatch repair; IHC = immunohistochemistry; TMB = tumor mutational burden; </w:t>
      </w:r>
      <w:proofErr w:type="spellStart"/>
      <w:r w:rsidRPr="00F6721B">
        <w:rPr>
          <w:rFonts w:cstheme="minorHAnsi"/>
          <w:sz w:val="24"/>
          <w:szCs w:val="24"/>
          <w:lang w:val="en-US"/>
        </w:rPr>
        <w:t>EGFRvIII</w:t>
      </w:r>
      <w:proofErr w:type="spellEnd"/>
      <w:r w:rsidRPr="00F6721B">
        <w:rPr>
          <w:rFonts w:cstheme="minorHAnsi"/>
          <w:sz w:val="24"/>
          <w:szCs w:val="24"/>
          <w:lang w:val="en-US"/>
        </w:rPr>
        <w:t xml:space="preserve"> = </w:t>
      </w:r>
      <w:r w:rsidRPr="00F6721B">
        <w:rPr>
          <w:rStyle w:val="st"/>
          <w:lang w:val="en-US"/>
        </w:rPr>
        <w:t>epidermal growth factor receptor variant III; FISH =</w:t>
      </w:r>
      <w:r w:rsidRPr="00F6721B">
        <w:rPr>
          <w:rFonts w:cstheme="minorHAnsi"/>
          <w:sz w:val="24"/>
          <w:szCs w:val="24"/>
          <w:lang w:val="en-US"/>
        </w:rPr>
        <w:t xml:space="preserve"> </w:t>
      </w:r>
      <w:r w:rsidRPr="00F6721B">
        <w:rPr>
          <w:rStyle w:val="ilfuvd"/>
          <w:lang w:val="en-US"/>
        </w:rPr>
        <w:t>fluorescence in situ hybridization</w:t>
      </w:r>
      <w:r w:rsidRPr="00F6721B">
        <w:rPr>
          <w:rFonts w:cstheme="minorHAnsi"/>
          <w:sz w:val="24"/>
          <w:szCs w:val="24"/>
          <w:lang w:val="en-US"/>
        </w:rPr>
        <w:t xml:space="preserve">; MHC-I = </w:t>
      </w:r>
      <w:r w:rsidRPr="00F6721B">
        <w:rPr>
          <w:rStyle w:val="st"/>
          <w:lang w:val="en-US"/>
        </w:rPr>
        <w:t>Major Histocompatibility Complex, class I.</w:t>
      </w:r>
    </w:p>
    <w:sectPr w:rsidR="005637A3" w:rsidRPr="005637A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14C"/>
    <w:rsid w:val="00015C8A"/>
    <w:rsid w:val="000A0CF4"/>
    <w:rsid w:val="002908B0"/>
    <w:rsid w:val="00300805"/>
    <w:rsid w:val="003550C5"/>
    <w:rsid w:val="005637A3"/>
    <w:rsid w:val="006464E7"/>
    <w:rsid w:val="0068075F"/>
    <w:rsid w:val="00683891"/>
    <w:rsid w:val="007C63AE"/>
    <w:rsid w:val="009439C6"/>
    <w:rsid w:val="00B51B72"/>
    <w:rsid w:val="00C068B8"/>
    <w:rsid w:val="00EB2E31"/>
    <w:rsid w:val="00ED314C"/>
    <w:rsid w:val="00EE3952"/>
    <w:rsid w:val="00F6721B"/>
    <w:rsid w:val="00F711AE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30"/>
  <w15:chartTrackingRefBased/>
  <w15:docId w15:val="{33139D95-FFA6-4BF3-B64C-D9D0403B1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D314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st">
    <w:name w:val="st"/>
    <w:basedOn w:val="Carpredefinitoparagrafo"/>
    <w:rsid w:val="005637A3"/>
  </w:style>
  <w:style w:type="character" w:customStyle="1" w:styleId="ilfuvd">
    <w:name w:val="ilfuvd"/>
    <w:basedOn w:val="Carpredefinitoparagrafo"/>
    <w:rsid w:val="005637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tif"/><Relationship Id="rId5" Type="http://schemas.openxmlformats.org/officeDocument/2006/relationships/image" Target="media/image1.png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5F6A1-C02E-4330-A775-3821EB80D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Indraccolo</dc:creator>
  <cp:keywords/>
  <dc:description/>
  <cp:lastModifiedBy>Indraccolo</cp:lastModifiedBy>
  <cp:revision>3</cp:revision>
  <dcterms:created xsi:type="dcterms:W3CDTF">2018-10-24T08:12:00Z</dcterms:created>
  <dcterms:modified xsi:type="dcterms:W3CDTF">2018-10-24T10:23:00Z</dcterms:modified>
</cp:coreProperties>
</file>