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7B6" w:rsidRPr="007A5479" w:rsidRDefault="000D77B6" w:rsidP="000D77B6">
      <w:pPr>
        <w:spacing w:line="360" w:lineRule="auto"/>
        <w:jc w:val="both"/>
        <w:outlineLvl w:val="0"/>
        <w:rPr>
          <w:rFonts w:cs="Times New Roman"/>
          <w:b/>
          <w:u w:val="single"/>
          <w:lang w:val="en-US"/>
        </w:rPr>
      </w:pPr>
      <w:r w:rsidRPr="007A5479">
        <w:rPr>
          <w:rFonts w:cs="Times New Roman"/>
          <w:b/>
          <w:u w:val="single"/>
          <w:lang w:val="en-US"/>
        </w:rPr>
        <w:t>Supplementary Methods</w:t>
      </w:r>
    </w:p>
    <w:p w:rsidR="000D77B6" w:rsidRPr="007A5479" w:rsidRDefault="000D77B6" w:rsidP="000D77B6">
      <w:pPr>
        <w:spacing w:line="360" w:lineRule="auto"/>
        <w:jc w:val="both"/>
        <w:outlineLvl w:val="0"/>
        <w:rPr>
          <w:rFonts w:cs="Times New Roman"/>
          <w:i/>
          <w:u w:val="single"/>
          <w:lang w:val="en-US"/>
        </w:rPr>
      </w:pPr>
    </w:p>
    <w:p w:rsidR="000D77B6" w:rsidRPr="007A5479" w:rsidRDefault="000D77B6" w:rsidP="000D77B6">
      <w:pPr>
        <w:spacing w:line="360" w:lineRule="auto"/>
        <w:jc w:val="both"/>
        <w:outlineLvl w:val="0"/>
        <w:rPr>
          <w:rFonts w:cs="Times New Roman"/>
          <w:b/>
          <w:lang w:val="en-US"/>
        </w:rPr>
      </w:pPr>
      <w:r w:rsidRPr="007A5479">
        <w:rPr>
          <w:rFonts w:cs="Times New Roman"/>
          <w:b/>
          <w:lang w:val="en-US"/>
        </w:rPr>
        <w:t>Targeted capture and sequence analysis</w:t>
      </w:r>
    </w:p>
    <w:p w:rsidR="000D77B6" w:rsidRPr="007A5479" w:rsidRDefault="000D77B6" w:rsidP="000D77B6">
      <w:pPr>
        <w:spacing w:line="360" w:lineRule="auto"/>
        <w:jc w:val="both"/>
        <w:rPr>
          <w:rFonts w:cs="Times New Roman"/>
          <w:lang w:val="en-US"/>
        </w:rPr>
      </w:pPr>
      <w:r w:rsidRPr="007A5479">
        <w:rPr>
          <w:rFonts w:cs="Times New Roman"/>
          <w:lang w:val="en-US"/>
        </w:rPr>
        <w:t>Formalin-fixed paraffin embedded (FFPE) sections were obtained and reviewed by a genitourinary pathologist to assess for tumor content and viability. To enrich for tumor purity, macrodissection of tumor regions was performed whenever necessary prior to nucleic extraction. The average estimated tumor purity from histologic review was 46% for the UTUC cohort and 42% for the UCB cohort. DNA was extracted from formalin-fixed, paraffin-embedded tumor tissue as previously described</w:t>
      </w:r>
      <w:r w:rsidR="00A20F79" w:rsidRPr="007A5479">
        <w:rPr>
          <w:rFonts w:cs="Times New Roman"/>
          <w:lang w:val="en-US"/>
        </w:rPr>
        <w:t xml:space="preserve"> </w:t>
      </w:r>
      <w:r w:rsidR="00A20F79" w:rsidRPr="007A5479">
        <w:rPr>
          <w:rFonts w:cs="Times New Roman"/>
          <w:lang w:val="en-US"/>
        </w:rPr>
        <w:fldChar w:fldCharType="begin"/>
      </w:r>
      <w:r w:rsidR="00A20F79" w:rsidRPr="007A5479">
        <w:rPr>
          <w:rFonts w:cs="Times New Roman"/>
          <w:lang w:val="en-US"/>
        </w:rPr>
        <w:instrText xml:space="preserve"> ADDIN ZOTERO_ITEM CSL_CITATION {"citationID":"fWO2zbNv","properties":{"formattedCitation":"(1)","plainCitation":"(1)","noteIndex":0},"citationItems":[{"id":1834,"uris":["http://zotero.org/users/local/g9a9CQut/items/YULES5C5"],"uri":["http://zotero.org/users/local/g9a9CQut/items/YULES5C5"],"itemData":{"id":1834,"type":"article-journal","title":"Genomic predictors of survival in patients with high-grade urothelial carcinoma of the bladder","container-title":"European Urology","page":"198-201","volume":"67","issue":"2","source":"PubMed","abstract":"Urothelial carcinoma of the bladder (UCB) is genomically heterogeneous, with frequent alterations in genes regulating chromatin state, cell cycle control, and receptor kinase signaling. To identify prognostic genomic markers in high-grade UCB, we used capture-based massively parallel sequencing to analyze 109 tumors. Mutations were detected in 240 genes, with 23 genes mutated in ≥5% of cases. The presence of a recurrent phosphatidylinositol-4,5-bisphosphate 3-kinase, catalytic subunit alpha (PIK3CA) mutation was associated with improved recurrence-free survival (RFS) (hazard ratio [HR]: 0.35; p=0.014) and improved cancer-specific survival (CSS) (HR: 0.35; p=0.040) in patients treated with radical cystectomy (RC). In multivariable analyses controlling for pT and pN stages, PIK3CA mutation remained associated with RFS (HR: 0.39; p=0.032). The most frequent alteration, TP53 mutation (57%), was more common in extravesical disease (69% vs 32%, p=0.005) and lymph node-positive disease (77% vs 56%, p=0.025). Patients with cyclin-dependent kinase inhibitor 2A (CDKN2A)-altered tumors experienced worse RFS (HR: 5.76; p&lt;0.001) and worse CSS (HR: 2.94; p=0.029) in multivariable analyses. Mutations in chromatin-modifying genes were highly prevalent but not associated with outcomes. In UCB patients treated with RC, PIK3CA mutations are associated with favorable outcomes, whereas TP53 and CDKN2A alterations are associated with poor outcomes. Genomic profiling may aid in the identification of UCB patients at highest risk following RC.\nPATIENT SUMMARY: Using next-generation sequencing, we identified genomic subsets of high-grade urothelial bladder cancer associated with favorable and unfavorable outcomes. These findings may aid in the selection of patients most likely to benefit from novel combined modality approaches.","DOI":"10.1016/j.eururo.2014.06.050","ISSN":"1873-7560","note":"PMID: 25092538\nPMCID: PMC4312739","journalAbbreviation":"Eur. Urol.","language":"eng","author":[{"family":"Kim","given":"Philip H."},{"family":"Cha","given":"Eugene K."},{"family":"Sfakianos","given":"John P."},{"family":"Iyer","given":"Gopa"},{"family":"Zabor","given":"Emily C."},{"family":"Scott","given":"Sasinya N."},{"family":"Ostrovnaya","given":"Irina"},{"family":"Ramirez","given":"Ricardo"},{"family":"Sun","given":"Arony"},{"family":"Shah","given":"Ronak"},{"family":"Yee","given":"Alyssa M."},{"family":"Reuter","given":"Victor E."},{"family":"Bajorin","given":"Dean F."},{"family":"Rosenberg","given":"Jonathan E."},{"family":"Schultz","given":"Nikolaus"},{"family":"Berger","given":"Michael F."},{"family":"Al-Ahmadie","given":"Hikmat A."},{"family":"Solit","given":"David B."},{"family":"Bochner","given":"Bernard H."}],"issued":{"date-parts":[["2015",2]]}}}],"schema":"https://github.com/citation-style-language/schema/raw/master/csl-citation.json"} </w:instrText>
      </w:r>
      <w:r w:rsidR="00A20F79" w:rsidRPr="007A5479">
        <w:rPr>
          <w:rFonts w:cs="Times New Roman"/>
          <w:lang w:val="en-US"/>
        </w:rPr>
        <w:fldChar w:fldCharType="separate"/>
      </w:r>
      <w:r w:rsidR="00A20F79" w:rsidRPr="007A5479">
        <w:rPr>
          <w:rFonts w:cs="Times New Roman"/>
          <w:noProof/>
          <w:lang w:val="en-US"/>
        </w:rPr>
        <w:t>(1)</w:t>
      </w:r>
      <w:r w:rsidR="00A20F79" w:rsidRPr="007A5479">
        <w:rPr>
          <w:rFonts w:cs="Times New Roman"/>
          <w:lang w:val="en-US"/>
        </w:rPr>
        <w:fldChar w:fldCharType="end"/>
      </w:r>
      <w:r w:rsidRPr="007A5479">
        <w:rPr>
          <w:rFonts w:cs="Times New Roman"/>
          <w:lang w:val="en-US"/>
        </w:rPr>
        <w:t>. Protein-coding exons of a panel of at least 230 and up to 468 cancer-associated genes (Supplementary Table S1) were sequenced for all samples, using an institutional capture-based next generation sequencing platform (Memorial Sloan Kettering – Integrated Molecular Profiling of Actionable Cancer Targets [MSK-IMPACT])</w:t>
      </w:r>
      <w:r w:rsidR="00A20F79" w:rsidRPr="007A5479">
        <w:rPr>
          <w:rFonts w:cs="Times New Roman"/>
          <w:lang w:val="en-US"/>
        </w:rPr>
        <w:t xml:space="preserve"> </w:t>
      </w:r>
      <w:r w:rsidR="00A20F79" w:rsidRPr="007A5479">
        <w:rPr>
          <w:rFonts w:cs="Times New Roman"/>
          <w:lang w:val="en-US"/>
        </w:rPr>
        <w:fldChar w:fldCharType="begin"/>
      </w:r>
      <w:r w:rsidR="00A20F79" w:rsidRPr="007A5479">
        <w:rPr>
          <w:rFonts w:cs="Times New Roman"/>
          <w:lang w:val="en-US"/>
        </w:rPr>
        <w:instrText xml:space="preserve"> ADDIN ZOTERO_ITEM CSL_CITATION {"citationID":"qGjPan4b","properties":{"formattedCitation":"(2)","plainCitation":"(2)","noteIndex":0},"citationItems":[{"id":863,"uris":["http://zotero.org/users/local/g9a9CQut/items/QJHXJGXB"],"uri":["http://zotero.org/users/local/g9a9CQut/items/QJHXJGXB"],"itemData":{"id":863,"type":"article-journal","title":"Memorial Sloan Kettering-Integrated Mutation Profiling of Actionable Cancer Targets (MSK-IMPACT): A Hybridization Capture-Based Next-Generation Sequencing Clinical Assay for Solid Tumor Molecular Oncology.","container-title":"The Journal of molecular diagnostics : JMD","page":"251-264","volume":"17","issue":"3","abstract":"The identification of specific genetic alterations as key oncogenic drivers and the development of targeted therapies are together transforming clinical oncology and creating a pressing need for increased breadth and throughput of clinical genotyping. Next-generation sequencing assays allow the efficient and unbiased detection of clinically actionable mutations. To enable precision oncology in patients with solid tumors, we developed Memorial Sloan Kettering-Integrated Mutation Profiling of Actionable Cancer Targets (MSK-IMPACT), a hybridization capture-based next-generation sequencing assay for targeted deep sequencing of all exons and selected introns of 341 key cancer genes in formalin-fixed, paraffin-embedded tumors. Barcoded libraries from patient-matched tumor and normal samples were captured, sequenced, and subjected to a custom analysis pipeline to identify somatic mutations. Sensitivity, specificity, reproducibility of MSK-IMPACT were assessed through extensive analytical validation. We tested 284 tumor samples with previously known point mutations and insertions/deletions in 47 exons of 19 cancer genes. All known variants were accurately detected, and there was high reproducibility of inter- and intrarun replicates. The detection limit for low-frequency variants was approximately 2% for hotspot mutations and 5% for nonhotspot mutations. Copy number alterations and structural rearrangements were also reliably detected. MSK-IMPACT profiles oncogenic DNA alterations in clinical solid tumor samples with high accuracy and sensitivity. Paired analysis of tumors and patient-matched normal samples enables unambiguous detection of somatic mutations to guide treatment decisions.","DOI":"10.1016/j.jmoldx.2014.12.006","journalAbbreviation":"J Mol Diagn","author":[{"family":"Cheng","given":"Donavan T"},{"family":"Mitchell","given":"Talia N"},{"family":"Zehir","given":"Ahmet"},{"family":"Shah","given":"Ronak H"},{"family":"Benayed","given":"Ryma"},{"family":"Syed","given":"Aijazuddin"},{"family":"Chandramohan","given":"Raghu"},{"family":"Liu","given":"Zhen Yu"},{"family":"Won","given":"Helen H"},{"family":"Scott","given":"Sasinya N"},{"family":"Brannon","given":"A Rose"},{"family":"O'Reilly","given":"Catherine"},{"family":"Sadowska","given":"Justyna"},{"family":"Casanova","given":"Jacklyn"},{"family":"Yannes","given":"Angela"},{"family":"Hechtman","given":"Jaclyn F"},{"family":"Yao","given":"Jinjuan"},{"family":"Song","given":"Wei"},{"family":"Ross","given":"Dara S"},{"family":"Oultache","given":"Alifya"},{"family":"Dogan","given":"Snjezana"},{"family":"Borsu","given":"Laetitia"},{"family":"Hameed","given":"Meera"},{"family":"Nafa","given":"Khedoudja"},{"family":"Arcila","given":"Maria E"},{"family":"Ladanyi","given":"Marc"},{"family":"Berger","given":"Michael F"}],"issued":{"date-parts":[["2015",5,1]]}}}],"schema":"https://github.com/citation-style-language/schema/raw/master/csl-citation.json"} </w:instrText>
      </w:r>
      <w:r w:rsidR="00A20F79" w:rsidRPr="007A5479">
        <w:rPr>
          <w:rFonts w:cs="Times New Roman"/>
          <w:lang w:val="en-US"/>
        </w:rPr>
        <w:fldChar w:fldCharType="separate"/>
      </w:r>
      <w:r w:rsidR="00A20F79" w:rsidRPr="007A5479">
        <w:rPr>
          <w:rFonts w:cs="Times New Roman"/>
          <w:noProof/>
          <w:lang w:val="en-US"/>
        </w:rPr>
        <w:t>(2)</w:t>
      </w:r>
      <w:r w:rsidR="00A20F79" w:rsidRPr="007A5479">
        <w:rPr>
          <w:rFonts w:cs="Times New Roman"/>
          <w:lang w:val="en-US"/>
        </w:rPr>
        <w:fldChar w:fldCharType="end"/>
      </w:r>
      <w:r w:rsidRPr="007A5479">
        <w:rPr>
          <w:rFonts w:cs="Times New Roman"/>
          <w:lang w:val="en-US"/>
        </w:rPr>
        <w:t>. MSK-IMPACT has been extensively validated and has been optimized to detect single nucleotide variants (SNVs), indels, copy number variants (CNVs) and structural variants in genes that are functionally relevant to cancer. Matched normal DNA was available for all samples and was analyzed simultaneously to identify and filter out germline single nucleotide polymorphisms (SNPs).</w:t>
      </w:r>
    </w:p>
    <w:p w:rsidR="000D77B6" w:rsidRPr="007A5479" w:rsidRDefault="000D77B6" w:rsidP="000D77B6">
      <w:pPr>
        <w:spacing w:line="360" w:lineRule="auto"/>
        <w:jc w:val="both"/>
        <w:rPr>
          <w:rFonts w:cs="Times New Roman"/>
          <w:lang w:val="en-US"/>
        </w:rPr>
      </w:pPr>
    </w:p>
    <w:p w:rsidR="000D77B6" w:rsidRPr="007A5479" w:rsidRDefault="000D77B6" w:rsidP="000D77B6">
      <w:pPr>
        <w:spacing w:line="360" w:lineRule="auto"/>
        <w:jc w:val="both"/>
        <w:rPr>
          <w:rFonts w:cs="Times New Roman"/>
          <w:lang w:val="en-US"/>
        </w:rPr>
      </w:pPr>
      <w:r w:rsidRPr="007A5479">
        <w:rPr>
          <w:rFonts w:cs="Times New Roman"/>
          <w:lang w:val="en-US"/>
        </w:rPr>
        <w:t>Specific details on the panel design, capture protocol, sequencing, quality control, read alignment, and bioinformatic pipeline for variant calling with MSK-IMPACT have been validated and described in depth previously</w:t>
      </w:r>
      <w:r w:rsidR="00A20F79" w:rsidRPr="007A5479">
        <w:rPr>
          <w:rFonts w:cs="Times New Roman"/>
          <w:lang w:val="en-US"/>
        </w:rPr>
        <w:t xml:space="preserve"> </w:t>
      </w:r>
      <w:r w:rsidR="00A20F79" w:rsidRPr="007A5479">
        <w:rPr>
          <w:rFonts w:cs="Times New Roman"/>
          <w:lang w:val="en-US"/>
        </w:rPr>
        <w:fldChar w:fldCharType="begin"/>
      </w:r>
      <w:r w:rsidR="00A20F79" w:rsidRPr="007A5479">
        <w:rPr>
          <w:rFonts w:cs="Times New Roman"/>
          <w:lang w:val="en-US"/>
        </w:rPr>
        <w:instrText xml:space="preserve"> ADDIN ZOTERO_ITEM CSL_CITATION {"citationID":"oyw9VnXI","properties":{"formattedCitation":"(2)","plainCitation":"(2)","noteIndex":0},"citationItems":[{"id":863,"uris":["http://zotero.org/users/local/g9a9CQut/items/QJHXJGXB"],"uri":["http://zotero.org/users/local/g9a9CQut/items/QJHXJGXB"],"itemData":{"id":863,"type":"article-journal","title":"Memorial Sloan Kettering-Integrated Mutation Profiling of Actionable Cancer Targets (MSK-IMPACT): A Hybridization Capture-Based Next-Generation Sequencing Clinical Assay for Solid Tumor Molecular Oncology.","container-title":"The Journal of molecular diagnostics : JMD","page":"251-264","volume":"17","issue":"3","abstract":"The identification of specific genetic alterations as key oncogenic drivers and the development of targeted therapies are together transforming clinical oncology and creating a pressing need for increased breadth and throughput of clinical genotyping. Next-generation sequencing assays allow the efficient and unbiased detection of clinically actionable mutations. To enable precision oncology in patients with solid tumors, we developed Memorial Sloan Kettering-Integrated Mutation Profiling of Actionable Cancer Targets (MSK-IMPACT), a hybridization capture-based next-generation sequencing assay for targeted deep sequencing of all exons and selected introns of 341 key cancer genes in formalin-fixed, paraffin-embedded tumors. Barcoded libraries from patient-matched tumor and normal samples were captured, sequenced, and subjected to a custom analysis pipeline to identify somatic mutations. Sensitivity, specificity, reproducibility of MSK-IMPACT were assessed through extensive analytical validation. We tested 284 tumor samples with previously known point mutations and insertions/deletions in 47 exons of 19 cancer genes. All known variants were accurately detected, and there was high reproducibility of inter- and intrarun replicates. The detection limit for low-frequency variants was approximately 2% for hotspot mutations and 5% for nonhotspot mutations. Copy number alterations and structural rearrangements were also reliably detected. MSK-IMPACT profiles oncogenic DNA alterations in clinical solid tumor samples with high accuracy and sensitivity. Paired analysis of tumors and patient-matched normal samples enables unambiguous detection of somatic mutations to guide treatment decisions.","DOI":"10.1016/j.jmoldx.2014.12.006","journalAbbreviation":"J Mol Diagn","author":[{"family":"Cheng","given":"Donavan T"},{"family":"Mitchell","given":"Talia N"},{"family":"Zehir","given":"Ahmet"},{"family":"Shah","given":"Ronak H"},{"family":"Benayed","given":"Ryma"},{"family":"Syed","given":"Aijazuddin"},{"family":"Chandramohan","given":"Raghu"},{"family":"Liu","given":"Zhen Yu"},{"family":"Won","given":"Helen H"},{"family":"Scott","given":"Sasinya N"},{"family":"Brannon","given":"A Rose"},{"family":"O'Reilly","given":"Catherine"},{"family":"Sadowska","given":"Justyna"},{"family":"Casanova","given":"Jacklyn"},{"family":"Yannes","given":"Angela"},{"family":"Hechtman","given":"Jaclyn F"},{"family":"Yao","given":"Jinjuan"},{"family":"Song","given":"Wei"},{"family":"Ross","given":"Dara S"},{"family":"Oultache","given":"Alifya"},{"family":"Dogan","given":"Snjezana"},{"family":"Borsu","given":"Laetitia"},{"family":"Hameed","given":"Meera"},{"family":"Nafa","given":"Khedoudja"},{"family":"Arcila","given":"Maria E"},{"family":"Ladanyi","given":"Marc"},{"family":"Berger","given":"Michael F"}],"issued":{"date-parts":[["2015",5,1]]}}}],"schema":"https://github.com/citation-style-language/schema/raw/master/csl-citation.json"} </w:instrText>
      </w:r>
      <w:r w:rsidR="00A20F79" w:rsidRPr="007A5479">
        <w:rPr>
          <w:rFonts w:cs="Times New Roman"/>
          <w:lang w:val="en-US"/>
        </w:rPr>
        <w:fldChar w:fldCharType="separate"/>
      </w:r>
      <w:r w:rsidR="00A20F79" w:rsidRPr="007A5479">
        <w:rPr>
          <w:rFonts w:cs="Times New Roman"/>
          <w:noProof/>
          <w:lang w:val="en-US"/>
        </w:rPr>
        <w:t>(2)</w:t>
      </w:r>
      <w:r w:rsidR="00A20F79" w:rsidRPr="007A5479">
        <w:rPr>
          <w:rFonts w:cs="Times New Roman"/>
          <w:lang w:val="en-US"/>
        </w:rPr>
        <w:fldChar w:fldCharType="end"/>
      </w:r>
      <w:r w:rsidR="00A20F79" w:rsidRPr="007A5479">
        <w:rPr>
          <w:rFonts w:cs="Times New Roman"/>
          <w:lang w:val="en-US"/>
        </w:rPr>
        <w:t>.</w:t>
      </w:r>
      <w:r w:rsidRPr="007A5479">
        <w:rPr>
          <w:rFonts w:cs="Times New Roman"/>
          <w:lang w:val="en-US"/>
        </w:rPr>
        <w:t xml:space="preserve"> In brief, DNA from tumor and matched normal specimens for each patient were extracted and normalized to yield 50-250ng of DNA. Specimens with low DNA yield (&lt;50ng) following DNA extraction were deemed insufficient for sequencing. DNA was then sheared for the creation of an equimolar pool of bar-coded libraries and was subjected to targeted exon capture using custom hybrid oligonucleotides capture technology (Nimblegen SeqCap EZ library custom oligo). Deep sequencing on an Illumina HiSeq 2500 (Illumina Inc, San Diego, CA, USA) was performed for all protein-coding exons and selected introns for 230 to 468 cancer genes (Supplementary Table S1).</w:t>
      </w:r>
    </w:p>
    <w:p w:rsidR="000D77B6" w:rsidRPr="007A5479" w:rsidRDefault="000D77B6" w:rsidP="000D77B6">
      <w:pPr>
        <w:spacing w:line="360" w:lineRule="auto"/>
        <w:jc w:val="both"/>
        <w:rPr>
          <w:rFonts w:cs="Times New Roman"/>
          <w:lang w:val="en-US"/>
        </w:rPr>
      </w:pPr>
    </w:p>
    <w:p w:rsidR="000D77B6" w:rsidRPr="007A5479" w:rsidRDefault="000D77B6" w:rsidP="000D77B6">
      <w:pPr>
        <w:spacing w:line="360" w:lineRule="auto"/>
        <w:jc w:val="both"/>
        <w:rPr>
          <w:rFonts w:cs="Times New Roman"/>
          <w:lang w:val="en-US"/>
        </w:rPr>
      </w:pPr>
      <w:r w:rsidRPr="007A5479">
        <w:rPr>
          <w:rFonts w:cs="Times New Roman"/>
          <w:lang w:val="en-US"/>
        </w:rPr>
        <w:lastRenderedPageBreak/>
        <w:t>Sequence reads were aligned to the reference human genome (hg19) around indels to reduce alignment artifacts using the Burrows-Wheeler Alignment tool and the Genome Analysis Toolkit. Single-nucleotide variants were called using MuTect. Insertions and deletions (indels) were called using the Somatic Indel Detector tool. Copy number alterations were identified using an in-house developed algorithm, and structural variants were detected using Delly. Germline variants were eliminated through the use of patient-matched germline DNA. Each alteration identified by the pipeline was manually reviewed. Missense mutations were deemed putative drivers or passengers based on the OncoKB annotation</w:t>
      </w:r>
      <w:r w:rsidR="00A20F79" w:rsidRPr="007A5479">
        <w:rPr>
          <w:rFonts w:cs="Times New Roman"/>
          <w:lang w:val="en-US"/>
        </w:rPr>
        <w:t xml:space="preserve"> </w:t>
      </w:r>
      <w:r w:rsidR="00A20F79" w:rsidRPr="007A5479">
        <w:rPr>
          <w:rFonts w:cs="Times New Roman"/>
          <w:lang w:val="en-US"/>
        </w:rPr>
        <w:fldChar w:fldCharType="begin"/>
      </w:r>
      <w:r w:rsidR="00A20F79" w:rsidRPr="007A5479">
        <w:rPr>
          <w:rFonts w:cs="Times New Roman"/>
          <w:lang w:val="en-US"/>
        </w:rPr>
        <w:instrText xml:space="preserve"> ADDIN ZOTERO_ITEM CSL_CITATION {"citationID":"xSSsL75q","properties":{"formattedCitation":"(3)","plainCitation":"(3)","noteIndex":0},"citationItems":[{"id":843,"uris":["http://zotero.org/users/local/g9a9CQut/items/2DN5B4EM"],"uri":["http://zotero.org/users/local/g9a9CQut/items/2DN5B4EM"],"itemData":{"id":843,"type":"article-journal","title":"OncoKB: A Precision Oncology Knowledge Base.","container-title":"JCO Precision Oncology","abstract":"PURPOSE:With prospective clinical sequencing of tumors emerging as a mainstay in cancer care, there is an urgent need for a clinical support tool that distills the clinical implications associated with specific mutation events into a standardized and easily interpretable format. To this end, we developed OncoKB, an expert-guided precision oncology knowledge base.\n\nMETHODS:OncoKB annotates the biological and oncogenic effect and the prognostic and predictive significance of somatic molecular alterations. Potential treatment implications are stratified by the level of evidence that a specific molecular alteration is predictive of drug response based on US Food and Drug Administration (FDA) labeling, National Comprehensive Cancer Network (NCCN) guidelines, disease-focused expert group recommendations and the scientific literature.\n\nRESULTS:To date, over 3000 unique mutations, fusions, and copy number alterations in 418 cancer-associated genes have been annotated. To test the utility of OncoKB, we annotated all genomic events in 5983 primary tumor samples in 19 cancer types. Forty-one percent of samples harbored at least one potentially actionable alteration, of which 7.5% were predictive of clinical benefit from a standard treatment. OncoKB annotations are available through a public web resource (http://oncokb.org/) and are also incorporated into the cBioPortal for Cancer Genomics to facilitate the interpretation of genomic alterations by physicians and researchers.\n\nCONCLUSION:OncoKB, a comprehensive and curated precision oncology knowledge base, offers oncologists detailed, evidence-based information about individual somatic mutations and structural alterations present in patient tumors with the goal of supporting optimal treatment decisions.","URL":"http://eutils.ncbi.nlm.nih.gov/entrez/eutils/elink.fcgi?dbfrom=pubmed&amp;id=28890946&amp;retmode=ref&amp;cmd=prlinks","journalAbbreviation":"JCO Precision Oncology","author":[{"family":"Chakravarty","given":"Debyani"},{"family":"Gao","given":"Jianjiong"},{"family":"Phillips","given":"Sarah M"},{"family":"Kundra","given":"Ritika"},{"family":"Zhang","given":"Hongxin"},{"family":"Wang","given":"Jiaojiao"},{"family":"Rudolph","given":"Julia E"},{"family":"Yaeger","given":"Rona"},{"family":"Soumerai","given":"Tara"},{"family":"Nissan","given":"Moriah H"},{"family":"Chang","given":"Matthew T"},{"family":"Chandarlapaty","given":"Sarat"},{"family":"Traina","given":"Tiffany A"},{"family":"Paik","given":"Paul K"},{"family":"Ho","given":"Alan L"},{"family":"Hantash","given":"Feras M"},{"family":"Grupe","given":"Andrew"},{"family":"Baxi","given":"Shrujal S"},{"family":"Callahan","given":"Margaret K"},{"family":"Snyder","given":"Alexandra"},{"family":"Chi","given":"Ping"},{"family":"Danila","given":"Daniel"},{"family":"Gounder","given":"Mrinal"},{"family":"Harding","given":"James J"},{"family":"Hellmann","given":"Matthew D"},{"family":"Iyer","given":"Gopa"},{"family":"Janjigian","given":"Yelena"},{"family":"Kaley","given":"Thomas"},{"family":"Levine","given":"Douglas A"},{"family":"Lowery","given":"Maeve"},{"family":"Omuro","given":"Antonio"},{"family":"Postow","given":"Michael A"},{"family":"Rathkopf","given":"Dana"},{"family":"Shoushtari","given":"Alexander N"},{"family":"Shukla","given":"Neerav"},{"family":"Voss","given":"Martin"},{"family":"Paraiso","given":"Ederlinda"},{"family":"Zehir","given":"Ahmet"},{"family":"Berger","given":"Michael F"},{"family":"Taylor","given":"Barry S"},{"family":"Saltz","given":"Leonard B"},{"family":"Riely","given":"Gregory J"},{"family":"Ladanyi","given":"Marc"},{"family":"Hyman","given":"David M"},{"family":"Baselga","given":"José"},{"family":"Sabbatini","given":"Paul"},{"family":"Solit","given":"David B"},{"family":"Schultz","given":"Nikolaus"}],"issued":{"date-parts":[["2017",7,1]]}}}],"schema":"https://github.com/citation-style-language/schema/raw/master/csl-citation.json"} </w:instrText>
      </w:r>
      <w:r w:rsidR="00A20F79" w:rsidRPr="007A5479">
        <w:rPr>
          <w:rFonts w:cs="Times New Roman"/>
          <w:lang w:val="en-US"/>
        </w:rPr>
        <w:fldChar w:fldCharType="separate"/>
      </w:r>
      <w:r w:rsidR="00A20F79" w:rsidRPr="007A5479">
        <w:rPr>
          <w:rFonts w:cs="Times New Roman"/>
          <w:noProof/>
          <w:lang w:val="en-US"/>
        </w:rPr>
        <w:t>(3)</w:t>
      </w:r>
      <w:r w:rsidR="00A20F79" w:rsidRPr="007A5479">
        <w:rPr>
          <w:rFonts w:cs="Times New Roman"/>
          <w:lang w:val="en-US"/>
        </w:rPr>
        <w:fldChar w:fldCharType="end"/>
      </w:r>
      <w:r w:rsidRPr="007A5479">
        <w:rPr>
          <w:rFonts w:cs="Times New Roman"/>
          <w:lang w:val="en-US"/>
        </w:rPr>
        <w:t>. Mutational burden was calculated using the total number of non-synonymous mutations over the total number of megabases sequenced.</w:t>
      </w:r>
    </w:p>
    <w:p w:rsidR="000D77B6" w:rsidRPr="007A5479" w:rsidRDefault="000D77B6" w:rsidP="000D77B6">
      <w:pPr>
        <w:spacing w:line="360" w:lineRule="auto"/>
        <w:jc w:val="both"/>
        <w:rPr>
          <w:rFonts w:cs="Times New Roman"/>
          <w:lang w:val="en-US"/>
        </w:rPr>
      </w:pPr>
    </w:p>
    <w:p w:rsidR="000D77B6" w:rsidRPr="007A5479" w:rsidRDefault="000D77B6" w:rsidP="000D77B6">
      <w:pPr>
        <w:spacing w:line="360" w:lineRule="auto"/>
        <w:jc w:val="both"/>
        <w:rPr>
          <w:rFonts w:cs="Times New Roman"/>
          <w:lang w:val="en-US"/>
        </w:rPr>
      </w:pPr>
      <w:r w:rsidRPr="007A5479">
        <w:rPr>
          <w:rFonts w:cs="Times New Roman"/>
          <w:lang w:val="en-US"/>
        </w:rPr>
        <w:t>To determine allelic configurations, total and allele-specific copy number states were inferred using FACETS (version 0.5.6)</w:t>
      </w:r>
      <w:r w:rsidR="00A20F79" w:rsidRPr="007A5479">
        <w:rPr>
          <w:rFonts w:cs="Times New Roman"/>
          <w:lang w:val="en-US"/>
        </w:rPr>
        <w:t xml:space="preserve"> </w:t>
      </w:r>
      <w:r w:rsidR="00A20F79" w:rsidRPr="007A5479">
        <w:rPr>
          <w:rFonts w:cs="Times New Roman"/>
          <w:lang w:val="en-US"/>
        </w:rPr>
        <w:fldChar w:fldCharType="begin"/>
      </w:r>
      <w:r w:rsidR="00A20F79" w:rsidRPr="007A5479">
        <w:rPr>
          <w:rFonts w:cs="Times New Roman"/>
          <w:lang w:val="en-US"/>
        </w:rPr>
        <w:instrText xml:space="preserve"> ADDIN ZOTERO_ITEM CSL_CITATION {"citationID":"W09CBecA","properties":{"formattedCitation":"(4)","plainCitation":"(4)","noteIndex":0},"citationItems":[{"id":913,"uris":["http://zotero.org/users/local/g9a9CQut/items/ECFTFHYH"],"uri":["http://zotero.org/users/local/g9a9CQut/items/ECFTFHYH"],"itemData":{"id":913,"type":"article-journal","title":"FACETS: allele-specific copy number and clonal heterogeneity analysis tool for high-throughput DNA sequencing","container-title":"Nucleic Acids Research","page":"e131","volume":"44","issue":"16","source":"PubMed","abstract":"Allele-specific copy number analysis (ASCN) from next generation sequencing (NGS) data can greatly extend the utility of NGS beyond the identification of mutations to precisely annotate the genome for the detection of homozygous/heterozygous deletions, copy-neutral loss-of-heterozygosity (LOH), allele-specific gains/amplifications. In addition, as targeted gene panels are increasingly used in clinical sequencing studies for the detection of 'actionable' mutations and copy number alterations to guide treatment decisions, accurate, tumor purity-, ploidy- and clonal heterogeneity-adjusted integer copy number calls are greatly needed to more reliably interpret NGS-based cancer gene copy number data in the context of clinical sequencing. We developed FACETS, an ASCN tool and open-source software with a broad application to whole genome, whole-exome, as well as targeted panel sequencing platforms. It is a fully integrated stand-alone pipeline that includes sequencing BAM file post-processing, joint segmentation of total- and allele-specific read counts, and integer copy number calls corrected for tumor purity, ploidy and clonal heterogeneity, with comprehensive output and integrated visualization. We demonstrate the application of FACETS using The Cancer Genome Atlas (TCGA) whole-exome sequencing of lung adenocarcinoma samples. We also demonstrate its application to a clinical sequencing platform based on a targeted gene panel.","DOI":"10.1093/nar/gkw520","ISSN":"1362-4962","note":"PMID: 27270079\nPMCID: PMC5027494","shortTitle":"FACETS","journalAbbreviation":"Nucleic Acids Res.","language":"eng","author":[{"family":"Shen","given":"Ronglai"},{"family":"Seshan","given":"Venkatraman E."}],"issued":{"date-parts":[["2016"]],"season":"19"}}}],"schema":"https://github.com/citation-style-language/schema/raw/master/csl-citation.json"} </w:instrText>
      </w:r>
      <w:r w:rsidR="00A20F79" w:rsidRPr="007A5479">
        <w:rPr>
          <w:rFonts w:cs="Times New Roman"/>
          <w:lang w:val="en-US"/>
        </w:rPr>
        <w:fldChar w:fldCharType="separate"/>
      </w:r>
      <w:r w:rsidR="00A20F79" w:rsidRPr="007A5479">
        <w:rPr>
          <w:rFonts w:cs="Times New Roman"/>
          <w:noProof/>
          <w:lang w:val="en-US"/>
        </w:rPr>
        <w:t>(4)</w:t>
      </w:r>
      <w:r w:rsidR="00A20F79" w:rsidRPr="007A5479">
        <w:rPr>
          <w:rFonts w:cs="Times New Roman"/>
          <w:lang w:val="en-US"/>
        </w:rPr>
        <w:fldChar w:fldCharType="end"/>
      </w:r>
      <w:r w:rsidRPr="007A5479">
        <w:rPr>
          <w:rFonts w:cs="Times New Roman"/>
          <w:lang w:val="en-US"/>
        </w:rPr>
        <w:t>.</w:t>
      </w:r>
      <w:r w:rsidR="00A20F79" w:rsidRPr="007A5479">
        <w:rPr>
          <w:rFonts w:cs="Times New Roman"/>
          <w:lang w:val="en-US"/>
        </w:rPr>
        <w:t xml:space="preserve"> </w:t>
      </w:r>
      <w:r w:rsidRPr="007A5479">
        <w:rPr>
          <w:rFonts w:cs="Times New Roman"/>
          <w:lang w:val="en-US"/>
        </w:rPr>
        <w:t>We utilized a two-pass implementation whereby a low-sensitivity run (cval = 100) first determines the purity and log-ratio corresponding to diploidy. The copy number state of individual genes is determined by a run with higher sensitivity for focal events (cval = 50).</w:t>
      </w:r>
    </w:p>
    <w:p w:rsidR="000D77B6" w:rsidRPr="007A5479" w:rsidRDefault="000D77B6" w:rsidP="000D77B6">
      <w:pPr>
        <w:spacing w:line="360" w:lineRule="auto"/>
        <w:jc w:val="both"/>
        <w:rPr>
          <w:rFonts w:cs="Times New Roman"/>
          <w:u w:val="single"/>
          <w:lang w:val="en-US"/>
        </w:rPr>
      </w:pPr>
    </w:p>
    <w:p w:rsidR="000D77B6" w:rsidRPr="007A5479" w:rsidRDefault="000D77B6" w:rsidP="000D77B6">
      <w:pPr>
        <w:spacing w:line="360" w:lineRule="auto"/>
        <w:jc w:val="both"/>
        <w:rPr>
          <w:rFonts w:cs="Times New Roman"/>
          <w:b/>
          <w:lang w:val="en-US"/>
        </w:rPr>
      </w:pPr>
      <w:r w:rsidRPr="007A5479">
        <w:rPr>
          <w:rFonts w:cs="Times New Roman"/>
          <w:b/>
          <w:lang w:val="en-US"/>
        </w:rPr>
        <w:t>Microsatellite instability and mutational signature decomposition</w:t>
      </w:r>
    </w:p>
    <w:p w:rsidR="000D77B6" w:rsidRPr="007A5479" w:rsidRDefault="000D77B6" w:rsidP="000D77B6">
      <w:pPr>
        <w:spacing w:line="360" w:lineRule="auto"/>
        <w:jc w:val="both"/>
        <w:rPr>
          <w:rFonts w:cs="Times New Roman"/>
          <w:lang w:val="en-US"/>
        </w:rPr>
      </w:pPr>
      <w:r w:rsidRPr="007A5479">
        <w:rPr>
          <w:rFonts w:cs="Times New Roman"/>
          <w:lang w:val="en-US"/>
        </w:rPr>
        <w:t>The proportions of instable microsatellites were identified using MSIsensor algorithm (version 0.2)</w:t>
      </w:r>
      <w:r w:rsidR="00A20F79" w:rsidRPr="007A5479">
        <w:rPr>
          <w:rFonts w:cs="Times New Roman"/>
          <w:lang w:val="en-US"/>
        </w:rPr>
        <w:t xml:space="preserve"> </w:t>
      </w:r>
      <w:r w:rsidR="00A20F79" w:rsidRPr="007A5479">
        <w:rPr>
          <w:rFonts w:cs="Times New Roman"/>
          <w:lang w:val="en-US"/>
        </w:rPr>
        <w:fldChar w:fldCharType="begin"/>
      </w:r>
      <w:r w:rsidR="00A20F79" w:rsidRPr="007A5479">
        <w:rPr>
          <w:rFonts w:cs="Times New Roman"/>
          <w:lang w:val="en-US"/>
        </w:rPr>
        <w:instrText xml:space="preserve"> ADDIN ZOTERO_ITEM CSL_CITATION {"citationID":"9w8YC0QX","properties":{"formattedCitation":"(5)","plainCitation":"(5)","noteIndex":0},"citationItems":[{"id":869,"uris":["http://zotero.org/users/local/g9a9CQut/items/W7AU9QLS"],"uri":["http://zotero.org/users/local/g9a9CQut/items/W7AU9QLS"],"itemData":{"id":869,"type":"article-journal","title":"MSIsensor: microsatellite instability detection using paired tumor-normal sequence data.","container-title":"Bioinformatics (Oxford, England)","page":"1015-1016","volume":"30","issue":"7","abstract":"MOTIVATION:Microsatellite instability (MSI) is an important indicator of larger genome instability and has been linked to many genetic diseases, including Lynch syndrome. MSI status is also an independent prognostic factor for favorable survival in multiple cancer types, such as colorectal and endometrial. It also informs the choice of chemotherapeutic agents. However, the current PCR-electrophoresis-based detection procedure is laborious and time-consuming, often requiring visual inspection to categorize samples. We developed MSIsensor, a C++ program for automatically detecting somatic microsatellite changes. It computes length distributions of microsatellites per site in paired tumor and normal sequence data, subsequently using these to statistically compare observed distributions in both samples. Comprehensive testing indicates MSIsensor is an efficient and effective tool for deriving MSI status from standard tumor-normal paired sequence data.\n\nAVAILABILITY AND IMPLEMENTATION:https://github.com/ding-lab/msisensor","DOI":"10.1093/bioinformatics/btt755","journalAbbreviation":"Bioinformatics","author":[{"family":"Niu","given":"Beifang"},{"family":"Ye","given":"Kai"},{"family":"Zhang","given":"Qunyuan"},{"family":"Lu","given":"Charles"},{"family":"Xie","given":"Mingchao"},{"family":"McLellan","given":"Michael D"},{"family":"Wendl","given":"Michael C"},{"family":"Ding","given":"Li"}],"issued":{"date-parts":[["2014",4,1]]}}}],"schema":"https://github.com/citation-style-language/schema/raw/master/csl-citation.json"} </w:instrText>
      </w:r>
      <w:r w:rsidR="00A20F79" w:rsidRPr="007A5479">
        <w:rPr>
          <w:rFonts w:cs="Times New Roman"/>
          <w:lang w:val="en-US"/>
        </w:rPr>
        <w:fldChar w:fldCharType="separate"/>
      </w:r>
      <w:r w:rsidR="00A20F79" w:rsidRPr="007A5479">
        <w:rPr>
          <w:rFonts w:cs="Times New Roman"/>
          <w:noProof/>
          <w:lang w:val="en-US"/>
        </w:rPr>
        <w:t>(5)</w:t>
      </w:r>
      <w:r w:rsidR="00A20F79" w:rsidRPr="007A5479">
        <w:rPr>
          <w:rFonts w:cs="Times New Roman"/>
          <w:lang w:val="en-US"/>
        </w:rPr>
        <w:fldChar w:fldCharType="end"/>
      </w:r>
      <w:r w:rsidRPr="007A5479">
        <w:rPr>
          <w:rFonts w:cs="Times New Roman"/>
          <w:lang w:val="en-US"/>
        </w:rPr>
        <w:t>. MSIscore was defined as the percentage of unstable microsatellite sites divided by total number of microsatellite sites tested.</w:t>
      </w:r>
    </w:p>
    <w:p w:rsidR="000D77B6" w:rsidRPr="007A5479" w:rsidRDefault="000D77B6" w:rsidP="000D77B6">
      <w:pPr>
        <w:spacing w:line="360" w:lineRule="auto"/>
        <w:jc w:val="both"/>
        <w:rPr>
          <w:rFonts w:cs="Times New Roman"/>
          <w:lang w:val="en-US"/>
        </w:rPr>
      </w:pPr>
    </w:p>
    <w:p w:rsidR="000D77B6" w:rsidRPr="007A5479" w:rsidRDefault="000D77B6" w:rsidP="000D77B6">
      <w:pPr>
        <w:spacing w:line="360" w:lineRule="auto"/>
        <w:jc w:val="both"/>
        <w:rPr>
          <w:rFonts w:cs="Times New Roman"/>
          <w:lang w:val="en-US"/>
        </w:rPr>
      </w:pPr>
      <w:r w:rsidRPr="007A5479">
        <w:rPr>
          <w:rFonts w:cs="Times New Roman"/>
          <w:lang w:val="en-US"/>
        </w:rPr>
        <w:t>Signature decomposition analysis</w:t>
      </w:r>
      <w:r w:rsidR="00A20F79" w:rsidRPr="007A5479">
        <w:rPr>
          <w:rFonts w:cs="Times New Roman"/>
          <w:lang w:val="en-US"/>
        </w:rPr>
        <w:t xml:space="preserve"> </w:t>
      </w:r>
      <w:r w:rsidR="00A20F79" w:rsidRPr="007A5479">
        <w:rPr>
          <w:rFonts w:cs="Times New Roman"/>
          <w:lang w:val="en-US"/>
        </w:rPr>
        <w:fldChar w:fldCharType="begin"/>
      </w:r>
      <w:r w:rsidR="00A20F79" w:rsidRPr="007A5479">
        <w:rPr>
          <w:rFonts w:cs="Times New Roman"/>
          <w:lang w:val="en-US"/>
        </w:rPr>
        <w:instrText xml:space="preserve"> ADDIN ZOTERO_ITEM CSL_CITATION {"citationID":"4AR7dBCJ","properties":{"formattedCitation":"(6,7)","plainCitation":"(6,7)","noteIndex":0},"citationItems":[{"id":839,"uris":["http://zotero.org/users/local/g9a9CQut/items/RWPWP4JB"],"uri":["http://zotero.org/users/local/g9a9CQut/items/RWPWP4JB"],"itemData":{"id":839,"type":"article-journal","title":"Signatures of mutational processes in human cancer.","container-title":"Nature","page":"415-421","volume":"500","issue":"7463","abstract":"All cancers are caused by somatic mutations; however, understanding of the biological processes generating these mutations is limited. The catalogue of somatic mutations from a cancer genome bears the signatures of the mutational processes that have been operative. Here we analysed 4,938,362 mutations from 7,042 cancers and extracted more than 20 distinct mutational signatures. Some are present in many cancer types, notably a signature attributed to the APOBEC family of cytidine deaminases, whereas others are confined to a single cancer class. Certain signatures are associated with age of the patient at cancer diagnosis, known mutagenic exposures or defects in DNA maintenance, but many are of cryptic origin. In addition to these genome-wide mutational signatures, hypermutation localized to small genomic regions, 'kataegis', is found in many cancer types. The results reveal the diversity of mutational processes underlying the development of cancer, with potential implications for understanding of cancer aetiology, prevention and therapy.","DOI":"10.1038/nature12477","journalAbbreviation":"Nature","author":[{"family":"Alexandrov","given":"Ludmil B"},{"family":"Nik-Zainal","given":"Serena"},{"family":"Wedge","given":"David C"},{"family":"Aparicio","given":"Samuel A J R"},{"family":"Behjati","given":"Sam"},{"family":"Biankin","given":"Andrew V"},{"family":"Bignell","given":"Graham R"},{"family":"Bolli","given":"Niccolò"},{"family":"Borg","given":"Ake"},{"family":"Børresen-Dale","given":"Anne-Lise"},{"family":"Boyault","given":"Sandrine"},{"family":"Burkhardt","given":"Birgit"},{"family":"Butler","given":"Adam P"},{"family":"Caldas","given":"Carlos"},{"family":"Davies","given":"Helen R"},{"family":"Desmedt","given":"Christine"},{"family":"Eils","given":"Roland"},{"family":"Eyfjörd","given":"Jórunn Erla"},{"family":"Foekens","given":"John A"},{"family":"Greaves","given":"Mel"},{"family":"Hosoda","given":"Fumie"},{"family":"Hutter","given":"Barbara"},{"family":"Ilicic","given":"Tomislav"},{"family":"Imbeaud","given":"Sandrine"},{"family":"Imielinski","given":"Marcin"},{"family":"Imielinsk","given":"Marcin"},{"family":"Jäger","given":"Natalie"},{"family":"Jones","given":"David T W"},{"family":"Jones","given":"David"},{"family":"Knappskog","given":"Stian"},{"family":"Kool","given":"Marcel"},{"family":"Lakhani","given":"Sunil R"},{"family":"López-Otín","given":"Carlos"},{"family":"Martin","given":"Sancha"},{"family":"Munshi","given":"Nikhil C"},{"family":"Nakamura","given":"Hiromi"},{"family":"Northcott","given":"Paul A"},{"family":"Pajic","given":"Marina"},{"family":"Papaemmanuil","given":"Elli"},{"family":"Paradiso","given":"Angelo"},{"family":"Pearson","given":"John V"},{"family":"Puente","given":"Xose S"},{"family":"Raine","given":"Keiran"},{"family":"Ramakrishna","given":"Manasa"},{"family":"Richardson","given":"Andrea L"},{"family":"Richter","given":"Julia"},{"family":"Rosenstiel","given":"Philip"},{"family":"Schlesner","given":"Matthias"},{"family":"Schumacher","given":"Ton N"},{"family":"Span","given":"Paul N"},{"family":"Teague","given":"Jon W"},{"family":"Totoki","given":"Yasushi"},{"family":"Tutt","given":"Andrew N J"},{"family":"Valdés-Mas","given":"Rafael"},{"family":"Buuren","given":"Marit M","non-dropping-particle":"van"},{"family":"Veer","given":"Laura","non-dropping-particle":"van 't"},{"family":"Vincent-Salomon","given":"Anne"},{"family":"Waddell","given":"Nicola"},{"family":"Yates","given":"Lucy R"},{"literal":"Australian Pancreatic Cancer Genome Initiative"},{"literal":"ICGC Breast Cancer Consortium"},{"literal":"ICGC MMML-Seq Consortium"},{"literal":"ICGC PedBrain"},{"family":"Zucman-Rossi","given":"Jessica"},{"family":"Futreal","given":"P Andrew"},{"family":"McDermott","given":"Ultan"},{"family":"Lichter","given":"Peter"},{"family":"Meyerson","given":"Matthew"},{"family":"Grimmond","given":"Sean M"},{"family":"Siebert","given":"Reiner"},{"family":"Campo","given":"Elías"},{"family":"Shibata","given":"Tatsuhiro"},{"family":"Pfister","given":"Stefan M"},{"family":"Campbell","given":"Peter J"},{"family":"Stratton","given":"Michael R"}],"issued":{"date-parts":[["2013",8,22]]}}},{"id":916,"uris":["http://zotero.org/users/local/g9a9CQut/items/IYXPSF4R"],"uri":["http://zotero.org/users/local/g9a9CQut/items/IYXPSF4R"],"itemData":{"id":916,"type":"article-journal","title":"Deciphering signatures of mutational processes operative in human cancer","container-title":"Cell Reports","page":"246-259","volume":"3","issue":"1","source":"PubMed","abstract":"The genome of a cancer cell carries somatic mutations that are the cumulative consequences of the DNA damage and repair processes operative during the cellular lineage between the fertilized egg and the cancer cell. Remarkably, these mutational processes are poorly characterized. Global sequencing initiatives are yielding catalogs of somatic mutations from thousands of cancers, thus providing the unique opportunity to decipher the signatures of mutational processes operative in human cancer. However, until now there have been no theoretical models describing the signatures of mutational processes operative in cancer genomes and no systematic computational approaches are available to decipher these mutational signatures. Here, by modeling mutational processes as a blind source separation problem, we introduce a computational framework that effectively addresses these questions. Our approach provides a basis for characterizing mutational signatures from cancer-derived somatic mutational catalogs, paving the way to insights into the pathogenetic mechanism underlying all cancers.","DOI":"10.1016/j.celrep.2012.12.008","ISSN":"2211-1247","note":"PMID: 23318258\nPMCID: PMC3588146","journalAbbreviation":"Cell Rep","language":"eng","author":[{"family":"Alexandrov","given":"Ludmil B."},{"family":"Nik-Zainal","given":"Serena"},{"family":"Wedge","given":"David C."},{"family":"Campbell","given":"Peter J."},{"family":"Stratton","given":"Michael R."}],"issued":{"date-parts":[["2013",1,31]]}}}],"schema":"https://github.com/citation-style-language/schema/raw/master/csl-citation.json"} </w:instrText>
      </w:r>
      <w:r w:rsidR="00A20F79" w:rsidRPr="007A5479">
        <w:rPr>
          <w:rFonts w:cs="Times New Roman"/>
          <w:lang w:val="en-US"/>
        </w:rPr>
        <w:fldChar w:fldCharType="separate"/>
      </w:r>
      <w:r w:rsidR="00A20F79" w:rsidRPr="007A5479">
        <w:rPr>
          <w:rFonts w:cs="Times New Roman"/>
          <w:noProof/>
          <w:lang w:val="en-US"/>
        </w:rPr>
        <w:t>(6,7)</w:t>
      </w:r>
      <w:r w:rsidR="00A20F79" w:rsidRPr="007A5479">
        <w:rPr>
          <w:rFonts w:cs="Times New Roman"/>
          <w:lang w:val="en-US"/>
        </w:rPr>
        <w:fldChar w:fldCharType="end"/>
      </w:r>
      <w:r w:rsidRPr="007A5479">
        <w:rPr>
          <w:rFonts w:cs="Times New Roman"/>
          <w:lang w:val="en-US"/>
        </w:rPr>
        <w:t xml:space="preserve"> was performed for all tumor samples with 10 or more single nucleotide somatic mutations. From the somatic mutations in an individual tumor sample, contributions were inferred from known mutational signatures, which are probability distributions over the nucleotide change and flanking 5’ and 3’ nucleotide context of each mutation. Each mutation in the sample is viewed as a random draw from the following random process: first a mutational signature is chosen at random according to its contribution, or degree of exposure, then a mutation type is chosen at random according to that signature. This gives a mixture model, a weighted combination of signatures where the weights are unknown and sum </w:t>
      </w:r>
      <w:r w:rsidRPr="007A5479">
        <w:rPr>
          <w:rFonts w:cs="Times New Roman"/>
          <w:lang w:val="en-US"/>
        </w:rPr>
        <w:lastRenderedPageBreak/>
        <w:t>to one, with each weight indicating the proportion of mutations in the sample attributed to that signature. These weights are inferred using an optimization algorithm that maximizes a log-likelihood function derived from this random model. Confidence intervals and quasi p-values were calculated via resampling with replacement from the observed set of mutations and performing mutational signature decomposition</w:t>
      </w:r>
      <w:r w:rsidR="00687886">
        <w:rPr>
          <w:rFonts w:cs="Times New Roman"/>
          <w:lang w:val="en-US"/>
        </w:rPr>
        <w:t xml:space="preserve"> for all iterations. The quasi </w:t>
      </w:r>
      <w:r w:rsidR="00687886">
        <w:rPr>
          <w:rFonts w:cs="Times New Roman"/>
          <w:i/>
          <w:lang w:val="en-US"/>
        </w:rPr>
        <w:t>P</w:t>
      </w:r>
      <w:bookmarkStart w:id="0" w:name="_GoBack"/>
      <w:bookmarkEnd w:id="0"/>
      <w:r w:rsidRPr="007A5479">
        <w:rPr>
          <w:rFonts w:cs="Times New Roman"/>
          <w:lang w:val="en-US"/>
        </w:rPr>
        <w:t>-value for a particular signature was calculated as the fraction of samples with a signature proportion greater than a pre-calculated noise threshold (1 x 10</w:t>
      </w:r>
      <w:r w:rsidRPr="007A5479">
        <w:rPr>
          <w:rFonts w:cs="Times New Roman"/>
          <w:vertAlign w:val="superscript"/>
          <w:lang w:val="en-US"/>
        </w:rPr>
        <w:t>-5</w:t>
      </w:r>
      <w:r w:rsidRPr="007A5479">
        <w:rPr>
          <w:rFonts w:cs="Times New Roman"/>
          <w:lang w:val="en-US"/>
        </w:rPr>
        <w:t>). Signatures representing at least 15% mutations and with a significant quasi p-value (&lt;0.05) were plotted.</w:t>
      </w:r>
    </w:p>
    <w:p w:rsidR="000D77B6" w:rsidRPr="007A5479" w:rsidRDefault="000D77B6" w:rsidP="000D77B6">
      <w:pPr>
        <w:spacing w:line="360" w:lineRule="auto"/>
        <w:jc w:val="both"/>
        <w:rPr>
          <w:rFonts w:cs="Times New Roman"/>
          <w:lang w:val="en-US"/>
        </w:rPr>
      </w:pPr>
    </w:p>
    <w:p w:rsidR="000D77B6" w:rsidRPr="007A5479" w:rsidRDefault="000D77B6" w:rsidP="000D77B6">
      <w:pPr>
        <w:spacing w:line="360" w:lineRule="auto"/>
        <w:jc w:val="both"/>
        <w:rPr>
          <w:rFonts w:cs="Times New Roman"/>
          <w:b/>
          <w:lang w:val="en-US"/>
        </w:rPr>
      </w:pPr>
      <w:r w:rsidRPr="007A5479">
        <w:rPr>
          <w:rFonts w:cs="Times New Roman"/>
          <w:b/>
          <w:lang w:val="en-US"/>
        </w:rPr>
        <w:t>Data Availability</w:t>
      </w:r>
    </w:p>
    <w:p w:rsidR="000D77B6" w:rsidRPr="007A5479" w:rsidRDefault="000D77B6" w:rsidP="000D77B6">
      <w:pPr>
        <w:spacing w:line="360" w:lineRule="auto"/>
        <w:jc w:val="both"/>
        <w:rPr>
          <w:rFonts w:cs="Times New Roman"/>
          <w:lang w:val="en-US"/>
        </w:rPr>
      </w:pPr>
      <w:r w:rsidRPr="007A5479">
        <w:rPr>
          <w:rFonts w:cs="Times New Roman"/>
          <w:lang w:val="en-US"/>
        </w:rPr>
        <w:t>Genomic and associated clinicopathologic data are publicly available through the MSKCC cBioPortal for Cancer Genomics</w:t>
      </w:r>
      <w:r w:rsidR="00A20F79" w:rsidRPr="007A5479">
        <w:rPr>
          <w:rFonts w:cs="Times New Roman"/>
          <w:lang w:val="en-US"/>
        </w:rPr>
        <w:t xml:space="preserve"> </w:t>
      </w:r>
      <w:r w:rsidR="00A20F79" w:rsidRPr="007A5479">
        <w:rPr>
          <w:rFonts w:cs="Times New Roman"/>
          <w:lang w:val="en-US"/>
        </w:rPr>
        <w:fldChar w:fldCharType="begin"/>
      </w:r>
      <w:r w:rsidR="00A20F79" w:rsidRPr="007A5479">
        <w:rPr>
          <w:rFonts w:cs="Times New Roman"/>
          <w:lang w:val="en-US"/>
        </w:rPr>
        <w:instrText xml:space="preserve"> ADDIN ZOTERO_ITEM CSL_CITATION {"citationID":"vR0B4L65","properties":{"formattedCitation":"(8)","plainCitation":"(8)","noteIndex":0},"citationItems":[{"id":857,"uris":["http://zotero.org/users/local/g9a9CQut/items/N94A47AP"],"uri":["http://zotero.org/users/local/g9a9CQut/items/N94A47AP"],"itemData":{"id":857,"type":"article-journal","title":"The cBio cancer genomics portal: an open platform for exploring multidimensional cancer genomics data.","container-title":"Cancer discovery","page":"401-404","volume":"2","issue":"5","abstract":"The cBio Cancer Genomics Portal (http://cbioportal.org) is an open-access resource for interactive exploration of multidimensional cancer genomics data sets, currently providing access to data from more than 5,000 tumor samples from 20 cancer studies. The cBio Cancer Genomics Portal significantly lowers the barriers between complex genomic data and cancer researchers who want rapid, intuitive, and high-quality access to molecular profiles and clinical attributes from large-scale cancer genomics projects and empowers researchers to translate these rich data sets into biologic insights and clinical applications.","DOI":"10.1158/2159-8290.CD-12-0095","journalAbbreviation":"Cancer Discov","author":[{"family":"Cerami","given":"Ethan"},{"family":"Gao","given":"Jianjiong"},{"family":"Dogrusoz","given":"Ugur"},{"family":"Gross","given":"Benjamin E"},{"family":"Sumer","given":"Selcuk Onur"},{"family":"Aksoy","given":"Bülent Arman"},{"family":"Jacobsen","given":"Anders"},{"family":"Byrne","given":"Caitlin J"},{"family":"Heuer","given":"Michael L"},{"family":"Larsson","given":"Erik"},{"family":"Antipin","given":"Yevgeniy"},{"family":"Reva","given":"Boris"},{"family":"Goldberg","given":"Arthur P"},{"family":"Sander","given":"Chris"},{"family":"Schultz","given":"Nikolaus"}],"issued":{"date-parts":[["2012",5,1]]}}}],"schema":"https://github.com/citation-style-language/schema/raw/master/csl-citation.json"} </w:instrText>
      </w:r>
      <w:r w:rsidR="00A20F79" w:rsidRPr="007A5479">
        <w:rPr>
          <w:rFonts w:cs="Times New Roman"/>
          <w:lang w:val="en-US"/>
        </w:rPr>
        <w:fldChar w:fldCharType="separate"/>
      </w:r>
      <w:r w:rsidR="00A20F79" w:rsidRPr="007A5479">
        <w:rPr>
          <w:rFonts w:cs="Times New Roman"/>
          <w:noProof/>
          <w:lang w:val="en-US"/>
        </w:rPr>
        <w:t>(8)</w:t>
      </w:r>
      <w:r w:rsidR="00A20F79" w:rsidRPr="007A5479">
        <w:rPr>
          <w:rFonts w:cs="Times New Roman"/>
          <w:lang w:val="en-US"/>
        </w:rPr>
        <w:fldChar w:fldCharType="end"/>
      </w:r>
      <w:r w:rsidRPr="007A5479">
        <w:rPr>
          <w:rFonts w:cs="Times New Roman"/>
          <w:lang w:val="en-US"/>
        </w:rPr>
        <w:t>.</w:t>
      </w:r>
      <w:r w:rsidR="00A20F79" w:rsidRPr="007A5479">
        <w:rPr>
          <w:rFonts w:cs="Times New Roman"/>
          <w:lang w:val="en-US"/>
        </w:rPr>
        <w:t xml:space="preserve"> </w:t>
      </w:r>
    </w:p>
    <w:p w:rsidR="000D77B6" w:rsidRPr="007A5479" w:rsidRDefault="000D77B6" w:rsidP="000D77B6">
      <w:pPr>
        <w:spacing w:line="360" w:lineRule="auto"/>
        <w:jc w:val="both"/>
        <w:rPr>
          <w:rFonts w:cs="Times New Roman"/>
          <w:b/>
          <w:u w:val="single"/>
          <w:lang w:val="en-US"/>
        </w:rPr>
      </w:pPr>
    </w:p>
    <w:p w:rsidR="000D77B6" w:rsidRPr="007A5479" w:rsidRDefault="000D77B6" w:rsidP="000D77B6">
      <w:pPr>
        <w:spacing w:line="360" w:lineRule="auto"/>
        <w:rPr>
          <w:rFonts w:cs="Times New Roman"/>
          <w:b/>
          <w:lang w:val="en-US"/>
        </w:rPr>
      </w:pPr>
      <w:r w:rsidRPr="007A5479">
        <w:rPr>
          <w:rFonts w:cs="Times New Roman"/>
          <w:b/>
          <w:lang w:val="en-US"/>
        </w:rPr>
        <w:t>References</w:t>
      </w:r>
    </w:p>
    <w:p w:rsidR="00A20F79" w:rsidRPr="007A5479" w:rsidRDefault="00A20F79" w:rsidP="00A20F79">
      <w:pPr>
        <w:pStyle w:val="Bibliographie1"/>
        <w:spacing w:after="60"/>
        <w:jc w:val="both"/>
        <w:rPr>
          <w:rFonts w:ascii="Calibri"/>
          <w:noProof/>
          <w:sz w:val="24"/>
          <w:szCs w:val="24"/>
          <w:lang w:val="en-US"/>
        </w:rPr>
      </w:pPr>
      <w:r w:rsidRPr="007A5479">
        <w:rPr>
          <w:noProof/>
          <w:sz w:val="24"/>
          <w:szCs w:val="24"/>
          <w:lang w:val="en-US"/>
        </w:rPr>
        <w:fldChar w:fldCharType="begin"/>
      </w:r>
      <w:r w:rsidRPr="007A5479">
        <w:rPr>
          <w:noProof/>
          <w:sz w:val="24"/>
          <w:szCs w:val="24"/>
          <w:lang w:val="en-US"/>
        </w:rPr>
        <w:instrText xml:space="preserve"> ADDIN ZOTERO_BIBL {"uncited":[],"omitted":[],"custom":[]} CSL_BIBLIOGRAPHY </w:instrText>
      </w:r>
      <w:r w:rsidRPr="007A5479">
        <w:rPr>
          <w:noProof/>
          <w:sz w:val="24"/>
          <w:szCs w:val="24"/>
          <w:lang w:val="en-US"/>
        </w:rPr>
        <w:fldChar w:fldCharType="separate"/>
      </w:r>
      <w:r w:rsidRPr="007A5479">
        <w:rPr>
          <w:rFonts w:ascii="Calibri"/>
          <w:noProof/>
          <w:sz w:val="24"/>
          <w:szCs w:val="24"/>
          <w:lang w:val="en-US"/>
        </w:rPr>
        <w:t xml:space="preserve">1. </w:t>
      </w:r>
      <w:r w:rsidRPr="007A5479">
        <w:rPr>
          <w:rFonts w:ascii="Calibri"/>
          <w:noProof/>
          <w:sz w:val="24"/>
          <w:szCs w:val="24"/>
          <w:lang w:val="en-US"/>
        </w:rPr>
        <w:tab/>
        <w:t xml:space="preserve">Kim PH, Cha EK, Sfakianos JP, Iyer G, Zabor EC, Scott SN, et al. Genomic predictors of survival in patients with high-grade urothelial carcinoma of the bladder. Eur Urol. 2015;67:198–201. </w:t>
      </w:r>
    </w:p>
    <w:p w:rsidR="00A20F79" w:rsidRPr="007A5479" w:rsidRDefault="00A20F79" w:rsidP="00A20F79">
      <w:pPr>
        <w:pStyle w:val="Bibliographie1"/>
        <w:spacing w:after="60"/>
        <w:jc w:val="both"/>
        <w:rPr>
          <w:rFonts w:ascii="Calibri"/>
          <w:noProof/>
          <w:sz w:val="24"/>
          <w:szCs w:val="24"/>
          <w:lang w:val="en-US"/>
        </w:rPr>
      </w:pPr>
      <w:r w:rsidRPr="007A5479">
        <w:rPr>
          <w:rFonts w:ascii="Calibri"/>
          <w:noProof/>
          <w:sz w:val="24"/>
          <w:szCs w:val="24"/>
          <w:lang w:val="en-US"/>
        </w:rPr>
        <w:t xml:space="preserve">2. </w:t>
      </w:r>
      <w:r w:rsidRPr="007A5479">
        <w:rPr>
          <w:rFonts w:ascii="Calibri"/>
          <w:noProof/>
          <w:sz w:val="24"/>
          <w:szCs w:val="24"/>
          <w:lang w:val="en-US"/>
        </w:rPr>
        <w:tab/>
        <w:t xml:space="preserve">Cheng DT, Mitchell TN, Zehir A, Shah RH, Benayed R, Syed A, et al. Memorial Sloan Kettering-Integrated Mutation Profiling of Actionable Cancer Targets (MSK-IMPACT): A Hybridization Capture-Based Next-Generation Sequencing Clinical Assay for Solid Tumor Molecular Oncology. J Mol Diagn. 2015;17:251–64. </w:t>
      </w:r>
    </w:p>
    <w:p w:rsidR="00A20F79" w:rsidRPr="007A5479" w:rsidRDefault="00A20F79" w:rsidP="00A20F79">
      <w:pPr>
        <w:pStyle w:val="Bibliographie1"/>
        <w:spacing w:after="60"/>
        <w:jc w:val="both"/>
        <w:rPr>
          <w:rFonts w:ascii="Calibri"/>
          <w:noProof/>
          <w:sz w:val="24"/>
          <w:szCs w:val="24"/>
          <w:lang w:val="en-US"/>
        </w:rPr>
      </w:pPr>
      <w:r w:rsidRPr="007A5479">
        <w:rPr>
          <w:rFonts w:ascii="Calibri"/>
          <w:noProof/>
          <w:sz w:val="24"/>
          <w:szCs w:val="24"/>
          <w:lang w:val="en-US"/>
        </w:rPr>
        <w:t xml:space="preserve">3. </w:t>
      </w:r>
      <w:r w:rsidRPr="007A5479">
        <w:rPr>
          <w:rFonts w:ascii="Calibri"/>
          <w:noProof/>
          <w:sz w:val="24"/>
          <w:szCs w:val="24"/>
          <w:lang w:val="en-US"/>
        </w:rPr>
        <w:tab/>
        <w:t>Chakravarty D, Gao J, Phillips SM, Kundra R, Zhang H, Wang J, et al. OncoKB: A Precision Oncology Knowledge Base. JCO Precision Oncology [Internet]. 2017; Available from: http://eutils.ncbi.nlm.nih.gov/entrez/eutils/elink.fcgi?dbfrom=pubmed&amp;id=28890946&amp;retmode=ref&amp;cmd=prlinks</w:t>
      </w:r>
    </w:p>
    <w:p w:rsidR="00A20F79" w:rsidRPr="007A5479" w:rsidRDefault="00A20F79" w:rsidP="00A20F79">
      <w:pPr>
        <w:pStyle w:val="Bibliographie1"/>
        <w:spacing w:after="60"/>
        <w:jc w:val="both"/>
        <w:rPr>
          <w:rFonts w:ascii="Calibri"/>
          <w:noProof/>
          <w:sz w:val="24"/>
          <w:szCs w:val="24"/>
          <w:lang w:val="en-US"/>
        </w:rPr>
      </w:pPr>
      <w:r w:rsidRPr="007A5479">
        <w:rPr>
          <w:rFonts w:ascii="Calibri"/>
          <w:noProof/>
          <w:sz w:val="24"/>
          <w:szCs w:val="24"/>
          <w:lang w:val="en-US"/>
        </w:rPr>
        <w:t xml:space="preserve">4. </w:t>
      </w:r>
      <w:r w:rsidRPr="007A5479">
        <w:rPr>
          <w:rFonts w:ascii="Calibri"/>
          <w:noProof/>
          <w:sz w:val="24"/>
          <w:szCs w:val="24"/>
          <w:lang w:val="en-US"/>
        </w:rPr>
        <w:tab/>
        <w:t xml:space="preserve">Shen R, Seshan VE. FACETS: allele-specific copy number and clonal heterogeneity analysis tool for high-throughput DNA sequencing. Nucleic Acids Res. 2016;44:e131. </w:t>
      </w:r>
    </w:p>
    <w:p w:rsidR="00A20F79" w:rsidRPr="007A5479" w:rsidRDefault="00A20F79" w:rsidP="00A20F79">
      <w:pPr>
        <w:pStyle w:val="Bibliographie1"/>
        <w:spacing w:after="60"/>
        <w:jc w:val="both"/>
        <w:rPr>
          <w:rFonts w:ascii="Calibri"/>
          <w:noProof/>
          <w:sz w:val="24"/>
          <w:szCs w:val="24"/>
          <w:lang w:val="en-US"/>
        </w:rPr>
      </w:pPr>
      <w:r w:rsidRPr="007A5479">
        <w:rPr>
          <w:rFonts w:ascii="Calibri"/>
          <w:noProof/>
          <w:sz w:val="24"/>
          <w:szCs w:val="24"/>
          <w:lang w:val="en-US"/>
        </w:rPr>
        <w:t xml:space="preserve">5. </w:t>
      </w:r>
      <w:r w:rsidRPr="007A5479">
        <w:rPr>
          <w:rFonts w:ascii="Calibri"/>
          <w:noProof/>
          <w:sz w:val="24"/>
          <w:szCs w:val="24"/>
          <w:lang w:val="en-US"/>
        </w:rPr>
        <w:tab/>
        <w:t xml:space="preserve">Niu B, Ye K, Zhang Q, Lu C, Xie M, McLellan MD, et al. MSIsensor: microsatellite instability detection using paired tumor-normal sequence data. Bioinformatics. 2014;30:1015–6. </w:t>
      </w:r>
    </w:p>
    <w:p w:rsidR="00A20F79" w:rsidRPr="007A5479" w:rsidRDefault="00A20F79" w:rsidP="00A20F79">
      <w:pPr>
        <w:pStyle w:val="Bibliographie1"/>
        <w:spacing w:after="60"/>
        <w:jc w:val="both"/>
        <w:rPr>
          <w:rFonts w:ascii="Calibri"/>
          <w:noProof/>
          <w:sz w:val="24"/>
          <w:szCs w:val="24"/>
          <w:lang w:val="en-US"/>
        </w:rPr>
      </w:pPr>
      <w:r w:rsidRPr="007A5479">
        <w:rPr>
          <w:rFonts w:ascii="Calibri"/>
          <w:noProof/>
          <w:sz w:val="24"/>
          <w:szCs w:val="24"/>
          <w:lang w:val="en-US"/>
        </w:rPr>
        <w:t xml:space="preserve">6. </w:t>
      </w:r>
      <w:r w:rsidRPr="007A5479">
        <w:rPr>
          <w:rFonts w:ascii="Calibri"/>
          <w:noProof/>
          <w:sz w:val="24"/>
          <w:szCs w:val="24"/>
          <w:lang w:val="en-US"/>
        </w:rPr>
        <w:tab/>
        <w:t xml:space="preserve">Alexandrov LB, Nik-Zainal S, Wedge DC, Aparicio SAJR, Behjati S, Biankin AV, et al. Signatures of mutational processes in human cancer. Nature. 2013;500:415–21. </w:t>
      </w:r>
    </w:p>
    <w:p w:rsidR="00A20F79" w:rsidRPr="007A5479" w:rsidRDefault="00A20F79" w:rsidP="00A20F79">
      <w:pPr>
        <w:pStyle w:val="Bibliographie1"/>
        <w:spacing w:after="60"/>
        <w:jc w:val="both"/>
        <w:rPr>
          <w:rFonts w:ascii="Calibri"/>
          <w:noProof/>
          <w:sz w:val="24"/>
          <w:szCs w:val="24"/>
          <w:lang w:val="en-US"/>
        </w:rPr>
      </w:pPr>
      <w:r w:rsidRPr="007A5479">
        <w:rPr>
          <w:rFonts w:ascii="Calibri"/>
          <w:noProof/>
          <w:sz w:val="24"/>
          <w:szCs w:val="24"/>
          <w:lang w:val="en-US"/>
        </w:rPr>
        <w:t xml:space="preserve">7. </w:t>
      </w:r>
      <w:r w:rsidRPr="007A5479">
        <w:rPr>
          <w:rFonts w:ascii="Calibri"/>
          <w:noProof/>
          <w:sz w:val="24"/>
          <w:szCs w:val="24"/>
          <w:lang w:val="en-US"/>
        </w:rPr>
        <w:tab/>
        <w:t xml:space="preserve">Alexandrov LB, Nik-Zainal S, Wedge DC, Campbell PJ, Stratton MR. Deciphering signatures of mutational processes operative in human cancer. Cell Rep. 2013;3:246–59. </w:t>
      </w:r>
    </w:p>
    <w:p w:rsidR="00A20F79" w:rsidRPr="007A5479" w:rsidRDefault="00A20F79" w:rsidP="00C65D17">
      <w:pPr>
        <w:pStyle w:val="Bibliographie1"/>
        <w:spacing w:after="60"/>
        <w:jc w:val="both"/>
        <w:rPr>
          <w:lang w:val="en-US"/>
        </w:rPr>
      </w:pPr>
      <w:r w:rsidRPr="007A5479">
        <w:rPr>
          <w:rFonts w:ascii="Calibri"/>
          <w:noProof/>
          <w:sz w:val="24"/>
          <w:szCs w:val="24"/>
          <w:lang w:val="en-US"/>
        </w:rPr>
        <w:t xml:space="preserve">8. </w:t>
      </w:r>
      <w:r w:rsidRPr="007A5479">
        <w:rPr>
          <w:rFonts w:ascii="Calibri"/>
          <w:noProof/>
          <w:sz w:val="24"/>
          <w:szCs w:val="24"/>
          <w:lang w:val="en-US"/>
        </w:rPr>
        <w:tab/>
        <w:t xml:space="preserve">Cerami E, Gao J, Dogrusoz U, Gross BE, Sumer SO, Aksoy BA, et al. The cBio cancer genomics portal: an open platform for exploring multidimensional cancer genomics data. Cancer Discov. 2012;2:401–4. </w:t>
      </w:r>
      <w:r w:rsidRPr="007A5479">
        <w:rPr>
          <w:noProof/>
          <w:lang w:val="en-US"/>
        </w:rPr>
        <w:fldChar w:fldCharType="end"/>
      </w:r>
    </w:p>
    <w:sectPr w:rsidR="00A20F79" w:rsidRPr="007A5479" w:rsidSect="00613F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B6"/>
    <w:rsid w:val="000D77B6"/>
    <w:rsid w:val="001E14BF"/>
    <w:rsid w:val="003E398E"/>
    <w:rsid w:val="00613F1A"/>
    <w:rsid w:val="00687886"/>
    <w:rsid w:val="007A5479"/>
    <w:rsid w:val="009663EC"/>
    <w:rsid w:val="00A20F79"/>
    <w:rsid w:val="00C65D17"/>
    <w:rsid w:val="00D50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E9C64F"/>
  <w14:defaultImageDpi w14:val="32767"/>
  <w15:chartTrackingRefBased/>
  <w15:docId w15:val="{D82A9640-CC88-AC40-9626-6EDDC156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7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1">
    <w:name w:val="Bibliographie1"/>
    <w:basedOn w:val="Normal"/>
    <w:link w:val="BibliographyCar"/>
    <w:rsid w:val="00A20F79"/>
    <w:pPr>
      <w:tabs>
        <w:tab w:val="left" w:pos="380"/>
      </w:tabs>
      <w:spacing w:after="240"/>
      <w:ind w:left="384" w:hanging="384"/>
    </w:pPr>
    <w:rPr>
      <w:sz w:val="22"/>
      <w:szCs w:val="22"/>
    </w:rPr>
  </w:style>
  <w:style w:type="character" w:customStyle="1" w:styleId="BibliographyCar">
    <w:name w:val="Bibliography Car"/>
    <w:basedOn w:val="Policepardfaut"/>
    <w:link w:val="Bibliographie1"/>
    <w:rsid w:val="00A20F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5141</Words>
  <Characters>29976</Characters>
  <Application>Microsoft Office Word</Application>
  <DocSecurity>0</DocSecurity>
  <Lines>545</Lines>
  <Paragraphs>272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AUDENET</dc:creator>
  <cp:keywords/>
  <dc:description/>
  <cp:lastModifiedBy>François AUDENET</cp:lastModifiedBy>
  <cp:revision>5</cp:revision>
  <dcterms:created xsi:type="dcterms:W3CDTF">2018-06-27T16:59:00Z</dcterms:created>
  <dcterms:modified xsi:type="dcterms:W3CDTF">2018-06-27T21:02:00Z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id="VLT2HIFU"/&gt;&lt;style id="http://www.zotero.org/styles/clinical-cancer-research" hasBibliography="1" bibliographyStyleHasBeenSet="1"/&gt;&lt;prefs&gt;&lt;pref name="fieldType" value="Field"/&gt;&lt;/prefs&gt;&lt;/data&gt;</vt:lpwstr>
  </property>
</Properties>
</file>