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FE" w:rsidRPr="007632FC" w:rsidRDefault="00AB33E2" w:rsidP="007632FC">
      <w:pPr>
        <w:autoSpaceDE w:val="0"/>
        <w:autoSpaceDN w:val="0"/>
        <w:adjustRightInd w:val="0"/>
        <w:spacing w:after="0" w:line="480" w:lineRule="auto"/>
        <w:jc w:val="both"/>
        <w:rPr>
          <w:rFonts w:ascii="Times New Roman" w:hAnsi="Times New Roman" w:cs="Times New Roman"/>
          <w:b/>
          <w:sz w:val="24"/>
          <w:szCs w:val="24"/>
          <w:u w:val="single"/>
          <w:lang w:val="en-US"/>
        </w:rPr>
      </w:pPr>
      <w:r w:rsidRPr="007632FC">
        <w:rPr>
          <w:rFonts w:ascii="Times New Roman" w:hAnsi="Times New Roman" w:cs="Times New Roman"/>
          <w:b/>
          <w:sz w:val="24"/>
          <w:szCs w:val="24"/>
          <w:u w:val="single"/>
          <w:lang w:val="en-US"/>
        </w:rPr>
        <w:t>SUPPL</w:t>
      </w:r>
      <w:r w:rsidR="00535F4F" w:rsidRPr="007632FC">
        <w:rPr>
          <w:rFonts w:ascii="Times New Roman" w:hAnsi="Times New Roman" w:cs="Times New Roman"/>
          <w:b/>
          <w:sz w:val="24"/>
          <w:szCs w:val="24"/>
          <w:u w:val="single"/>
          <w:lang w:val="en-US"/>
        </w:rPr>
        <w:t>E</w:t>
      </w:r>
      <w:r w:rsidRPr="007632FC">
        <w:rPr>
          <w:rFonts w:ascii="Times New Roman" w:hAnsi="Times New Roman" w:cs="Times New Roman"/>
          <w:b/>
          <w:sz w:val="24"/>
          <w:szCs w:val="24"/>
          <w:u w:val="single"/>
          <w:lang w:val="en-US"/>
        </w:rPr>
        <w:t>MENTARY MATERIALS AND METHODS</w:t>
      </w:r>
    </w:p>
    <w:p w:rsidR="00BF58FE" w:rsidRPr="007632FC" w:rsidRDefault="00BF58FE" w:rsidP="007632FC">
      <w:pPr>
        <w:autoSpaceDE w:val="0"/>
        <w:autoSpaceDN w:val="0"/>
        <w:adjustRightInd w:val="0"/>
        <w:spacing w:after="0" w:line="480" w:lineRule="auto"/>
        <w:jc w:val="both"/>
        <w:rPr>
          <w:rFonts w:ascii="Times New Roman" w:hAnsi="Times New Roman" w:cs="Times New Roman"/>
          <w:b/>
          <w:sz w:val="24"/>
          <w:szCs w:val="24"/>
          <w:u w:val="single"/>
          <w:lang w:val="en-US"/>
        </w:rPr>
      </w:pPr>
      <w:r w:rsidRPr="007632FC">
        <w:rPr>
          <w:rFonts w:ascii="Times New Roman" w:hAnsi="Times New Roman" w:cs="Times New Roman"/>
          <w:b/>
          <w:sz w:val="24"/>
          <w:szCs w:val="24"/>
          <w:u w:val="single"/>
          <w:lang w:val="en-US"/>
        </w:rPr>
        <w:t>Reagents</w:t>
      </w:r>
    </w:p>
    <w:p w:rsidR="00D2372F" w:rsidRDefault="00BF58FE" w:rsidP="007632FC">
      <w:pPr>
        <w:pStyle w:val="xmsoplaintext"/>
        <w:spacing w:before="0" w:beforeAutospacing="0" w:after="0" w:afterAutospacing="0" w:line="480" w:lineRule="auto"/>
        <w:jc w:val="both"/>
      </w:pPr>
      <w:r w:rsidRPr="007632FC">
        <w:rPr>
          <w:lang w:val="en-US"/>
        </w:rPr>
        <w:t xml:space="preserve">For </w:t>
      </w:r>
      <w:r w:rsidRPr="007632FC">
        <w:rPr>
          <w:i/>
          <w:lang w:val="en-US"/>
        </w:rPr>
        <w:t>in vivo</w:t>
      </w:r>
      <w:r w:rsidR="00606B48">
        <w:rPr>
          <w:lang w:val="en-US"/>
        </w:rPr>
        <w:t xml:space="preserve"> experiments, rat</w:t>
      </w:r>
      <w:r w:rsidRPr="007632FC">
        <w:rPr>
          <w:lang w:val="en-US"/>
        </w:rPr>
        <w:t xml:space="preserve"> anti mouse PD-1 (clone RMP1-14) was purchased from </w:t>
      </w:r>
      <w:proofErr w:type="spellStart"/>
      <w:r w:rsidRPr="007632FC">
        <w:rPr>
          <w:lang w:val="en-US"/>
        </w:rPr>
        <w:t>BioXCell</w:t>
      </w:r>
      <w:proofErr w:type="spellEnd"/>
      <w:r w:rsidRPr="007632FC">
        <w:rPr>
          <w:lang w:val="en-US"/>
        </w:rPr>
        <w:t xml:space="preserve"> (West Lebanon, NH, USA). For </w:t>
      </w:r>
      <w:proofErr w:type="spellStart"/>
      <w:r w:rsidRPr="007632FC">
        <w:rPr>
          <w:lang w:val="en-US"/>
        </w:rPr>
        <w:t>immunohistochemical</w:t>
      </w:r>
      <w:proofErr w:type="spellEnd"/>
      <w:r w:rsidRPr="007632FC">
        <w:rPr>
          <w:lang w:val="en-US"/>
        </w:rPr>
        <w:t xml:space="preserve"> analyses, we utilized the following primary antibodies: purified rat anti-Mouse CD45 (Clone  30-F11, BD Biosciences, San Jose, CA, USA) for the identification of all leukocytes, rat anti mouse F4/80 (Clone Cl:A3-1, </w:t>
      </w:r>
      <w:proofErr w:type="spellStart"/>
      <w:r w:rsidRPr="007632FC">
        <w:rPr>
          <w:lang w:val="en-US"/>
        </w:rPr>
        <w:t>BioRad</w:t>
      </w:r>
      <w:proofErr w:type="spellEnd"/>
      <w:r w:rsidRPr="007632FC">
        <w:rPr>
          <w:lang w:val="en-US"/>
        </w:rPr>
        <w:t xml:space="preserve">, Hercules, CA, USA) for the identification of macrophages, anti </w:t>
      </w:r>
      <w:proofErr w:type="spellStart"/>
      <w:r w:rsidRPr="007632FC">
        <w:rPr>
          <w:lang w:val="en-US"/>
        </w:rPr>
        <w:t>arginase</w:t>
      </w:r>
      <w:proofErr w:type="spellEnd"/>
      <w:r w:rsidRPr="007632FC">
        <w:rPr>
          <w:lang w:val="en-US"/>
        </w:rPr>
        <w:t xml:space="preserve"> I (</w:t>
      </w:r>
      <w:proofErr w:type="spellStart"/>
      <w:r w:rsidRPr="007632FC">
        <w:rPr>
          <w:lang w:val="en-US"/>
        </w:rPr>
        <w:t>Genetex</w:t>
      </w:r>
      <w:proofErr w:type="spellEnd"/>
      <w:r w:rsidRPr="007632FC">
        <w:rPr>
          <w:lang w:val="en-US"/>
        </w:rPr>
        <w:t xml:space="preserve"> International Corp., Irvine, CA,  USA), Purified rat anti-mouse Ly-6G and Ly-6C (Gr-1) (Clone RB6-8C5, BD </w:t>
      </w:r>
      <w:proofErr w:type="spellStart"/>
      <w:r w:rsidRPr="007632FC">
        <w:rPr>
          <w:lang w:val="en-US"/>
        </w:rPr>
        <w:t>Pharmingen</w:t>
      </w:r>
      <w:proofErr w:type="spellEnd"/>
      <w:r w:rsidRPr="007632FC">
        <w:rPr>
          <w:lang w:val="en-US"/>
        </w:rPr>
        <w:t xml:space="preserve">) for the identification of granulocytes, purified rat anti-mouse CD45R (Clone RA3-6B2, BD </w:t>
      </w:r>
      <w:proofErr w:type="spellStart"/>
      <w:r w:rsidRPr="007632FC">
        <w:rPr>
          <w:lang w:val="en-US"/>
        </w:rPr>
        <w:t>Pharmingen</w:t>
      </w:r>
      <w:proofErr w:type="spellEnd"/>
      <w:r w:rsidRPr="007632FC">
        <w:rPr>
          <w:lang w:val="en-US"/>
        </w:rPr>
        <w:t>) for the identification of B cells, mouse NKp46/NCR1 antibody (R&amp;D systems, Minneapolis, MN, USA) for the identification of NK cells.</w:t>
      </w:r>
      <w:r w:rsidR="00D2372F" w:rsidRPr="007632FC">
        <w:rPr>
          <w:b/>
          <w:lang w:val="en-US"/>
        </w:rPr>
        <w:t xml:space="preserve"> </w:t>
      </w:r>
      <w:r w:rsidR="00D2372F" w:rsidRPr="007632FC">
        <w:rPr>
          <w:lang w:val="en-US"/>
        </w:rPr>
        <w:t xml:space="preserve">We utilized the following antibodies for Flow </w:t>
      </w:r>
      <w:proofErr w:type="spellStart"/>
      <w:r w:rsidR="00D2372F" w:rsidRPr="007632FC">
        <w:rPr>
          <w:lang w:val="en-US"/>
        </w:rPr>
        <w:t>Cytometry</w:t>
      </w:r>
      <w:proofErr w:type="spellEnd"/>
      <w:r w:rsidR="00D2372F" w:rsidRPr="007632FC">
        <w:rPr>
          <w:lang w:val="en-US"/>
        </w:rPr>
        <w:t xml:space="preserve"> analysis: </w:t>
      </w:r>
      <w:r w:rsidR="00D2372F" w:rsidRPr="007632FC">
        <w:t xml:space="preserve">CD45 </w:t>
      </w:r>
      <w:proofErr w:type="spellStart"/>
      <w:r w:rsidR="00D2372F" w:rsidRPr="007632FC">
        <w:t>VioGreen</w:t>
      </w:r>
      <w:proofErr w:type="spellEnd"/>
      <w:r w:rsidR="00D2372F" w:rsidRPr="007632FC">
        <w:t xml:space="preserve"> (</w:t>
      </w:r>
      <w:proofErr w:type="spellStart"/>
      <w:r w:rsidR="00D2372F" w:rsidRPr="007632FC">
        <w:t>Miltenyi</w:t>
      </w:r>
      <w:proofErr w:type="spellEnd"/>
      <w:r w:rsidR="00D2372F" w:rsidRPr="007632FC">
        <w:t xml:space="preserve">, </w:t>
      </w:r>
      <w:proofErr w:type="spellStart"/>
      <w:r w:rsidR="00D2372F" w:rsidRPr="007632FC">
        <w:t>Bergisch</w:t>
      </w:r>
      <w:proofErr w:type="spellEnd"/>
      <w:r w:rsidR="00D2372F" w:rsidRPr="007632FC">
        <w:t xml:space="preserve"> </w:t>
      </w:r>
      <w:proofErr w:type="spellStart"/>
      <w:r w:rsidR="00D2372F" w:rsidRPr="007632FC">
        <w:t>Gladbach</w:t>
      </w:r>
      <w:proofErr w:type="spellEnd"/>
      <w:r w:rsidR="00D2372F" w:rsidRPr="007632FC">
        <w:t>, Germany), DX5 PeVio770 (</w:t>
      </w:r>
      <w:proofErr w:type="spellStart"/>
      <w:r w:rsidR="00D2372F" w:rsidRPr="007632FC">
        <w:t>Miltenyi</w:t>
      </w:r>
      <w:proofErr w:type="spellEnd"/>
      <w:r w:rsidR="00D2372F" w:rsidRPr="007632FC">
        <w:t xml:space="preserve">), </w:t>
      </w:r>
      <w:r w:rsidR="00D2372F" w:rsidRPr="007632FC">
        <w:rPr>
          <w:lang w:val="en-US"/>
        </w:rPr>
        <w:t xml:space="preserve">CD11b PE (BD </w:t>
      </w:r>
      <w:proofErr w:type="spellStart"/>
      <w:r w:rsidR="00D2372F" w:rsidRPr="007632FC">
        <w:rPr>
          <w:lang w:val="en-US"/>
        </w:rPr>
        <w:t>Pharmingen</w:t>
      </w:r>
      <w:proofErr w:type="spellEnd"/>
      <w:r w:rsidR="00D2372F" w:rsidRPr="007632FC">
        <w:rPr>
          <w:lang w:val="en-US"/>
        </w:rPr>
        <w:t xml:space="preserve">), </w:t>
      </w:r>
      <w:r w:rsidR="00D2372F" w:rsidRPr="007632FC">
        <w:t>Ly6G PercpVio700 (</w:t>
      </w:r>
      <w:proofErr w:type="spellStart"/>
      <w:r w:rsidR="00D2372F" w:rsidRPr="007632FC">
        <w:t>Miltenyi</w:t>
      </w:r>
      <w:proofErr w:type="spellEnd"/>
      <w:r w:rsidR="00D2372F" w:rsidRPr="007632FC">
        <w:t>), Ly6C APC (</w:t>
      </w:r>
      <w:proofErr w:type="spellStart"/>
      <w:r w:rsidR="00D2372F" w:rsidRPr="007632FC">
        <w:t>Miltenyi</w:t>
      </w:r>
      <w:proofErr w:type="spellEnd"/>
      <w:r w:rsidR="00D2372F" w:rsidRPr="007632FC">
        <w:t>), MHC-II Alexa700 (</w:t>
      </w:r>
      <w:proofErr w:type="spellStart"/>
      <w:r w:rsidR="00D2372F" w:rsidRPr="007632FC">
        <w:t>Ebioscience</w:t>
      </w:r>
      <w:proofErr w:type="spellEnd"/>
      <w:r w:rsidR="00D2372F" w:rsidRPr="007632FC">
        <w:t xml:space="preserve">, </w:t>
      </w:r>
      <w:proofErr w:type="spellStart"/>
      <w:r w:rsidR="00D2372F" w:rsidRPr="007632FC">
        <w:t>ThermoFisherscientific</w:t>
      </w:r>
      <w:proofErr w:type="spellEnd"/>
      <w:r w:rsidR="00D2372F" w:rsidRPr="007632FC">
        <w:t>), F4/80 PEfluo610 (</w:t>
      </w:r>
      <w:proofErr w:type="spellStart"/>
      <w:r w:rsidR="00D2372F" w:rsidRPr="007632FC">
        <w:t>Ebioscience</w:t>
      </w:r>
      <w:proofErr w:type="spellEnd"/>
      <w:r w:rsidR="00D2372F" w:rsidRPr="007632FC">
        <w:t xml:space="preserve">, </w:t>
      </w:r>
      <w:proofErr w:type="spellStart"/>
      <w:r w:rsidR="00D2372F" w:rsidRPr="007632FC">
        <w:t>ThermoFisherscientific</w:t>
      </w:r>
      <w:proofErr w:type="spellEnd"/>
      <w:r w:rsidR="00D2372F" w:rsidRPr="007632FC">
        <w:t>), CD11c FITC (</w:t>
      </w:r>
      <w:proofErr w:type="spellStart"/>
      <w:r w:rsidR="00D2372F" w:rsidRPr="007632FC">
        <w:t>Miltenyi</w:t>
      </w:r>
      <w:proofErr w:type="spellEnd"/>
      <w:r w:rsidR="00D2372F" w:rsidRPr="007632FC">
        <w:t>)</w:t>
      </w:r>
    </w:p>
    <w:p w:rsidR="001E2B1E" w:rsidRPr="001E2B1E" w:rsidRDefault="001E2B1E" w:rsidP="001E2B1E">
      <w:pPr>
        <w:spacing w:after="0" w:line="480" w:lineRule="auto"/>
        <w:jc w:val="both"/>
        <w:rPr>
          <w:rFonts w:ascii="Times New Roman" w:eastAsia="Times New Roman" w:hAnsi="Times New Roman" w:cs="Times New Roman"/>
          <w:b/>
          <w:sz w:val="24"/>
          <w:szCs w:val="24"/>
          <w:u w:val="single"/>
          <w:lang w:val="en-US" w:eastAsia="en-GB"/>
        </w:rPr>
      </w:pPr>
      <w:r w:rsidRPr="001E2B1E">
        <w:rPr>
          <w:rFonts w:ascii="Times New Roman" w:eastAsia="Times New Roman" w:hAnsi="Times New Roman" w:cs="Times New Roman"/>
          <w:b/>
          <w:sz w:val="24"/>
          <w:szCs w:val="24"/>
          <w:u w:val="single"/>
          <w:lang w:val="en-US" w:eastAsia="en-GB"/>
        </w:rPr>
        <w:t xml:space="preserve">Fluorescence in situ hybridization (FISH) </w:t>
      </w:r>
    </w:p>
    <w:p w:rsidR="001E2B1E" w:rsidRPr="001E2B1E" w:rsidRDefault="001E2B1E" w:rsidP="001E2B1E">
      <w:pPr>
        <w:spacing w:after="0" w:line="480" w:lineRule="auto"/>
        <w:jc w:val="both"/>
        <w:rPr>
          <w:rFonts w:ascii="Times New Roman" w:eastAsia="Times New Roman" w:hAnsi="Times New Roman" w:cs="Times New Roman"/>
          <w:sz w:val="24"/>
          <w:szCs w:val="24"/>
          <w:lang w:val="en-US" w:eastAsia="en-GB"/>
        </w:rPr>
      </w:pPr>
      <w:r w:rsidRPr="001E2B1E">
        <w:rPr>
          <w:rFonts w:ascii="Times New Roman" w:eastAsia="Times New Roman" w:hAnsi="Times New Roman" w:cs="Times New Roman"/>
          <w:sz w:val="24"/>
          <w:szCs w:val="24"/>
          <w:lang w:val="en-US" w:eastAsia="en-GB"/>
        </w:rPr>
        <w:t>FISH analysis was carried out by means of a commercially available dual color (</w:t>
      </w:r>
      <w:proofErr w:type="spellStart"/>
      <w:r w:rsidRPr="001E2B1E">
        <w:rPr>
          <w:rFonts w:ascii="Times New Roman" w:eastAsia="Times New Roman" w:hAnsi="Times New Roman" w:cs="Times New Roman"/>
          <w:sz w:val="24"/>
          <w:szCs w:val="24"/>
          <w:lang w:val="en-US" w:eastAsia="en-GB"/>
        </w:rPr>
        <w:t>Zyto</w:t>
      </w:r>
      <w:r>
        <w:rPr>
          <w:rFonts w:ascii="Times New Roman" w:eastAsia="Times New Roman" w:hAnsi="Times New Roman" w:cs="Times New Roman"/>
          <w:sz w:val="24"/>
          <w:szCs w:val="24"/>
          <w:lang w:val="en-US" w:eastAsia="en-GB"/>
        </w:rPr>
        <w:t>Light</w:t>
      </w:r>
      <w:proofErr w:type="spellEnd"/>
      <w:r w:rsidRPr="001E2B1E">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1E2B1E">
        <w:rPr>
          <w:rFonts w:ascii="Times New Roman" w:eastAsia="Times New Roman" w:hAnsi="Times New Roman" w:cs="Times New Roman"/>
          <w:sz w:val="24"/>
          <w:szCs w:val="24"/>
          <w:lang w:val="en-US" w:eastAsia="en-GB"/>
        </w:rPr>
        <w:t xml:space="preserve">SPEC MDM2/CEN 12 Dual Color and </w:t>
      </w:r>
      <w:proofErr w:type="spellStart"/>
      <w:r w:rsidRPr="001E2B1E">
        <w:rPr>
          <w:rFonts w:ascii="Times New Roman" w:eastAsia="Times New Roman" w:hAnsi="Times New Roman" w:cs="Times New Roman"/>
          <w:sz w:val="24"/>
          <w:szCs w:val="24"/>
          <w:lang w:val="en-US" w:eastAsia="en-GB"/>
        </w:rPr>
        <w:t>ZytoLight</w:t>
      </w:r>
      <w:proofErr w:type="spellEnd"/>
      <w:r w:rsidRPr="001E2B1E">
        <w:rPr>
          <w:rFonts w:ascii="Times New Roman" w:eastAsia="Times New Roman" w:hAnsi="Times New Roman" w:cs="Times New Roman"/>
          <w:sz w:val="24"/>
          <w:szCs w:val="24"/>
          <w:lang w:val="en-US" w:eastAsia="en-GB"/>
        </w:rPr>
        <w:t>® SPEC MDM4/1p12 Dual Color)</w:t>
      </w:r>
      <w:r>
        <w:rPr>
          <w:rFonts w:ascii="Times New Roman" w:eastAsia="Times New Roman" w:hAnsi="Times New Roman" w:cs="Times New Roman"/>
          <w:sz w:val="24"/>
          <w:szCs w:val="24"/>
          <w:lang w:val="en-US" w:eastAsia="en-GB"/>
        </w:rPr>
        <w:t xml:space="preserve"> probes specifically designed</w:t>
      </w:r>
      <w:r w:rsidRPr="001E2B1E">
        <w:rPr>
          <w:rFonts w:ascii="Times New Roman" w:eastAsia="Times New Roman" w:hAnsi="Times New Roman" w:cs="Times New Roman"/>
          <w:sz w:val="24"/>
          <w:szCs w:val="24"/>
          <w:lang w:val="en-US" w:eastAsia="en-GB"/>
        </w:rPr>
        <w:t xml:space="preserve"> to detect </w:t>
      </w:r>
      <w:r w:rsidRPr="001E2B1E">
        <w:rPr>
          <w:rFonts w:ascii="Times New Roman" w:eastAsia="Times New Roman" w:hAnsi="Times New Roman" w:cs="Times New Roman"/>
          <w:i/>
          <w:sz w:val="24"/>
          <w:szCs w:val="24"/>
          <w:lang w:val="en-US" w:eastAsia="en-GB"/>
        </w:rPr>
        <w:t>MDM2</w:t>
      </w:r>
      <w:r w:rsidRPr="001E2B1E">
        <w:rPr>
          <w:rFonts w:ascii="Times New Roman" w:eastAsia="Times New Roman" w:hAnsi="Times New Roman" w:cs="Times New Roman"/>
          <w:sz w:val="24"/>
          <w:szCs w:val="24"/>
          <w:lang w:val="en-US" w:eastAsia="en-GB"/>
        </w:rPr>
        <w:t xml:space="preserve"> (located on chromosomes 12q15) and </w:t>
      </w:r>
      <w:r w:rsidRPr="001E2B1E">
        <w:rPr>
          <w:rFonts w:ascii="Times New Roman" w:eastAsia="Times New Roman" w:hAnsi="Times New Roman" w:cs="Times New Roman"/>
          <w:i/>
          <w:sz w:val="24"/>
          <w:szCs w:val="24"/>
          <w:lang w:val="en-US" w:eastAsia="en-GB"/>
        </w:rPr>
        <w:t>MDM4</w:t>
      </w:r>
      <w:r w:rsidRPr="001E2B1E">
        <w:rPr>
          <w:rFonts w:ascii="Times New Roman" w:eastAsia="Times New Roman" w:hAnsi="Times New Roman" w:cs="Times New Roman"/>
          <w:sz w:val="24"/>
          <w:szCs w:val="24"/>
          <w:lang w:val="en-US" w:eastAsia="en-GB"/>
        </w:rPr>
        <w:t xml:space="preserve"> (located on chromosomes 1q32.1) amplification, according to the manufacturer’s protocol. At least 100 tumor cells were evaluated for each sample and amplification was reported utilizing </w:t>
      </w:r>
      <w:proofErr w:type="spellStart"/>
      <w:r w:rsidRPr="001E2B1E">
        <w:rPr>
          <w:rFonts w:ascii="Times New Roman" w:eastAsia="Times New Roman" w:hAnsi="Times New Roman" w:cs="Times New Roman"/>
          <w:sz w:val="24"/>
          <w:szCs w:val="24"/>
          <w:lang w:val="en-US" w:eastAsia="en-GB"/>
        </w:rPr>
        <w:t>Capuzzo’s</w:t>
      </w:r>
      <w:proofErr w:type="spellEnd"/>
      <w:r w:rsidRPr="001E2B1E">
        <w:rPr>
          <w:rFonts w:ascii="Times New Roman" w:eastAsia="Times New Roman" w:hAnsi="Times New Roman" w:cs="Times New Roman"/>
          <w:sz w:val="24"/>
          <w:szCs w:val="24"/>
          <w:lang w:val="en-US" w:eastAsia="en-GB"/>
        </w:rPr>
        <w:t xml:space="preserve"> amplification criteria</w:t>
      </w:r>
      <w:r w:rsidR="009F41A5">
        <w:rPr>
          <w:rFonts w:ascii="Times New Roman" w:eastAsia="Times New Roman" w:hAnsi="Times New Roman" w:cs="Times New Roman"/>
          <w:sz w:val="24"/>
          <w:szCs w:val="24"/>
          <w:lang w:val="en-US" w:eastAsia="en-GB"/>
        </w:rPr>
        <w:t xml:space="preserve"> </w:t>
      </w:r>
      <w:r w:rsidR="00923F05">
        <w:rPr>
          <w:rFonts w:ascii="Times New Roman" w:eastAsia="Times New Roman" w:hAnsi="Times New Roman" w:cs="Times New Roman"/>
          <w:sz w:val="24"/>
          <w:szCs w:val="24"/>
          <w:lang w:val="en-US" w:eastAsia="en-GB"/>
        </w:rPr>
        <w:fldChar w:fldCharType="begin" w:fldLock="1"/>
      </w:r>
      <w:r w:rsidR="009F41A5">
        <w:rPr>
          <w:rFonts w:ascii="Times New Roman" w:eastAsia="Times New Roman" w:hAnsi="Times New Roman" w:cs="Times New Roman"/>
          <w:sz w:val="24"/>
          <w:szCs w:val="24"/>
          <w:lang w:val="en-US" w:eastAsia="en-GB"/>
        </w:rPr>
        <w:instrText>ADDIN CSL_CITATION { "citationItems" : [ { "id" : "ITEM-1", "itemData" : { "DOI" : "10.1093/jnci/dji112", "ISBN" : "1460-2105 (Electronic) LA - eng PT - Clinical Trial PT - Comment PT - Journal Article PT - Research Support, Non-U.S. Gov't PT - Research Support, U.S. Gov't, P.H.S", "ISSN" : "00278874", "PMID" : "15870435", "abstract" : "BACKGROUND: Gefitinib is a selective inhibitor of the epidermal growth factor (EGFR) tyrosine kinase, which is overexpressed in many cancers, including non-small-cell lung cancer (NSCLC). We carried out a clinical study to compare the relationship between EGFR gene copy number, EGFR protein expression, EGFR mutations, and Akt activation status as predictive markers for gefitinib therapy in advanced NSCLC. METHODS: Tumors from 102 NSCLC patients treated daily with 250 mg of gefitinib were evaluated for EGFR status by fluorescence in situ hybridization (FISH), DNA sequencing, and immunohistochemistry and for Akt activation status (phospho-Akt [P-Akt]) by immunohistochemistry. Time to progression, overall survival, and 95% confidence intervals (CIs) were calculated and evaluated by the Kaplan-Meier method; groups were compared using the log-rank test. Risk factors associated with survival were evaluated using Cox proportional hazards regression modeling and multivariable analysis. All statistical tests were two-sided. RESULTS: Amplification or high polysomy of the EGFR gene (seen in 33 of 102 patients) and high protein expression (seen in 58 of 98 patients) were statistically significantly associated with better response (36% versus 3%, mean difference = 34%, 95% CI = 16.6 to 50.3; P&lt;.001), disease control rate (67% versus 26%, mean difference = 40.6%, 95% CI = 21.5 to 59.7; P&lt;.001), time to progression (9.0 versus 2.5 months, mean difference = 6.5 months, 95% CI = 2.8 to 10.3; P&lt;.001), and survival (18.7 versus 7.0 months, mean difference = 11.7 months, 95% CI = 2.1 to 21.4; P = .03). EGFR mutations (seen in 15 of 89 patients) were also statistically significantly related to response and time to progression, but the association with survival was not statistically significant, and 40% of the patients with mutation had progressive disease. In multivariable analysis, only high EGFR gene copy number remained statistically significantly associated with better survival (hazard ratio = 0.44, 95% CI = 0.23 to 0.82). Independent of EGFR assessment method, EGFR+/P-Akt+ patients had a statistically significantly better outcome than EGFR-, P-Akt-, or EGFR+/P-Akt- patients. CONCLUSIONS: High EGFR gene copy number identified by FISH may be an effective molecular predictor for gefitinib efficacy in advanced NSCLC.", "author" : [ { "dropping-particle" : "", "family" : "Cappuzzo", "given" : "Federico", "non-dropping-particle" : "", "parse-names" : false, "suffix" : "" }, { "dropping-particle" : "", "family" : "Hirsch", "given" : "Fred R.", "non-dropping-particle" : "", "parse-names" : false, "suffix" : "" }, { "dropping-particle" : "", "family" : "Rossi", "given" : "Elisa", "non-dropping-particle" : "", "parse-names" : false, "suffix" : "" }, { "dropping-particle" : "", "family" : "Bartolini", "given" : "Stefania", "non-dropping-particle" : "", "parse-names" : false, "suffix" : "" }, { "dropping-particle" : "", "family" : "Ceresoli", "given" : "Giovanni L.", "non-dropping-particle" : "", "parse-names" : false, "suffix" : "" }, { "dropping-particle" : "", "family" : "Bemis", "given" : "Lynne", "non-dropping-particle" : "", "parse-names" : false, "suffix" : "" }, { "dropping-particle" : "", "family" : "Haney", "given" : "Jerry", "non-dropping-particle" : "", "parse-names" : false, "suffix" : "" }, { "dropping-particle" : "", "family" : "Witta", "given" : "Samir", "non-dropping-particle" : "", "parse-names" : false, "suffix" : "" }, { "dropping-particle" : "", "family" : "Danenberg", "given" : "Kathleen", "non-dropping-particle" : "", "parse-names" : false, "suffix" : "" }, { "dropping-particle" : "", "family" : "Domenichini", "given" : "Irene", "non-dropping-particle" : "", "parse-names" : false, "suffix" : "" }, { "dropping-particle" : "", "family" : "Ludovini", "given" : "Vienna", "non-dropping-particle" : "", "parse-names" : false, "suffix" : "" }, { "dropping-particle" : "", "family" : "Magrini", "given" : "Elisabetta", "non-dropping-particle" : "", "parse-names" : false, "suffix" : "" }, { "dropping-particle" : "", "family" : "Gregorc", "given" : "Vanesa", "non-dropping-particle" : "", "parse-names" : false, "suffix" : "" }, { "dropping-particle" : "", "family" : "Doglioni", "given" : "Claudio", "non-dropping-particle" : "", "parse-names" : false, "suffix" : "" }, { "dropping-particle" : "", "family" : "Sidoni", "given" : "Angelo", "non-dropping-particle" : "", "parse-names" : false, "suffix" : "" }, { "dropping-particle" : "", "family" : "Tonato", "given" : "Maurizio", "non-dropping-particle" : "", "parse-names" : false, "suffix" : "" }, { "dropping-particle" : "", "family" : "Franklin", "given" : "Wilbur A.", "non-dropping-particle" : "", "parse-names" : false, "suffix" : "" }, { "dropping-particle" : "", "family" : "Crino", "given" : "Lucio", "non-dropping-particle" : "", "parse-names" : false, "suffix" : "" }, { "dropping-particle" : "", "family" : "Bunn", "given" : "Paul A.", "non-dropping-particle" : "", "parse-names" : false, "suffix" : "" }, { "dropping-particle" : "", "family" : "Varella-Garcia", "given" : "Marileila", "non-dropping-particle" : "", "parse-names" : false, "suffix" : "" } ], "container-title" : "Journal of the National Cancer Institute", "id" : "ITEM-1", "issue" : "9", "issued" : { "date-parts" : [ [ "2005" ] ] }, "page" : "643-655", "title" : "Epidermal growth factor receptor gene and protein and gefitinib sensitivity in non-small-cell lung cancer", "type" : "article-journal", "volume" : "97" }, "uris" : [ "http://www.mendeley.com/documents/?uuid=f4dc3153-90db-4774-a926-7d0bafa766c1" ] } ], "mendeley" : { "formattedCitation" : "(1)", "plainTextFormattedCitation" : "(1)", "previouslyFormattedCitation" : "(1)" }, "properties" : {  }, "schema" : "https://github.com/citation-style-language/schema/raw/master/csl-citation.json" }</w:instrText>
      </w:r>
      <w:r w:rsidR="00923F05">
        <w:rPr>
          <w:rFonts w:ascii="Times New Roman" w:eastAsia="Times New Roman" w:hAnsi="Times New Roman" w:cs="Times New Roman"/>
          <w:sz w:val="24"/>
          <w:szCs w:val="24"/>
          <w:lang w:val="en-US" w:eastAsia="en-GB"/>
        </w:rPr>
        <w:fldChar w:fldCharType="separate"/>
      </w:r>
      <w:r w:rsidR="009F41A5" w:rsidRPr="009F41A5">
        <w:rPr>
          <w:rFonts w:ascii="Times New Roman" w:eastAsia="Times New Roman" w:hAnsi="Times New Roman" w:cs="Times New Roman"/>
          <w:noProof/>
          <w:sz w:val="24"/>
          <w:szCs w:val="24"/>
          <w:lang w:val="en-US" w:eastAsia="en-GB"/>
        </w:rPr>
        <w:t>(1)</w:t>
      </w:r>
      <w:r w:rsidR="00923F05">
        <w:rPr>
          <w:rFonts w:ascii="Times New Roman" w:eastAsia="Times New Roman" w:hAnsi="Times New Roman" w:cs="Times New Roman"/>
          <w:sz w:val="24"/>
          <w:szCs w:val="24"/>
          <w:lang w:val="en-US" w:eastAsia="en-GB"/>
        </w:rPr>
        <w:fldChar w:fldCharType="end"/>
      </w:r>
      <w:r>
        <w:rPr>
          <w:rFonts w:ascii="Times New Roman" w:eastAsia="Times New Roman" w:hAnsi="Times New Roman" w:cs="Times New Roman"/>
          <w:sz w:val="24"/>
          <w:szCs w:val="24"/>
          <w:lang w:val="en-US" w:eastAsia="en-GB"/>
        </w:rPr>
        <w:t>. Briefly, gene amplification was characterized</w:t>
      </w:r>
      <w:r w:rsidRPr="001E2B1E">
        <w:rPr>
          <w:rFonts w:ascii="Times New Roman" w:eastAsia="Times New Roman" w:hAnsi="Times New Roman" w:cs="Times New Roman"/>
          <w:sz w:val="24"/>
          <w:szCs w:val="24"/>
          <w:lang w:val="en-US" w:eastAsia="en-GB"/>
        </w:rPr>
        <w:t xml:space="preserve"> by presence of tight </w:t>
      </w:r>
      <w:r w:rsidRPr="009F41A5">
        <w:rPr>
          <w:rFonts w:ascii="Times New Roman" w:eastAsia="Times New Roman" w:hAnsi="Times New Roman" w:cs="Times New Roman"/>
          <w:i/>
          <w:sz w:val="24"/>
          <w:szCs w:val="24"/>
          <w:lang w:val="en-US" w:eastAsia="en-GB"/>
        </w:rPr>
        <w:t>MDM2/4</w:t>
      </w:r>
      <w:r w:rsidRPr="001E2B1E">
        <w:rPr>
          <w:rFonts w:ascii="Times New Roman" w:eastAsia="Times New Roman" w:hAnsi="Times New Roman" w:cs="Times New Roman"/>
          <w:sz w:val="24"/>
          <w:szCs w:val="24"/>
          <w:lang w:val="en-US" w:eastAsia="en-GB"/>
        </w:rPr>
        <w:t xml:space="preserve"> gene clusters and a ratio of </w:t>
      </w:r>
      <w:r w:rsidRPr="009F41A5">
        <w:rPr>
          <w:rFonts w:ascii="Times New Roman" w:eastAsia="Times New Roman" w:hAnsi="Times New Roman" w:cs="Times New Roman"/>
          <w:i/>
          <w:sz w:val="24"/>
          <w:szCs w:val="24"/>
          <w:lang w:val="en-US" w:eastAsia="en-GB"/>
        </w:rPr>
        <w:t>MDM2/4</w:t>
      </w:r>
      <w:r w:rsidRPr="001E2B1E">
        <w:rPr>
          <w:rFonts w:ascii="Times New Roman" w:eastAsia="Times New Roman" w:hAnsi="Times New Roman" w:cs="Times New Roman"/>
          <w:sz w:val="24"/>
          <w:szCs w:val="24"/>
          <w:lang w:val="en-US" w:eastAsia="en-GB"/>
        </w:rPr>
        <w:t xml:space="preserve"> gene to chromosome of ≥ 2 or ≥ 15 copies of </w:t>
      </w:r>
      <w:r w:rsidR="009F41A5" w:rsidRPr="009F41A5">
        <w:rPr>
          <w:rFonts w:ascii="Times New Roman" w:eastAsia="Times New Roman" w:hAnsi="Times New Roman" w:cs="Times New Roman"/>
          <w:i/>
          <w:sz w:val="24"/>
          <w:szCs w:val="24"/>
          <w:lang w:val="en-US" w:eastAsia="en-GB"/>
        </w:rPr>
        <w:t>MDM2/4</w:t>
      </w:r>
      <w:r w:rsidRPr="001E2B1E">
        <w:rPr>
          <w:rFonts w:ascii="Times New Roman" w:eastAsia="Times New Roman" w:hAnsi="Times New Roman" w:cs="Times New Roman"/>
          <w:sz w:val="24"/>
          <w:szCs w:val="24"/>
          <w:lang w:val="en-US" w:eastAsia="en-GB"/>
        </w:rPr>
        <w:t xml:space="preserve"> per </w:t>
      </w:r>
      <w:r w:rsidR="009F41A5">
        <w:rPr>
          <w:rFonts w:ascii="Times New Roman" w:eastAsia="Times New Roman" w:hAnsi="Times New Roman" w:cs="Times New Roman"/>
          <w:sz w:val="24"/>
          <w:szCs w:val="24"/>
          <w:lang w:val="en-US" w:eastAsia="en-GB"/>
        </w:rPr>
        <w:t>cell in ≥ 10% of analyzed cells</w:t>
      </w:r>
      <w:r w:rsidRPr="001E2B1E">
        <w:rPr>
          <w:rFonts w:ascii="Times New Roman" w:eastAsia="Times New Roman" w:hAnsi="Times New Roman" w:cs="Times New Roman"/>
          <w:sz w:val="24"/>
          <w:szCs w:val="24"/>
          <w:lang w:val="en-US" w:eastAsia="en-GB"/>
        </w:rPr>
        <w:t>.</w:t>
      </w:r>
    </w:p>
    <w:p w:rsidR="001E2B1E" w:rsidRDefault="001E2B1E" w:rsidP="007632FC">
      <w:pPr>
        <w:pStyle w:val="xmsoplaintext"/>
        <w:spacing w:before="0" w:beforeAutospacing="0" w:after="0" w:afterAutospacing="0" w:line="480" w:lineRule="auto"/>
        <w:jc w:val="both"/>
        <w:rPr>
          <w:lang w:val="en-US"/>
        </w:rPr>
      </w:pPr>
    </w:p>
    <w:p w:rsidR="001E2B1E" w:rsidRPr="001E2B1E" w:rsidRDefault="001E2B1E" w:rsidP="007632FC">
      <w:pPr>
        <w:pStyle w:val="xmsoplaintext"/>
        <w:spacing w:before="0" w:beforeAutospacing="0" w:after="0" w:afterAutospacing="0" w:line="480" w:lineRule="auto"/>
        <w:jc w:val="both"/>
        <w:rPr>
          <w:lang w:val="en-US"/>
        </w:rPr>
      </w:pPr>
    </w:p>
    <w:p w:rsidR="002F7637" w:rsidRPr="007632FC" w:rsidRDefault="00C74A20" w:rsidP="007632FC">
      <w:pPr>
        <w:pStyle w:val="xmsonormal"/>
        <w:spacing w:before="0" w:beforeAutospacing="0" w:after="0" w:afterAutospacing="0" w:line="480" w:lineRule="auto"/>
        <w:jc w:val="both"/>
        <w:rPr>
          <w:b/>
        </w:rPr>
      </w:pPr>
      <w:r w:rsidRPr="007632FC">
        <w:rPr>
          <w:rFonts w:eastAsia="Calibri"/>
          <w:b/>
          <w:u w:val="single"/>
          <w:lang w:val="en-US" w:eastAsia="en-US"/>
        </w:rPr>
        <w:lastRenderedPageBreak/>
        <w:t>Generation of anti mouse and human (</w:t>
      </w:r>
      <w:proofErr w:type="spellStart"/>
      <w:r w:rsidRPr="007632FC">
        <w:rPr>
          <w:rFonts w:eastAsia="Calibri"/>
          <w:b/>
          <w:u w:val="single"/>
          <w:lang w:val="en-US" w:eastAsia="en-US"/>
        </w:rPr>
        <w:t>Nivolumab</w:t>
      </w:r>
      <w:proofErr w:type="spellEnd"/>
      <w:r w:rsidRPr="007632FC">
        <w:rPr>
          <w:rFonts w:eastAsia="Calibri"/>
          <w:b/>
          <w:u w:val="single"/>
          <w:lang w:val="en-US" w:eastAsia="en-US"/>
        </w:rPr>
        <w:t xml:space="preserve">) </w:t>
      </w:r>
      <w:r w:rsidR="002F7637" w:rsidRPr="007632FC">
        <w:rPr>
          <w:rFonts w:eastAsia="Calibri"/>
          <w:b/>
          <w:u w:val="single"/>
          <w:lang w:val="en-US" w:eastAsia="en-US"/>
        </w:rPr>
        <w:t>PD-1 antibody F(</w:t>
      </w:r>
      <w:proofErr w:type="spellStart"/>
      <w:r w:rsidR="002F7637" w:rsidRPr="007632FC">
        <w:rPr>
          <w:rFonts w:eastAsia="Calibri"/>
          <w:b/>
          <w:u w:val="single"/>
          <w:lang w:val="en-US" w:eastAsia="en-US"/>
        </w:rPr>
        <w:t>ab</w:t>
      </w:r>
      <w:proofErr w:type="spellEnd"/>
      <w:r w:rsidR="002F7637" w:rsidRPr="007632FC">
        <w:rPr>
          <w:rFonts w:eastAsia="Calibri"/>
          <w:b/>
          <w:u w:val="single"/>
          <w:lang w:val="en-US" w:eastAsia="en-US"/>
        </w:rPr>
        <w:t>)</w:t>
      </w:r>
      <w:r w:rsidR="002F7637" w:rsidRPr="007632FC">
        <w:rPr>
          <w:rFonts w:eastAsia="Calibri"/>
          <w:b/>
          <w:vertAlign w:val="subscript"/>
          <w:lang w:val="en-US" w:eastAsia="en-US"/>
        </w:rPr>
        <w:t>2</w:t>
      </w:r>
    </w:p>
    <w:p w:rsidR="00306E57" w:rsidRPr="00606B48" w:rsidRDefault="002F7637" w:rsidP="007632FC">
      <w:pPr>
        <w:spacing w:after="0" w:line="480" w:lineRule="auto"/>
        <w:jc w:val="both"/>
        <w:rPr>
          <w:rFonts w:ascii="Times New Roman" w:eastAsia="Times New Roman" w:hAnsi="Times New Roman" w:cs="Times New Roman"/>
          <w:sz w:val="24"/>
          <w:szCs w:val="24"/>
          <w:lang w:val="en-US" w:eastAsia="it-IT"/>
        </w:rPr>
      </w:pPr>
      <w:r w:rsidRPr="007632FC">
        <w:rPr>
          <w:rFonts w:ascii="Times New Roman" w:eastAsia="Calibri" w:hAnsi="Times New Roman" w:cs="Times New Roman"/>
          <w:sz w:val="24"/>
          <w:szCs w:val="24"/>
          <w:lang w:val="en-US"/>
        </w:rPr>
        <w:t>Anti mouse PD-1 F(</w:t>
      </w:r>
      <w:proofErr w:type="spellStart"/>
      <w:r w:rsidRPr="007632FC">
        <w:rPr>
          <w:rFonts w:ascii="Times New Roman" w:eastAsia="Calibri" w:hAnsi="Times New Roman" w:cs="Times New Roman"/>
          <w:sz w:val="24"/>
          <w:szCs w:val="24"/>
          <w:lang w:val="en-US"/>
        </w:rPr>
        <w:t>ab</w:t>
      </w:r>
      <w:proofErr w:type="spellEnd"/>
      <w:r w:rsidRPr="007632FC">
        <w:rPr>
          <w:rFonts w:ascii="Times New Roman" w:eastAsia="Calibri" w:hAnsi="Times New Roman" w:cs="Times New Roman"/>
          <w:sz w:val="24"/>
          <w:szCs w:val="24"/>
          <w:lang w:val="en-US"/>
        </w:rPr>
        <w:t>)</w:t>
      </w:r>
      <w:r w:rsidRPr="007632FC">
        <w:rPr>
          <w:rFonts w:ascii="Times New Roman" w:eastAsia="Calibri" w:hAnsi="Times New Roman" w:cs="Times New Roman"/>
          <w:sz w:val="24"/>
          <w:szCs w:val="24"/>
          <w:vertAlign w:val="subscript"/>
          <w:lang w:val="en-US"/>
        </w:rPr>
        <w:t>2</w:t>
      </w:r>
      <w:r w:rsidRPr="007632FC">
        <w:rPr>
          <w:rFonts w:ascii="Times New Roman" w:eastAsia="Calibri" w:hAnsi="Times New Roman" w:cs="Times New Roman"/>
          <w:sz w:val="24"/>
          <w:szCs w:val="24"/>
          <w:lang w:val="en-US"/>
        </w:rPr>
        <w:t xml:space="preserve"> was generated using Immobilized Pepsin (</w:t>
      </w:r>
      <w:r w:rsidRPr="007632FC">
        <w:rPr>
          <w:rFonts w:ascii="Times New Roman" w:hAnsi="Times New Roman" w:cs="Times New Roman"/>
          <w:sz w:val="24"/>
          <w:szCs w:val="24"/>
          <w:lang w:val="en-US"/>
        </w:rPr>
        <w:t>Thermo Fisher Scientific Inc., Waltham, MA, USA</w:t>
      </w:r>
      <w:r w:rsidRPr="007632FC">
        <w:rPr>
          <w:rFonts w:ascii="Times New Roman" w:eastAsia="Calibri" w:hAnsi="Times New Roman" w:cs="Times New Roman"/>
          <w:sz w:val="24"/>
          <w:szCs w:val="24"/>
          <w:lang w:val="en-US"/>
        </w:rPr>
        <w:t xml:space="preserve">) according to the manufacturer's protocol with some modifications. The enzymatic digestion was performed for 7 hours at 37°C. Antibody concentration was determined by BCA Protein Assay Kit (Pierce, Thermo Fisher Scientific Inc.) according to the manufacturer's protocol. </w:t>
      </w:r>
      <w:proofErr w:type="spellStart"/>
      <w:r w:rsidRPr="007632FC">
        <w:rPr>
          <w:rFonts w:ascii="Times New Roman" w:eastAsia="Calibri" w:hAnsi="Times New Roman" w:cs="Times New Roman"/>
          <w:sz w:val="24"/>
          <w:szCs w:val="24"/>
          <w:lang w:val="en-US"/>
        </w:rPr>
        <w:t>Nivolumab</w:t>
      </w:r>
      <w:proofErr w:type="spellEnd"/>
      <w:r w:rsidRPr="007632FC">
        <w:rPr>
          <w:rFonts w:ascii="Times New Roman" w:eastAsia="Calibri" w:hAnsi="Times New Roman" w:cs="Times New Roman"/>
          <w:sz w:val="24"/>
          <w:szCs w:val="24"/>
          <w:lang w:val="en-US"/>
        </w:rPr>
        <w:t xml:space="preserve"> F(</w:t>
      </w:r>
      <w:proofErr w:type="spellStart"/>
      <w:r w:rsidRPr="007632FC">
        <w:rPr>
          <w:rFonts w:ascii="Times New Roman" w:eastAsia="Calibri" w:hAnsi="Times New Roman" w:cs="Times New Roman"/>
          <w:sz w:val="24"/>
          <w:szCs w:val="24"/>
          <w:lang w:val="en-US"/>
        </w:rPr>
        <w:t>ab</w:t>
      </w:r>
      <w:proofErr w:type="spellEnd"/>
      <w:r w:rsidRPr="007632FC">
        <w:rPr>
          <w:rFonts w:ascii="Times New Roman" w:eastAsia="Calibri" w:hAnsi="Times New Roman" w:cs="Times New Roman"/>
          <w:sz w:val="24"/>
          <w:szCs w:val="24"/>
          <w:lang w:val="en-US"/>
        </w:rPr>
        <w:t>)</w:t>
      </w:r>
      <w:r w:rsidRPr="007632FC">
        <w:rPr>
          <w:rFonts w:ascii="Times New Roman" w:eastAsia="Calibri" w:hAnsi="Times New Roman" w:cs="Times New Roman"/>
          <w:sz w:val="24"/>
          <w:szCs w:val="24"/>
          <w:vertAlign w:val="subscript"/>
          <w:lang w:val="en-US"/>
        </w:rPr>
        <w:t>2</w:t>
      </w:r>
      <w:r w:rsidRPr="007632FC">
        <w:rPr>
          <w:rFonts w:ascii="Times New Roman" w:eastAsia="Calibri" w:hAnsi="Times New Roman" w:cs="Times New Roman"/>
          <w:sz w:val="24"/>
          <w:szCs w:val="24"/>
          <w:lang w:val="en-US"/>
        </w:rPr>
        <w:t xml:space="preserve"> was genera</w:t>
      </w:r>
      <w:r w:rsidR="00F91F0E" w:rsidRPr="007632FC">
        <w:rPr>
          <w:rFonts w:ascii="Times New Roman" w:eastAsia="Calibri" w:hAnsi="Times New Roman" w:cs="Times New Roman"/>
          <w:sz w:val="24"/>
          <w:szCs w:val="24"/>
          <w:lang w:val="en-US"/>
        </w:rPr>
        <w:t>ted following the same protocol.</w:t>
      </w:r>
      <w:r w:rsidRPr="007632FC">
        <w:rPr>
          <w:rFonts w:ascii="Times New Roman" w:eastAsia="Calibri" w:hAnsi="Times New Roman" w:cs="Times New Roman"/>
          <w:sz w:val="24"/>
          <w:szCs w:val="24"/>
          <w:lang w:val="en-US"/>
        </w:rPr>
        <w:t xml:space="preserve"> </w:t>
      </w:r>
      <w:r w:rsidR="00F91F0E" w:rsidRPr="007632FC">
        <w:rPr>
          <w:rFonts w:ascii="Times New Roman" w:eastAsia="Calibri" w:hAnsi="Times New Roman" w:cs="Times New Roman"/>
          <w:sz w:val="24"/>
          <w:szCs w:val="24"/>
          <w:lang w:val="en-US"/>
        </w:rPr>
        <w:t>T</w:t>
      </w:r>
      <w:r w:rsidRPr="007632FC">
        <w:rPr>
          <w:rFonts w:ascii="Times New Roman" w:eastAsia="Calibri" w:hAnsi="Times New Roman" w:cs="Times New Roman"/>
          <w:sz w:val="24"/>
          <w:szCs w:val="24"/>
          <w:lang w:val="en-US"/>
        </w:rPr>
        <w:t>he enzymatic digestion was performed for 60 minutes at 37°C.</w:t>
      </w:r>
      <w:r w:rsidR="00933DBD" w:rsidRPr="007632FC">
        <w:rPr>
          <w:rFonts w:ascii="Times New Roman" w:eastAsia="Calibri" w:hAnsi="Times New Roman" w:cs="Times New Roman"/>
          <w:sz w:val="24"/>
          <w:szCs w:val="24"/>
          <w:lang w:val="en-US"/>
        </w:rPr>
        <w:t xml:space="preserve"> SDS-PAGE under non-reducing conditions</w:t>
      </w:r>
      <w:r w:rsidR="00143868" w:rsidRPr="007632FC">
        <w:rPr>
          <w:rFonts w:ascii="Times New Roman" w:eastAsia="Calibri" w:hAnsi="Times New Roman" w:cs="Times New Roman"/>
          <w:sz w:val="24"/>
          <w:szCs w:val="24"/>
          <w:lang w:val="en-US"/>
        </w:rPr>
        <w:t xml:space="preserve"> </w:t>
      </w:r>
      <w:r w:rsidR="00923F05" w:rsidRPr="007632FC">
        <w:rPr>
          <w:rFonts w:ascii="Times New Roman" w:eastAsia="Calibri" w:hAnsi="Times New Roman" w:cs="Times New Roman"/>
          <w:sz w:val="24"/>
          <w:szCs w:val="24"/>
          <w:lang w:val="en-US"/>
        </w:rPr>
        <w:fldChar w:fldCharType="begin" w:fldLock="1"/>
      </w:r>
      <w:r w:rsidR="009F41A5">
        <w:rPr>
          <w:rFonts w:ascii="Times New Roman" w:eastAsia="Calibri" w:hAnsi="Times New Roman" w:cs="Times New Roman"/>
          <w:sz w:val="24"/>
          <w:szCs w:val="24"/>
          <w:lang w:val="en-US"/>
        </w:rPr>
        <w:instrText>ADDIN CSL_CITATION { "citationItems" : [ { "id" : "ITEM-1", "itemData" : { "DOI" : "10.1158/0008-5472.CAN-14-0983", "ISSN" : "1538-7445", "PMID" : "25164009", "abstract" : "A splice isoform of the HER2 receptor that lacks exon 16 (d16HER2) is expressed in many HER2-positive breast tumors, where it has been linked with resistance to the HER2-targeting antibody trastuzumab, but the impact of d16HER2 on tumor pathobiology and therapeutic response remains uncertain. Here, we provide genetic evidence in transgenic mice that expression of d16HER2 is sufficient to accelerate mammary tumorigenesis and improve the response to trastuzumab. A comparative analysis of effector signaling pathways activated by d16HER2 and wild-type HER2 revealed that d16HER2 was optimally functional through a link to SRC activation (pSRC). Clinically, HER2-positive breast cancers from patients who received trastuzumab exhibited a positive correlation in d16HER2 and pSRC abundance, consistent with the mouse genetic results. Moreover, patients expressing high pSRC or an activated \"d16HER2 metagene\" were found to derive the greatest benefit from trastuzumab treatment. Overall, our results establish the d16HER2 signaling axis as a signature for decreased risk of relapse after trastuzumab treatment.", "author" : [ { "dropping-particle" : "", "family" : "Castagnoli", "given" : "Lorenzo", "non-dropping-particle" : "", "parse-names" : false, "suffix" : "" }, { "dropping-particle" : "", "family" : "Iezzi", "given" : "Manuela", "non-dropping-particle" : "", "parse-names" : false, "suffix" : "" }, { "dropping-particle" : "", "family" : "Ghedini", "given" : "Gaia C", "non-dropping-particle" : "", "parse-names" : false, "suffix" : "" }, { "dropping-particle" : "", "family" : "Ciravolo", "given" : "Valentina", "non-dropping-particle" : "", "parse-names" : false, "suffix" : "" }, { "dropping-particle" : "", "family" : "Marzano", "given" : "Giulia", "non-dropping-particle" : "", "parse-names" : false, "suffix" : "" }, { "dropping-particle" : "", "family" : "Lamolinara", "given" : "Alessia", "non-dropping-particle" : "", "parse-names" : false, "suffix" : "" }, { "dropping-particle" : "", "family" : "Zappasodi", "given" : "Roberta", "non-dropping-particle" : "", "parse-names" : false, "suffix" : "" }, { "dropping-particle" : "", "family" : "Gasparini", "given" : "Patrizia", "non-dropping-particle" : "", "parse-names" : false, "suffix" : "" }, { "dropping-particle" : "", "family" : "Campiglio", "given" : "Manuela", "non-dropping-particle" : "", "parse-names" : false, "suffix" : "" }, { "dropping-particle" : "", "family" : "Amici", "given" : "Augusto", "non-dropping-particle" : "", "parse-names" : false, "suffix" : "" }, { "dropping-particle" : "", "family" : "Chiodoni", "given" : "Claudia", "non-dropping-particle" : "", "parse-names" : false, "suffix" : "" }, { "dropping-particle" : "", "family" : "Palladini", "given" : "Arianna", "non-dropping-particle" : "", "parse-names" : false, "suffix" : "" }, { "dropping-particle" : "", "family" : "Lollini", "given" : "Pier Luigi", "non-dropping-particle" : "", "parse-names" : false, "suffix" : "" }, { "dropping-particle" : "", "family" : "Triulzi", "given" : "Tiziana", "non-dropping-particle" : "", "parse-names" : false, "suffix" : "" }, { "dropping-particle" : "", "family" : "Menard", "given" : "Sylvie", "non-dropping-particle" : "", "parse-names" : false, "suffix" : "" }, { "dropping-particle" : "", "family" : "Nanni", "given" : "Patrizia", "non-dropping-particle" : "", "parse-names" : false, "suffix" : "" }, { "dropping-particle" : "", "family" : "Tagliabue", "given" : "Elda", "non-dropping-particle" : "", "parse-names" : false, "suffix" : "" }, { "dropping-particle" : "", "family" : "Pupa", "given" : "Serenella M", "non-dropping-particle" : "", "parse-names" : false, "suffix" : "" } ], "container-title" : "Cancer research", "id" : "ITEM-1", "issue" : "21", "issued" : { "date-parts" : [ [ "2014", "11", "1" ] ] }, "page" : "6248-59", "publisher" : "American Association for Cancer Research", "title" : "Activated d16HER2 homodimers and SRC kinase mediate optimal efficacy for trastuzumab.", "type" : "article-journal", "volume" : "74" }, "uris" : [ "http://www.mendeley.com/documents/?uuid=cdeadb83-2ec8-3778-bd95-f02a081c4a9f" ] } ], "mendeley" : { "formattedCitation" : "(2)", "plainTextFormattedCitation" : "(2)", "previouslyFormattedCitation" : "(2)" }, "properties" : {  }, "schema" : "https://github.com/citation-style-language/schema/raw/master/csl-citation.json" }</w:instrText>
      </w:r>
      <w:r w:rsidR="00923F05" w:rsidRPr="007632FC">
        <w:rPr>
          <w:rFonts w:ascii="Times New Roman" w:eastAsia="Calibri" w:hAnsi="Times New Roman" w:cs="Times New Roman"/>
          <w:sz w:val="24"/>
          <w:szCs w:val="24"/>
          <w:lang w:val="en-US"/>
        </w:rPr>
        <w:fldChar w:fldCharType="separate"/>
      </w:r>
      <w:r w:rsidR="009F41A5" w:rsidRPr="009F41A5">
        <w:rPr>
          <w:rFonts w:ascii="Times New Roman" w:eastAsia="Calibri" w:hAnsi="Times New Roman" w:cs="Times New Roman"/>
          <w:noProof/>
          <w:sz w:val="24"/>
          <w:szCs w:val="24"/>
          <w:lang w:val="en-US"/>
        </w:rPr>
        <w:t>(2)</w:t>
      </w:r>
      <w:r w:rsidR="00923F05" w:rsidRPr="007632FC">
        <w:rPr>
          <w:rFonts w:ascii="Times New Roman" w:eastAsia="Calibri" w:hAnsi="Times New Roman" w:cs="Times New Roman"/>
          <w:sz w:val="24"/>
          <w:szCs w:val="24"/>
          <w:lang w:val="en-US"/>
        </w:rPr>
        <w:fldChar w:fldCharType="end"/>
      </w:r>
      <w:r w:rsidR="00933DBD" w:rsidRPr="007632FC">
        <w:rPr>
          <w:rFonts w:ascii="Times New Roman" w:eastAsia="Calibri" w:hAnsi="Times New Roman" w:cs="Times New Roman"/>
          <w:sz w:val="24"/>
          <w:szCs w:val="24"/>
          <w:lang w:val="en-US"/>
        </w:rPr>
        <w:t xml:space="preserve"> and </w:t>
      </w:r>
      <w:proofErr w:type="spellStart"/>
      <w:r w:rsidR="00933DBD" w:rsidRPr="007632FC">
        <w:rPr>
          <w:rFonts w:ascii="Times New Roman" w:eastAsia="Calibri" w:hAnsi="Times New Roman" w:cs="Times New Roman"/>
          <w:sz w:val="24"/>
          <w:szCs w:val="24"/>
          <w:lang w:val="en-US"/>
        </w:rPr>
        <w:t>Coomassie</w:t>
      </w:r>
      <w:proofErr w:type="spellEnd"/>
      <w:r w:rsidR="00933DBD" w:rsidRPr="007632FC">
        <w:rPr>
          <w:rFonts w:ascii="Times New Roman" w:eastAsia="Calibri" w:hAnsi="Times New Roman" w:cs="Times New Roman"/>
          <w:sz w:val="24"/>
          <w:szCs w:val="24"/>
          <w:lang w:val="en-US"/>
        </w:rPr>
        <w:t xml:space="preserve"> Blue staining (Thermo Fisher Scientific Inc.) were carried out to check the obtained digested antibody. To verify whether anti mouse PD-1 F(</w:t>
      </w:r>
      <w:proofErr w:type="spellStart"/>
      <w:r w:rsidR="00933DBD" w:rsidRPr="007632FC">
        <w:rPr>
          <w:rFonts w:ascii="Times New Roman" w:eastAsia="Calibri" w:hAnsi="Times New Roman" w:cs="Times New Roman"/>
          <w:sz w:val="24"/>
          <w:szCs w:val="24"/>
          <w:lang w:val="en-US"/>
        </w:rPr>
        <w:t>ab</w:t>
      </w:r>
      <w:proofErr w:type="spellEnd"/>
      <w:r w:rsidR="00933DBD" w:rsidRPr="007632FC">
        <w:rPr>
          <w:rFonts w:ascii="Times New Roman" w:eastAsia="Calibri" w:hAnsi="Times New Roman" w:cs="Times New Roman"/>
          <w:sz w:val="24"/>
          <w:szCs w:val="24"/>
          <w:lang w:val="en-US"/>
        </w:rPr>
        <w:t>)</w:t>
      </w:r>
      <w:r w:rsidR="00933DBD" w:rsidRPr="007632FC">
        <w:rPr>
          <w:rFonts w:ascii="Times New Roman" w:eastAsia="Calibri" w:hAnsi="Times New Roman" w:cs="Times New Roman"/>
          <w:sz w:val="24"/>
          <w:szCs w:val="24"/>
          <w:vertAlign w:val="subscript"/>
          <w:lang w:val="en-US"/>
        </w:rPr>
        <w:t>2</w:t>
      </w:r>
      <w:r w:rsidR="00933DBD" w:rsidRPr="007632FC">
        <w:rPr>
          <w:rFonts w:ascii="Times New Roman" w:eastAsia="Calibri" w:hAnsi="Times New Roman" w:cs="Times New Roman"/>
          <w:sz w:val="24"/>
          <w:szCs w:val="24"/>
          <w:lang w:val="en-US"/>
        </w:rPr>
        <w:t xml:space="preserve"> was still able to bind PD-1, flow </w:t>
      </w:r>
      <w:proofErr w:type="spellStart"/>
      <w:r w:rsidR="00933DBD" w:rsidRPr="007632FC">
        <w:rPr>
          <w:rFonts w:ascii="Times New Roman" w:eastAsia="Calibri" w:hAnsi="Times New Roman" w:cs="Times New Roman"/>
          <w:sz w:val="24"/>
          <w:szCs w:val="24"/>
          <w:lang w:val="en-US"/>
        </w:rPr>
        <w:t>cytometry</w:t>
      </w:r>
      <w:proofErr w:type="spellEnd"/>
      <w:r w:rsidR="00933DBD" w:rsidRPr="007632FC">
        <w:rPr>
          <w:rFonts w:ascii="Times New Roman" w:eastAsia="Calibri" w:hAnsi="Times New Roman" w:cs="Times New Roman"/>
          <w:sz w:val="24"/>
          <w:szCs w:val="24"/>
          <w:lang w:val="en-US"/>
        </w:rPr>
        <w:t xml:space="preserve"> analysis was performed using the </w:t>
      </w:r>
      <w:proofErr w:type="spellStart"/>
      <w:r w:rsidR="00933DBD" w:rsidRPr="007632FC">
        <w:rPr>
          <w:rFonts w:ascii="Times New Roman" w:eastAsia="Calibri" w:hAnsi="Times New Roman" w:cs="Times New Roman"/>
          <w:sz w:val="24"/>
          <w:szCs w:val="24"/>
          <w:lang w:val="en-US"/>
        </w:rPr>
        <w:t>murine</w:t>
      </w:r>
      <w:proofErr w:type="spellEnd"/>
      <w:r w:rsidR="00933DBD" w:rsidRPr="007632FC">
        <w:rPr>
          <w:rFonts w:ascii="Times New Roman" w:eastAsia="Calibri" w:hAnsi="Times New Roman" w:cs="Times New Roman"/>
          <w:sz w:val="24"/>
          <w:szCs w:val="24"/>
          <w:lang w:val="en-US"/>
        </w:rPr>
        <w:t xml:space="preserve"> T lymphoblast cell line EL-4</w:t>
      </w:r>
      <w:r w:rsidR="00742FC9" w:rsidRPr="007632FC">
        <w:rPr>
          <w:rFonts w:ascii="Times New Roman" w:eastAsia="Calibri" w:hAnsi="Times New Roman" w:cs="Times New Roman"/>
          <w:sz w:val="24"/>
          <w:szCs w:val="24"/>
          <w:lang w:val="en-US"/>
        </w:rPr>
        <w:t>,</w:t>
      </w:r>
      <w:r w:rsidR="00933DBD" w:rsidRPr="007632FC">
        <w:rPr>
          <w:rFonts w:ascii="Times New Roman" w:eastAsia="Calibri" w:hAnsi="Times New Roman" w:cs="Times New Roman"/>
          <w:sz w:val="24"/>
          <w:szCs w:val="24"/>
          <w:lang w:val="en-US"/>
        </w:rPr>
        <w:t xml:space="preserve"> reported to constitutively express high levels of PD-1 </w:t>
      </w:r>
      <w:r w:rsidR="00923F05" w:rsidRPr="007632FC">
        <w:rPr>
          <w:rFonts w:ascii="Times New Roman" w:eastAsia="Calibri" w:hAnsi="Times New Roman" w:cs="Times New Roman"/>
          <w:sz w:val="24"/>
          <w:szCs w:val="24"/>
          <w:lang w:val="en-US"/>
        </w:rPr>
        <w:fldChar w:fldCharType="begin" w:fldLock="1"/>
      </w:r>
      <w:r w:rsidR="009F41A5">
        <w:rPr>
          <w:rFonts w:ascii="Times New Roman" w:eastAsia="Calibri" w:hAnsi="Times New Roman" w:cs="Times New Roman"/>
          <w:sz w:val="24"/>
          <w:szCs w:val="24"/>
          <w:lang w:val="en-US"/>
        </w:rPr>
        <w:instrText>ADDIN CSL_CITATION { "citationItems" : [ { "id" : "ITEM-1", "itemData" : { "ISSN" : "1550-6606", "PMID" : "18802087", "abstract" : "PD-1 is a transmembrane protein involved in the regulation of immunological tolerance. Multiple studies have reported an association between high levels of PD-1 expressed on T cell surfaces and exhaustion in lymphocyte populations when challenged by chronic viral infections, such as HIV. By using model systems consisting of murine EL4 cells, which constitutively express PD-1, and primary murine CD8 T cells that express PD-1 upon T cell stimulation, we have identified two tissue-specific hypersensitive sites at the 5' CR of the PD-1 locus. Gene reporter assays in CD8 T cells have shown that one of these sites has robust transcriptional activity in response to cell stimulation. Cell treatment with the calcineurin inhibitor cyclosporine A or a NFAT-specific inhibitor led to a sharp reduction in PD-1 expression in the constitutive and inducible systems. Furthermore, analysis of this region by chromatin immunoprecipitation assay revealed NFATc1 binding associated with gene activation in EL4 and primary CD8 T cells. Mutation of the NFATc1 binding site in PD-1 reporter constructs resulted in a complete loss of promoter activity. Together, these results demonstrate that PD-1 gene regulation occurs in part via the recruitment of NFATc1 to a novel regulatory element at the pdcd1 locus and provides the molecular mechanism responsible for the induction of PD-1 in response to T cell stimulation.", "author" : [ { "dropping-particle" : "", "family" : "Oestreich", "given" : "Kenneth J", "non-dropping-particle" : "", "parse-names" : false, "suffix" : "" }, { "dropping-particle" : "", "family" : "Yoon", "given" : "Hyesuk", "non-dropping-particle" : "", "parse-names" : false, "suffix" : "" }, { "dropping-particle" : "", "family" : "Ahmed", "given" : "Rafi", "non-dropping-particle" : "", "parse-names" : false, "suffix" : "" }, { "dropping-particle" : "", "family" : "Boss", "given" : "Jeremy M", "non-dropping-particle" : "", "parse-names" : false, "suffix" : "" } ], "container-title" : "Journal of immunology (Baltimore, Md. : 1950)", "id" : "ITEM-1", "issue" : "7", "issued" : { "date-parts" : [ [ "2008", "10", "1" ] ] }, "page" : "4832-9", "title" : "NFATc1 regulates PD-1 expression upon T cell activation.", "type" : "article-journal", "volume" : "181" }, "uris" : [ "http://www.mendeley.com/documents/?uuid=f4898be4-1c7f-3dd2-a76b-7f2f75f6dea5" ] } ], "mendeley" : { "formattedCitation" : "(3)", "plainTextFormattedCitation" : "(3)", "previouslyFormattedCitation" : "(3)" }, "properties" : {  }, "schema" : "https://github.com/citation-style-language/schema/raw/master/csl-citation.json" }</w:instrText>
      </w:r>
      <w:r w:rsidR="00923F05" w:rsidRPr="007632FC">
        <w:rPr>
          <w:rFonts w:ascii="Times New Roman" w:eastAsia="Calibri" w:hAnsi="Times New Roman" w:cs="Times New Roman"/>
          <w:sz w:val="24"/>
          <w:szCs w:val="24"/>
          <w:lang w:val="en-US"/>
        </w:rPr>
        <w:fldChar w:fldCharType="separate"/>
      </w:r>
      <w:r w:rsidR="009F41A5" w:rsidRPr="009F41A5">
        <w:rPr>
          <w:rFonts w:ascii="Times New Roman" w:eastAsia="Calibri" w:hAnsi="Times New Roman" w:cs="Times New Roman"/>
          <w:noProof/>
          <w:sz w:val="24"/>
          <w:szCs w:val="24"/>
          <w:lang w:val="en-US"/>
        </w:rPr>
        <w:t>(3)</w:t>
      </w:r>
      <w:r w:rsidR="00923F05" w:rsidRPr="007632FC">
        <w:rPr>
          <w:rFonts w:ascii="Times New Roman" w:eastAsia="Calibri" w:hAnsi="Times New Roman" w:cs="Times New Roman"/>
          <w:sz w:val="24"/>
          <w:szCs w:val="24"/>
          <w:lang w:val="en-US"/>
        </w:rPr>
        <w:fldChar w:fldCharType="end"/>
      </w:r>
      <w:r w:rsidR="00742FC9" w:rsidRPr="007632FC">
        <w:rPr>
          <w:rFonts w:ascii="Times New Roman" w:eastAsia="Calibri" w:hAnsi="Times New Roman" w:cs="Times New Roman"/>
          <w:sz w:val="24"/>
          <w:szCs w:val="24"/>
          <w:lang w:val="en-US"/>
        </w:rPr>
        <w:t>. EL-4 cells were stained with 10</w:t>
      </w:r>
      <w:r w:rsidR="006B03BF" w:rsidRPr="006B03BF">
        <w:rPr>
          <w:rFonts w:ascii="Symbol" w:eastAsia="Calibri" w:hAnsi="Symbol" w:cs="Times New Roman"/>
          <w:sz w:val="24"/>
          <w:szCs w:val="24"/>
          <w:lang w:val="en-US"/>
        </w:rPr>
        <w:t></w:t>
      </w:r>
      <w:r w:rsidR="00742FC9" w:rsidRPr="007632FC">
        <w:rPr>
          <w:rFonts w:ascii="Times New Roman" w:eastAsia="Calibri" w:hAnsi="Times New Roman" w:cs="Times New Roman"/>
          <w:sz w:val="24"/>
          <w:szCs w:val="24"/>
          <w:lang w:val="en-US"/>
        </w:rPr>
        <w:t>g/ml of a</w:t>
      </w:r>
      <w:r w:rsidR="003A3BC2" w:rsidRPr="007632FC">
        <w:rPr>
          <w:rFonts w:ascii="Times New Roman" w:eastAsia="Calibri" w:hAnsi="Times New Roman" w:cs="Times New Roman"/>
          <w:sz w:val="24"/>
          <w:szCs w:val="24"/>
          <w:lang w:val="en-US"/>
        </w:rPr>
        <w:t>nti-mouse PD-1 clone RMP1-14 (</w:t>
      </w:r>
      <w:proofErr w:type="spellStart"/>
      <w:r w:rsidR="003A3BC2" w:rsidRPr="007632FC">
        <w:rPr>
          <w:rFonts w:ascii="Times New Roman" w:eastAsia="Calibri" w:hAnsi="Times New Roman" w:cs="Times New Roman"/>
          <w:sz w:val="24"/>
          <w:szCs w:val="24"/>
          <w:lang w:val="en-US"/>
        </w:rPr>
        <w:t>BioXCell</w:t>
      </w:r>
      <w:proofErr w:type="spellEnd"/>
      <w:r w:rsidR="003A3BC2" w:rsidRPr="007632FC">
        <w:rPr>
          <w:rFonts w:ascii="Times New Roman" w:eastAsia="Calibri" w:hAnsi="Times New Roman" w:cs="Times New Roman"/>
          <w:sz w:val="24"/>
          <w:szCs w:val="24"/>
          <w:lang w:val="en-US"/>
        </w:rPr>
        <w:t xml:space="preserve">), </w:t>
      </w:r>
      <w:r w:rsidR="00742FC9" w:rsidRPr="007632FC">
        <w:rPr>
          <w:rFonts w:ascii="Times New Roman" w:eastAsia="Calibri" w:hAnsi="Times New Roman" w:cs="Times New Roman"/>
          <w:sz w:val="24"/>
          <w:szCs w:val="24"/>
          <w:lang w:val="en-US"/>
        </w:rPr>
        <w:t>anti mouse PD-1 F(</w:t>
      </w:r>
      <w:proofErr w:type="spellStart"/>
      <w:r w:rsidR="00742FC9" w:rsidRPr="007632FC">
        <w:rPr>
          <w:rFonts w:ascii="Times New Roman" w:eastAsia="Calibri" w:hAnsi="Times New Roman" w:cs="Times New Roman"/>
          <w:sz w:val="24"/>
          <w:szCs w:val="24"/>
          <w:lang w:val="en-US"/>
        </w:rPr>
        <w:t>ab</w:t>
      </w:r>
      <w:proofErr w:type="spellEnd"/>
      <w:r w:rsidR="00742FC9" w:rsidRPr="007632FC">
        <w:rPr>
          <w:rFonts w:ascii="Times New Roman" w:eastAsia="Calibri" w:hAnsi="Times New Roman" w:cs="Times New Roman"/>
          <w:sz w:val="24"/>
          <w:szCs w:val="24"/>
          <w:lang w:val="en-US"/>
        </w:rPr>
        <w:t>)</w:t>
      </w:r>
      <w:r w:rsidR="00742FC9" w:rsidRPr="007632FC">
        <w:rPr>
          <w:rFonts w:ascii="Times New Roman" w:eastAsia="Calibri" w:hAnsi="Times New Roman" w:cs="Times New Roman"/>
          <w:sz w:val="24"/>
          <w:szCs w:val="24"/>
          <w:vertAlign w:val="subscript"/>
          <w:lang w:val="en-US"/>
        </w:rPr>
        <w:t>2</w:t>
      </w:r>
      <w:r w:rsidR="00742FC9" w:rsidRPr="007632FC">
        <w:rPr>
          <w:rFonts w:ascii="Times New Roman" w:eastAsia="Calibri" w:hAnsi="Times New Roman" w:cs="Times New Roman"/>
          <w:sz w:val="24"/>
          <w:szCs w:val="24"/>
          <w:lang w:val="en-US"/>
        </w:rPr>
        <w:t xml:space="preserve"> </w:t>
      </w:r>
      <w:r w:rsidR="003A3BC2" w:rsidRPr="007632FC">
        <w:rPr>
          <w:rFonts w:ascii="Times New Roman" w:eastAsia="Calibri" w:hAnsi="Times New Roman" w:cs="Times New Roman"/>
          <w:sz w:val="24"/>
          <w:szCs w:val="24"/>
          <w:lang w:val="en-US"/>
        </w:rPr>
        <w:t xml:space="preserve">or rat IgG2a </w:t>
      </w:r>
      <w:proofErr w:type="spellStart"/>
      <w:r w:rsidR="003A3BC2" w:rsidRPr="007632FC">
        <w:rPr>
          <w:rFonts w:ascii="Times New Roman" w:eastAsia="Calibri" w:hAnsi="Times New Roman" w:cs="Times New Roman"/>
          <w:sz w:val="24"/>
          <w:szCs w:val="24"/>
          <w:lang w:val="en-US"/>
        </w:rPr>
        <w:t>isotype</w:t>
      </w:r>
      <w:proofErr w:type="spellEnd"/>
      <w:r w:rsidR="003A3BC2" w:rsidRPr="007632FC">
        <w:rPr>
          <w:rFonts w:ascii="Times New Roman" w:eastAsia="Calibri" w:hAnsi="Times New Roman" w:cs="Times New Roman"/>
          <w:sz w:val="24"/>
          <w:szCs w:val="24"/>
          <w:lang w:val="en-US"/>
        </w:rPr>
        <w:t xml:space="preserve"> control clone 2A3 (</w:t>
      </w:r>
      <w:proofErr w:type="spellStart"/>
      <w:r w:rsidR="003A3BC2" w:rsidRPr="007632FC">
        <w:rPr>
          <w:rFonts w:ascii="Times New Roman" w:eastAsia="Calibri" w:hAnsi="Times New Roman" w:cs="Times New Roman"/>
          <w:sz w:val="24"/>
          <w:szCs w:val="24"/>
          <w:lang w:val="en-US"/>
        </w:rPr>
        <w:t>BioXCell</w:t>
      </w:r>
      <w:proofErr w:type="spellEnd"/>
      <w:r w:rsidR="003A3BC2" w:rsidRPr="007632FC">
        <w:rPr>
          <w:rFonts w:ascii="Times New Roman" w:eastAsia="Calibri" w:hAnsi="Times New Roman" w:cs="Times New Roman"/>
          <w:sz w:val="24"/>
          <w:szCs w:val="24"/>
          <w:lang w:val="en-US"/>
        </w:rPr>
        <w:t xml:space="preserve">) </w:t>
      </w:r>
      <w:r w:rsidR="00742FC9" w:rsidRPr="007632FC">
        <w:rPr>
          <w:rFonts w:ascii="Times New Roman" w:eastAsia="Calibri" w:hAnsi="Times New Roman" w:cs="Times New Roman"/>
          <w:sz w:val="24"/>
          <w:szCs w:val="24"/>
          <w:lang w:val="en-US"/>
        </w:rPr>
        <w:t>for 30 minutes at 4°. After washing, cells were incubated with</w:t>
      </w:r>
      <w:r w:rsidR="00CC59D3" w:rsidRPr="007632FC">
        <w:rPr>
          <w:rFonts w:ascii="Times New Roman" w:eastAsia="Calibri" w:hAnsi="Times New Roman" w:cs="Times New Roman"/>
          <w:sz w:val="24"/>
          <w:szCs w:val="24"/>
          <w:lang w:val="en-US"/>
        </w:rPr>
        <w:t xml:space="preserve"> FITC-conjugated</w:t>
      </w:r>
      <w:r w:rsidR="00742FC9" w:rsidRPr="007632FC">
        <w:rPr>
          <w:rFonts w:ascii="Times New Roman" w:eastAsia="Calibri" w:hAnsi="Times New Roman" w:cs="Times New Roman"/>
          <w:sz w:val="24"/>
          <w:szCs w:val="24"/>
          <w:lang w:val="en-US"/>
        </w:rPr>
        <w:t xml:space="preserve"> </w:t>
      </w:r>
      <w:r w:rsidR="00CC59D3" w:rsidRPr="007632FC">
        <w:rPr>
          <w:rFonts w:ascii="Times New Roman" w:hAnsi="Times New Roman" w:cs="Times New Roman"/>
          <w:sz w:val="24"/>
          <w:szCs w:val="24"/>
          <w:lang w:val="en-US"/>
        </w:rPr>
        <w:t xml:space="preserve">Anti-Rat </w:t>
      </w:r>
      <w:proofErr w:type="spellStart"/>
      <w:r w:rsidR="00CC59D3" w:rsidRPr="007632FC">
        <w:rPr>
          <w:rFonts w:ascii="Times New Roman" w:hAnsi="Times New Roman" w:cs="Times New Roman"/>
          <w:sz w:val="24"/>
          <w:szCs w:val="24"/>
          <w:lang w:val="en-US"/>
        </w:rPr>
        <w:t>IgG</w:t>
      </w:r>
      <w:proofErr w:type="spellEnd"/>
      <w:r w:rsidR="00CC59D3" w:rsidRPr="007632FC">
        <w:rPr>
          <w:rFonts w:ascii="Times New Roman" w:hAnsi="Times New Roman" w:cs="Times New Roman"/>
          <w:sz w:val="24"/>
          <w:szCs w:val="24"/>
          <w:lang w:val="en-US"/>
        </w:rPr>
        <w:t xml:space="preserve"> (H+L) Antibody, Mouse Serum Adsorbed (KPL, </w:t>
      </w:r>
      <w:proofErr w:type="spellStart"/>
      <w:r w:rsidR="00CC59D3" w:rsidRPr="007632FC">
        <w:rPr>
          <w:rStyle w:val="Enfasigrassetto"/>
          <w:rFonts w:ascii="Times New Roman" w:hAnsi="Times New Roman" w:cs="Times New Roman"/>
          <w:b w:val="0"/>
          <w:sz w:val="24"/>
          <w:szCs w:val="24"/>
          <w:lang w:val="en-US"/>
        </w:rPr>
        <w:t>SeraCare</w:t>
      </w:r>
      <w:proofErr w:type="spellEnd"/>
      <w:r w:rsidR="00CC59D3" w:rsidRPr="007632FC">
        <w:rPr>
          <w:rStyle w:val="Enfasigrassetto"/>
          <w:rFonts w:ascii="Times New Roman" w:hAnsi="Times New Roman" w:cs="Times New Roman"/>
          <w:b w:val="0"/>
          <w:sz w:val="24"/>
          <w:szCs w:val="24"/>
          <w:lang w:val="en-US"/>
        </w:rPr>
        <w:t xml:space="preserve"> Life Sciences</w:t>
      </w:r>
      <w:r w:rsidR="00CC59D3" w:rsidRPr="007632FC">
        <w:rPr>
          <w:rStyle w:val="Enfasigrassetto"/>
          <w:rFonts w:ascii="Times New Roman" w:hAnsi="Times New Roman" w:cs="Times New Roman"/>
          <w:sz w:val="24"/>
          <w:szCs w:val="24"/>
          <w:lang w:val="en-US"/>
        </w:rPr>
        <w:t xml:space="preserve">, </w:t>
      </w:r>
      <w:r w:rsidR="00CC59D3" w:rsidRPr="007632FC">
        <w:rPr>
          <w:rFonts w:ascii="Times New Roman" w:hAnsi="Times New Roman" w:cs="Times New Roman"/>
          <w:sz w:val="24"/>
          <w:szCs w:val="24"/>
          <w:lang w:val="en-US"/>
        </w:rPr>
        <w:t>Milford, MA, USA)</w:t>
      </w:r>
      <w:r w:rsidR="00E8765C" w:rsidRPr="007632FC">
        <w:rPr>
          <w:rFonts w:ascii="Times New Roman" w:hAnsi="Times New Roman" w:cs="Times New Roman"/>
          <w:sz w:val="24"/>
          <w:szCs w:val="24"/>
          <w:lang w:val="en-US"/>
        </w:rPr>
        <w:t xml:space="preserve"> </w:t>
      </w:r>
      <w:r w:rsidR="00E8765C" w:rsidRPr="007632FC">
        <w:rPr>
          <w:rFonts w:ascii="Times New Roman" w:eastAsia="Calibri" w:hAnsi="Times New Roman" w:cs="Times New Roman"/>
          <w:sz w:val="24"/>
          <w:szCs w:val="24"/>
          <w:lang w:val="en-US"/>
        </w:rPr>
        <w:t>for 30 minutes at 4°</w:t>
      </w:r>
      <w:r w:rsidR="0029725B" w:rsidRPr="007632FC">
        <w:rPr>
          <w:rFonts w:ascii="Times New Roman" w:eastAsia="Calibri" w:hAnsi="Times New Roman" w:cs="Times New Roman"/>
          <w:sz w:val="24"/>
          <w:szCs w:val="24"/>
          <w:lang w:val="en-US"/>
        </w:rPr>
        <w:t>C</w:t>
      </w:r>
      <w:r w:rsidR="00CC59D3" w:rsidRPr="007632FC">
        <w:rPr>
          <w:rFonts w:ascii="Times New Roman" w:hAnsi="Times New Roman" w:cs="Times New Roman"/>
          <w:sz w:val="24"/>
          <w:szCs w:val="24"/>
          <w:lang w:val="en-US"/>
        </w:rPr>
        <w:t xml:space="preserve">. </w:t>
      </w:r>
      <w:r w:rsidR="00CC59D3" w:rsidRPr="007632FC">
        <w:rPr>
          <w:rFonts w:ascii="Times New Roman" w:eastAsia="Times New Roman" w:hAnsi="Times New Roman" w:cs="Times New Roman"/>
          <w:sz w:val="24"/>
          <w:szCs w:val="24"/>
          <w:lang w:val="en-US" w:eastAsia="it-IT"/>
        </w:rPr>
        <w:t xml:space="preserve">Samples were then acquired with BD LSRII </w:t>
      </w:r>
      <w:proofErr w:type="spellStart"/>
      <w:r w:rsidR="00CC59D3" w:rsidRPr="007632FC">
        <w:rPr>
          <w:rFonts w:ascii="Times New Roman" w:eastAsia="Times New Roman" w:hAnsi="Times New Roman" w:cs="Times New Roman"/>
          <w:sz w:val="24"/>
          <w:szCs w:val="24"/>
          <w:lang w:val="en-US" w:eastAsia="it-IT"/>
        </w:rPr>
        <w:t>Fortessa</w:t>
      </w:r>
      <w:proofErr w:type="spellEnd"/>
      <w:r w:rsidR="00CC59D3" w:rsidRPr="007632FC">
        <w:rPr>
          <w:rFonts w:ascii="Times New Roman" w:eastAsia="Times New Roman" w:hAnsi="Times New Roman" w:cs="Times New Roman"/>
          <w:sz w:val="24"/>
          <w:szCs w:val="24"/>
          <w:lang w:val="en-US" w:eastAsia="it-IT"/>
        </w:rPr>
        <w:t>™ (</w:t>
      </w:r>
      <w:r w:rsidR="00CC59D3" w:rsidRPr="007632FC">
        <w:rPr>
          <w:rFonts w:ascii="Times New Roman" w:eastAsia="Times New Roman" w:hAnsi="Times New Roman" w:cs="Times New Roman"/>
          <w:bCs/>
          <w:sz w:val="24"/>
          <w:szCs w:val="24"/>
          <w:lang w:val="en-US" w:eastAsia="it-IT"/>
        </w:rPr>
        <w:t>BD Biosciences</w:t>
      </w:r>
      <w:r w:rsidR="00CC59D3" w:rsidRPr="007632FC">
        <w:rPr>
          <w:rFonts w:ascii="Times New Roman" w:eastAsia="Times New Roman" w:hAnsi="Times New Roman" w:cs="Times New Roman"/>
          <w:sz w:val="24"/>
          <w:szCs w:val="24"/>
          <w:lang w:val="en-US" w:eastAsia="it-IT"/>
        </w:rPr>
        <w:t xml:space="preserve">, San Jose, CA, USA) and analyzed with </w:t>
      </w:r>
      <w:proofErr w:type="spellStart"/>
      <w:r w:rsidR="00CC59D3" w:rsidRPr="007632FC">
        <w:rPr>
          <w:rFonts w:ascii="Times New Roman" w:eastAsia="Times New Roman" w:hAnsi="Times New Roman" w:cs="Times New Roman"/>
          <w:sz w:val="24"/>
          <w:szCs w:val="24"/>
          <w:lang w:val="en-US" w:eastAsia="it-IT"/>
        </w:rPr>
        <w:t>FlowJo</w:t>
      </w:r>
      <w:proofErr w:type="spellEnd"/>
      <w:r w:rsidR="00CC59D3" w:rsidRPr="007632FC">
        <w:rPr>
          <w:rFonts w:ascii="Times New Roman" w:eastAsia="Times New Roman" w:hAnsi="Times New Roman" w:cs="Times New Roman"/>
          <w:sz w:val="24"/>
          <w:szCs w:val="24"/>
          <w:lang w:val="en-US" w:eastAsia="it-IT"/>
        </w:rPr>
        <w:t xml:space="preserve"> software (</w:t>
      </w:r>
      <w:proofErr w:type="spellStart"/>
      <w:r w:rsidR="00CC59D3" w:rsidRPr="007632FC">
        <w:rPr>
          <w:rFonts w:ascii="Times New Roman" w:eastAsia="Times New Roman" w:hAnsi="Times New Roman" w:cs="Times New Roman"/>
          <w:sz w:val="24"/>
          <w:szCs w:val="24"/>
          <w:lang w:val="en-US" w:eastAsia="it-IT"/>
        </w:rPr>
        <w:t>FlowJo</w:t>
      </w:r>
      <w:proofErr w:type="spellEnd"/>
      <w:r w:rsidR="00CC59D3" w:rsidRPr="007632FC">
        <w:rPr>
          <w:rFonts w:ascii="Times New Roman" w:eastAsia="Times New Roman" w:hAnsi="Times New Roman" w:cs="Times New Roman"/>
          <w:sz w:val="24"/>
          <w:szCs w:val="24"/>
          <w:lang w:val="en-US" w:eastAsia="it-IT"/>
        </w:rPr>
        <w:t xml:space="preserve"> LCC, Ashland, OR, USA)</w:t>
      </w:r>
      <w:r w:rsidR="009F05BE" w:rsidRPr="007632FC">
        <w:rPr>
          <w:rFonts w:ascii="Times New Roman" w:eastAsia="Times New Roman" w:hAnsi="Times New Roman" w:cs="Times New Roman"/>
          <w:sz w:val="24"/>
          <w:szCs w:val="24"/>
          <w:lang w:val="en-US" w:eastAsia="it-IT"/>
        </w:rPr>
        <w:t xml:space="preserve"> (</w:t>
      </w:r>
      <w:r w:rsidR="009F05BE" w:rsidRPr="007632FC">
        <w:rPr>
          <w:rFonts w:ascii="Times New Roman" w:eastAsia="Calibri" w:hAnsi="Times New Roman" w:cs="Times New Roman"/>
          <w:sz w:val="24"/>
          <w:szCs w:val="24"/>
          <w:lang w:val="en-US"/>
        </w:rPr>
        <w:t>Supplementary Figure S</w:t>
      </w:r>
      <w:r w:rsidR="00145451">
        <w:rPr>
          <w:rFonts w:ascii="Times New Roman" w:eastAsia="Calibri" w:hAnsi="Times New Roman" w:cs="Times New Roman"/>
          <w:sz w:val="24"/>
          <w:szCs w:val="24"/>
          <w:lang w:val="en-US"/>
        </w:rPr>
        <w:t>3</w:t>
      </w:r>
      <w:r w:rsidR="00606B48">
        <w:rPr>
          <w:rFonts w:ascii="Times New Roman" w:eastAsia="Calibri" w:hAnsi="Times New Roman" w:cs="Times New Roman"/>
          <w:sz w:val="24"/>
          <w:szCs w:val="24"/>
          <w:lang w:val="en-US"/>
        </w:rPr>
        <w:t>F</w:t>
      </w:r>
      <w:r w:rsidR="009F05BE" w:rsidRPr="007632FC">
        <w:rPr>
          <w:rFonts w:ascii="Times New Roman" w:eastAsia="Times New Roman" w:hAnsi="Times New Roman" w:cs="Times New Roman"/>
          <w:sz w:val="24"/>
          <w:szCs w:val="24"/>
          <w:lang w:val="en-US" w:eastAsia="it-IT"/>
        </w:rPr>
        <w:t>)</w:t>
      </w:r>
      <w:r w:rsidR="00606B48">
        <w:rPr>
          <w:rFonts w:ascii="Times New Roman" w:eastAsia="Times New Roman" w:hAnsi="Times New Roman" w:cs="Times New Roman"/>
          <w:sz w:val="24"/>
          <w:szCs w:val="24"/>
          <w:lang w:val="en-US" w:eastAsia="it-IT"/>
        </w:rPr>
        <w:t xml:space="preserve">. </w:t>
      </w:r>
      <w:r w:rsidR="00606B48" w:rsidRPr="007632FC">
        <w:rPr>
          <w:rFonts w:ascii="Times New Roman" w:eastAsia="Calibri" w:hAnsi="Times New Roman" w:cs="Times New Roman"/>
          <w:sz w:val="24"/>
          <w:szCs w:val="24"/>
          <w:lang w:val="en-US"/>
        </w:rPr>
        <w:t xml:space="preserve">To verify whether </w:t>
      </w:r>
      <w:proofErr w:type="spellStart"/>
      <w:r w:rsidR="00606B48">
        <w:rPr>
          <w:rFonts w:ascii="Times New Roman" w:eastAsia="Calibri" w:hAnsi="Times New Roman" w:cs="Times New Roman"/>
          <w:sz w:val="24"/>
          <w:szCs w:val="24"/>
          <w:lang w:val="en-US"/>
        </w:rPr>
        <w:t>Nivolumab</w:t>
      </w:r>
      <w:proofErr w:type="spellEnd"/>
      <w:r w:rsidR="00606B48" w:rsidRPr="007632FC">
        <w:rPr>
          <w:rFonts w:ascii="Times New Roman" w:eastAsia="Calibri" w:hAnsi="Times New Roman" w:cs="Times New Roman"/>
          <w:sz w:val="24"/>
          <w:szCs w:val="24"/>
          <w:lang w:val="en-US"/>
        </w:rPr>
        <w:t xml:space="preserve"> F(</w:t>
      </w:r>
      <w:proofErr w:type="spellStart"/>
      <w:r w:rsidR="00606B48" w:rsidRPr="007632FC">
        <w:rPr>
          <w:rFonts w:ascii="Times New Roman" w:eastAsia="Calibri" w:hAnsi="Times New Roman" w:cs="Times New Roman"/>
          <w:sz w:val="24"/>
          <w:szCs w:val="24"/>
          <w:lang w:val="en-US"/>
        </w:rPr>
        <w:t>ab</w:t>
      </w:r>
      <w:proofErr w:type="spellEnd"/>
      <w:r w:rsidR="00606B48" w:rsidRPr="007632FC">
        <w:rPr>
          <w:rFonts w:ascii="Times New Roman" w:eastAsia="Calibri" w:hAnsi="Times New Roman" w:cs="Times New Roman"/>
          <w:sz w:val="24"/>
          <w:szCs w:val="24"/>
          <w:lang w:val="en-US"/>
        </w:rPr>
        <w:t>)</w:t>
      </w:r>
      <w:r w:rsidR="00606B48" w:rsidRPr="007632FC">
        <w:rPr>
          <w:rFonts w:ascii="Times New Roman" w:eastAsia="Calibri" w:hAnsi="Times New Roman" w:cs="Times New Roman"/>
          <w:sz w:val="24"/>
          <w:szCs w:val="24"/>
          <w:vertAlign w:val="subscript"/>
          <w:lang w:val="en-US"/>
        </w:rPr>
        <w:t>2</w:t>
      </w:r>
      <w:r w:rsidR="00606B48" w:rsidRPr="007632FC">
        <w:rPr>
          <w:rFonts w:ascii="Times New Roman" w:eastAsia="Calibri" w:hAnsi="Times New Roman" w:cs="Times New Roman"/>
          <w:sz w:val="24"/>
          <w:szCs w:val="24"/>
          <w:lang w:val="en-US"/>
        </w:rPr>
        <w:t xml:space="preserve"> was still able to bind PD-1</w:t>
      </w:r>
      <w:r w:rsidR="00606B48">
        <w:rPr>
          <w:rFonts w:ascii="Times New Roman" w:eastAsia="Calibri" w:hAnsi="Times New Roman" w:cs="Times New Roman"/>
          <w:sz w:val="24"/>
          <w:szCs w:val="24"/>
          <w:lang w:val="en-US"/>
        </w:rPr>
        <w:t>, the capacity of F(</w:t>
      </w:r>
      <w:proofErr w:type="spellStart"/>
      <w:r w:rsidR="00606B48">
        <w:rPr>
          <w:rFonts w:ascii="Times New Roman" w:eastAsia="Calibri" w:hAnsi="Times New Roman" w:cs="Times New Roman"/>
          <w:sz w:val="24"/>
          <w:szCs w:val="24"/>
          <w:lang w:val="en-US"/>
        </w:rPr>
        <w:t>ab</w:t>
      </w:r>
      <w:proofErr w:type="spellEnd"/>
      <w:r w:rsidR="00606B48">
        <w:rPr>
          <w:rFonts w:ascii="Times New Roman" w:eastAsia="Calibri" w:hAnsi="Times New Roman" w:cs="Times New Roman"/>
          <w:sz w:val="24"/>
          <w:szCs w:val="24"/>
          <w:lang w:val="en-US"/>
        </w:rPr>
        <w:t>)</w:t>
      </w:r>
      <w:r w:rsidR="00606B48" w:rsidRPr="00606B48">
        <w:rPr>
          <w:rFonts w:ascii="Times New Roman" w:eastAsia="Calibri" w:hAnsi="Times New Roman" w:cs="Times New Roman"/>
          <w:sz w:val="24"/>
          <w:szCs w:val="24"/>
          <w:vertAlign w:val="subscript"/>
          <w:lang w:val="en-US"/>
        </w:rPr>
        <w:t>2</w:t>
      </w:r>
      <w:r w:rsidR="00606B48">
        <w:rPr>
          <w:rFonts w:ascii="Times New Roman" w:eastAsia="Calibri" w:hAnsi="Times New Roman" w:cs="Times New Roman"/>
          <w:sz w:val="24"/>
          <w:szCs w:val="24"/>
          <w:lang w:val="en-US"/>
        </w:rPr>
        <w:t xml:space="preserve"> fragments to antagonize PD-1 staining by </w:t>
      </w:r>
      <w:proofErr w:type="spellStart"/>
      <w:r w:rsidR="00606B48">
        <w:rPr>
          <w:rFonts w:ascii="Times New Roman" w:eastAsia="Calibri" w:hAnsi="Times New Roman" w:cs="Times New Roman"/>
          <w:sz w:val="24"/>
          <w:szCs w:val="24"/>
          <w:lang w:val="en-US"/>
        </w:rPr>
        <w:t>biotinylated</w:t>
      </w:r>
      <w:proofErr w:type="spellEnd"/>
      <w:r w:rsidR="00606B48">
        <w:rPr>
          <w:rFonts w:ascii="Times New Roman" w:eastAsia="Calibri" w:hAnsi="Times New Roman" w:cs="Times New Roman"/>
          <w:sz w:val="24"/>
          <w:szCs w:val="24"/>
          <w:lang w:val="en-US"/>
        </w:rPr>
        <w:t xml:space="preserve"> </w:t>
      </w:r>
      <w:proofErr w:type="spellStart"/>
      <w:r w:rsidR="00606B48">
        <w:rPr>
          <w:rFonts w:ascii="Times New Roman" w:eastAsia="Calibri" w:hAnsi="Times New Roman" w:cs="Times New Roman"/>
          <w:sz w:val="24"/>
          <w:szCs w:val="24"/>
          <w:lang w:val="en-US"/>
        </w:rPr>
        <w:t>Nivolumab</w:t>
      </w:r>
      <w:proofErr w:type="spellEnd"/>
      <w:r w:rsidR="00606B48">
        <w:rPr>
          <w:rFonts w:ascii="Times New Roman" w:eastAsia="Calibri" w:hAnsi="Times New Roman" w:cs="Times New Roman"/>
          <w:sz w:val="24"/>
          <w:szCs w:val="24"/>
          <w:lang w:val="en-US"/>
        </w:rPr>
        <w:t xml:space="preserve"> was assessed on PD-1 expressing OKT3-activated T-cells and on PD-1 expressing latex beads</w:t>
      </w:r>
      <w:r w:rsidR="00145451">
        <w:rPr>
          <w:rFonts w:ascii="Times New Roman" w:eastAsia="Calibri" w:hAnsi="Times New Roman" w:cs="Times New Roman"/>
          <w:sz w:val="24"/>
          <w:szCs w:val="24"/>
          <w:lang w:val="en-US"/>
        </w:rPr>
        <w:t xml:space="preserve"> (Supplementary Figure S3</w:t>
      </w:r>
      <w:r w:rsidR="00606B48">
        <w:rPr>
          <w:rFonts w:ascii="Times New Roman" w:eastAsia="Calibri" w:hAnsi="Times New Roman" w:cs="Times New Roman"/>
          <w:sz w:val="24"/>
          <w:szCs w:val="24"/>
          <w:lang w:val="en-US"/>
        </w:rPr>
        <w:t xml:space="preserve">G). Both, </w:t>
      </w:r>
      <w:r w:rsidR="00606B48" w:rsidRPr="007632FC">
        <w:rPr>
          <w:rFonts w:ascii="Times New Roman" w:eastAsia="Calibri" w:hAnsi="Times New Roman" w:cs="Times New Roman"/>
          <w:sz w:val="24"/>
          <w:szCs w:val="24"/>
          <w:lang w:val="en-US"/>
        </w:rPr>
        <w:t>anti mouse PD-1 F(</w:t>
      </w:r>
      <w:proofErr w:type="spellStart"/>
      <w:r w:rsidR="00606B48" w:rsidRPr="007632FC">
        <w:rPr>
          <w:rFonts w:ascii="Times New Roman" w:eastAsia="Calibri" w:hAnsi="Times New Roman" w:cs="Times New Roman"/>
          <w:sz w:val="24"/>
          <w:szCs w:val="24"/>
          <w:lang w:val="en-US"/>
        </w:rPr>
        <w:t>ab</w:t>
      </w:r>
      <w:proofErr w:type="spellEnd"/>
      <w:r w:rsidR="00606B48" w:rsidRPr="007632FC">
        <w:rPr>
          <w:rFonts w:ascii="Times New Roman" w:eastAsia="Calibri" w:hAnsi="Times New Roman" w:cs="Times New Roman"/>
          <w:sz w:val="24"/>
          <w:szCs w:val="24"/>
          <w:lang w:val="en-US"/>
        </w:rPr>
        <w:t>)</w:t>
      </w:r>
      <w:r w:rsidR="00606B48" w:rsidRPr="007632FC">
        <w:rPr>
          <w:rFonts w:ascii="Times New Roman" w:eastAsia="Calibri" w:hAnsi="Times New Roman" w:cs="Times New Roman"/>
          <w:sz w:val="24"/>
          <w:szCs w:val="24"/>
          <w:vertAlign w:val="subscript"/>
          <w:lang w:val="en-US"/>
        </w:rPr>
        <w:t>2</w:t>
      </w:r>
      <w:r w:rsidR="00606B48">
        <w:rPr>
          <w:rFonts w:ascii="Times New Roman" w:eastAsia="Calibri" w:hAnsi="Times New Roman" w:cs="Times New Roman"/>
          <w:sz w:val="24"/>
          <w:szCs w:val="24"/>
          <w:vertAlign w:val="subscript"/>
          <w:lang w:val="en-US"/>
        </w:rPr>
        <w:t xml:space="preserve"> </w:t>
      </w:r>
      <w:r w:rsidR="00606B48">
        <w:rPr>
          <w:rFonts w:ascii="Times New Roman" w:eastAsia="Calibri" w:hAnsi="Times New Roman" w:cs="Times New Roman"/>
          <w:sz w:val="24"/>
          <w:szCs w:val="24"/>
          <w:lang w:val="en-US"/>
        </w:rPr>
        <w:t xml:space="preserve">and </w:t>
      </w:r>
      <w:proofErr w:type="spellStart"/>
      <w:r w:rsidR="00606B48">
        <w:rPr>
          <w:rFonts w:ascii="Times New Roman" w:eastAsia="Calibri" w:hAnsi="Times New Roman" w:cs="Times New Roman"/>
          <w:sz w:val="24"/>
          <w:szCs w:val="24"/>
          <w:lang w:val="en-US"/>
        </w:rPr>
        <w:t>Nivolumab</w:t>
      </w:r>
      <w:proofErr w:type="spellEnd"/>
      <w:r w:rsidR="00606B48" w:rsidRPr="007632FC">
        <w:rPr>
          <w:rFonts w:ascii="Times New Roman" w:eastAsia="Calibri" w:hAnsi="Times New Roman" w:cs="Times New Roman"/>
          <w:sz w:val="24"/>
          <w:szCs w:val="24"/>
          <w:lang w:val="en-US"/>
        </w:rPr>
        <w:t xml:space="preserve"> F(</w:t>
      </w:r>
      <w:proofErr w:type="spellStart"/>
      <w:r w:rsidR="00606B48" w:rsidRPr="007632FC">
        <w:rPr>
          <w:rFonts w:ascii="Times New Roman" w:eastAsia="Calibri" w:hAnsi="Times New Roman" w:cs="Times New Roman"/>
          <w:sz w:val="24"/>
          <w:szCs w:val="24"/>
          <w:lang w:val="en-US"/>
        </w:rPr>
        <w:t>ab</w:t>
      </w:r>
      <w:proofErr w:type="spellEnd"/>
      <w:r w:rsidR="00606B48" w:rsidRPr="007632FC">
        <w:rPr>
          <w:rFonts w:ascii="Times New Roman" w:eastAsia="Calibri" w:hAnsi="Times New Roman" w:cs="Times New Roman"/>
          <w:sz w:val="24"/>
          <w:szCs w:val="24"/>
          <w:lang w:val="en-US"/>
        </w:rPr>
        <w:t>)</w:t>
      </w:r>
      <w:r w:rsidR="00606B48" w:rsidRPr="007632FC">
        <w:rPr>
          <w:rFonts w:ascii="Times New Roman" w:eastAsia="Calibri" w:hAnsi="Times New Roman" w:cs="Times New Roman"/>
          <w:sz w:val="24"/>
          <w:szCs w:val="24"/>
          <w:vertAlign w:val="subscript"/>
          <w:lang w:val="en-US"/>
        </w:rPr>
        <w:t>2</w:t>
      </w:r>
      <w:r w:rsidR="00606B48">
        <w:rPr>
          <w:rFonts w:ascii="Times New Roman" w:eastAsia="Calibri" w:hAnsi="Times New Roman" w:cs="Times New Roman"/>
          <w:sz w:val="24"/>
          <w:szCs w:val="24"/>
          <w:lang w:val="en-US"/>
        </w:rPr>
        <w:t xml:space="preserve"> were tested for the capacity to bind PD-1 by </w:t>
      </w:r>
      <w:r w:rsidR="00606B48" w:rsidRPr="00606B48">
        <w:rPr>
          <w:rFonts w:ascii="Times New Roman" w:eastAsia="Calibri" w:hAnsi="Times New Roman" w:cs="Times New Roman"/>
          <w:sz w:val="24"/>
          <w:szCs w:val="24"/>
          <w:lang w:val="en-US"/>
        </w:rPr>
        <w:t xml:space="preserve">enzyme-linked </w:t>
      </w:r>
      <w:proofErr w:type="spellStart"/>
      <w:r w:rsidR="00606B48" w:rsidRPr="00606B48">
        <w:rPr>
          <w:rFonts w:ascii="Times New Roman" w:eastAsia="Calibri" w:hAnsi="Times New Roman" w:cs="Times New Roman"/>
          <w:sz w:val="24"/>
          <w:szCs w:val="24"/>
          <w:lang w:val="en-US"/>
        </w:rPr>
        <w:t>immunosorbent</w:t>
      </w:r>
      <w:proofErr w:type="spellEnd"/>
      <w:r w:rsidR="00606B48" w:rsidRPr="00606B48">
        <w:rPr>
          <w:rFonts w:ascii="Times New Roman" w:eastAsia="Calibri" w:hAnsi="Times New Roman" w:cs="Times New Roman"/>
          <w:sz w:val="24"/>
          <w:szCs w:val="24"/>
          <w:lang w:val="en-US"/>
        </w:rPr>
        <w:t xml:space="preserve"> assay</w:t>
      </w:r>
      <w:r w:rsidR="00606B48">
        <w:rPr>
          <w:rFonts w:ascii="Times New Roman" w:eastAsia="Calibri" w:hAnsi="Times New Roman" w:cs="Times New Roman"/>
          <w:sz w:val="24"/>
          <w:szCs w:val="24"/>
          <w:lang w:val="en-US"/>
        </w:rPr>
        <w:t xml:space="preserve"> (ELISA, data not shown).</w:t>
      </w:r>
    </w:p>
    <w:p w:rsidR="00BF58FE" w:rsidRPr="007632FC" w:rsidRDefault="00BF58FE" w:rsidP="007632FC">
      <w:pPr>
        <w:pStyle w:val="Titolo11"/>
        <w:tabs>
          <w:tab w:val="left" w:pos="9639"/>
        </w:tabs>
        <w:spacing w:beforeAutospacing="0" w:after="0" w:afterAutospacing="0" w:line="480" w:lineRule="auto"/>
        <w:ind w:right="-1"/>
        <w:jc w:val="both"/>
        <w:rPr>
          <w:rFonts w:eastAsia="Calibri"/>
          <w:sz w:val="24"/>
          <w:szCs w:val="24"/>
          <w:u w:val="single"/>
          <w:lang w:val="en-US" w:eastAsia="en-US"/>
        </w:rPr>
      </w:pPr>
      <w:r w:rsidRPr="007632FC">
        <w:rPr>
          <w:rFonts w:eastAsia="Calibri"/>
          <w:sz w:val="24"/>
          <w:szCs w:val="24"/>
          <w:u w:val="single"/>
          <w:lang w:val="en-US" w:eastAsia="en-US"/>
        </w:rPr>
        <w:t>Cell lines</w:t>
      </w:r>
    </w:p>
    <w:p w:rsidR="00BF58FE" w:rsidRPr="007632FC" w:rsidRDefault="00606B48" w:rsidP="007632FC">
      <w:pPr>
        <w:autoSpaceDE w:val="0"/>
        <w:autoSpaceDN w:val="0"/>
        <w:adjustRightInd w:val="0"/>
        <w:spacing w:after="0" w:line="480" w:lineRule="auto"/>
        <w:jc w:val="both"/>
        <w:rPr>
          <w:rFonts w:ascii="Times New Roman" w:eastAsia="Times New Roman" w:hAnsi="Times New Roman" w:cs="Times New Roman"/>
          <w:bCs/>
          <w:sz w:val="24"/>
          <w:szCs w:val="24"/>
          <w:lang w:val="en-US"/>
        </w:rPr>
      </w:pPr>
      <w:r>
        <w:rPr>
          <w:rFonts w:ascii="Times New Roman" w:hAnsi="Times New Roman" w:cs="Times New Roman"/>
          <w:sz w:val="24"/>
          <w:szCs w:val="24"/>
          <w:lang w:val="en-US"/>
        </w:rPr>
        <w:t>The human non small cell lung c</w:t>
      </w:r>
      <w:r w:rsidR="00BF58FE" w:rsidRPr="007632FC">
        <w:rPr>
          <w:rFonts w:ascii="Times New Roman" w:hAnsi="Times New Roman" w:cs="Times New Roman"/>
          <w:sz w:val="24"/>
          <w:szCs w:val="24"/>
          <w:lang w:val="en-US"/>
        </w:rPr>
        <w:t xml:space="preserve">ancer (NSCLC) cell line NCI-H460 (hereafter H460, </w:t>
      </w:r>
      <w:r w:rsidR="00BF58FE" w:rsidRPr="007632FC">
        <w:rPr>
          <w:rFonts w:ascii="Times New Roman" w:hAnsi="Times New Roman" w:cs="Times New Roman"/>
          <w:sz w:val="24"/>
          <w:szCs w:val="24"/>
          <w:lang w:val="en-IE"/>
        </w:rPr>
        <w:t>ATCC® HTB-177™</w:t>
      </w:r>
      <w:r w:rsidR="00BF58FE" w:rsidRPr="007632FC">
        <w:rPr>
          <w:rFonts w:ascii="Times New Roman" w:hAnsi="Times New Roman" w:cs="Times New Roman"/>
          <w:sz w:val="24"/>
          <w:szCs w:val="24"/>
          <w:lang w:val="en-US"/>
        </w:rPr>
        <w:t xml:space="preserve">) </w:t>
      </w:r>
      <w:r w:rsidR="00BF58FE" w:rsidRPr="007632FC">
        <w:rPr>
          <w:rFonts w:ascii="Times New Roman" w:hAnsi="Times New Roman" w:cs="Times New Roman"/>
          <w:sz w:val="24"/>
          <w:szCs w:val="24"/>
          <w:lang w:val="en-IE"/>
        </w:rPr>
        <w:t>and PC9 (formerly known as PC-14)</w:t>
      </w:r>
      <w:r w:rsidR="00BF58FE" w:rsidRPr="007632FC">
        <w:rPr>
          <w:rFonts w:ascii="Times New Roman" w:hAnsi="Times New Roman" w:cs="Times New Roman"/>
          <w:sz w:val="24"/>
          <w:szCs w:val="24"/>
          <w:lang w:val="en-US"/>
        </w:rPr>
        <w:t xml:space="preserve"> were purchased from ATCC (American Type Culture Collection, Rockville, MD, USA) and </w:t>
      </w:r>
      <w:r w:rsidR="00BF58FE" w:rsidRPr="007632FC">
        <w:rPr>
          <w:rFonts w:ascii="Times New Roman" w:hAnsi="Times New Roman" w:cs="Times New Roman"/>
          <w:sz w:val="24"/>
          <w:szCs w:val="24"/>
          <w:lang w:val="en-IE"/>
        </w:rPr>
        <w:t>ECACC General Cell Collection</w:t>
      </w:r>
      <w:r w:rsidR="00BF58FE" w:rsidRPr="007632FC">
        <w:rPr>
          <w:rFonts w:ascii="Times New Roman" w:hAnsi="Times New Roman" w:cs="Times New Roman"/>
          <w:sz w:val="24"/>
          <w:szCs w:val="24"/>
          <w:lang w:val="en-US"/>
        </w:rPr>
        <w:t xml:space="preserve"> (Salisbury, UK) respectively. Cell lines were authenticated by the Fragment Analysis Facility at </w:t>
      </w:r>
      <w:proofErr w:type="spellStart"/>
      <w:r w:rsidR="00BF58FE" w:rsidRPr="007632FC">
        <w:rPr>
          <w:rFonts w:ascii="Times New Roman" w:hAnsi="Times New Roman" w:cs="Times New Roman"/>
          <w:sz w:val="24"/>
          <w:szCs w:val="24"/>
          <w:lang w:val="en-US"/>
        </w:rPr>
        <w:t>Fondazione</w:t>
      </w:r>
      <w:proofErr w:type="spellEnd"/>
      <w:r w:rsidR="00BF58FE" w:rsidRPr="007632FC">
        <w:rPr>
          <w:rFonts w:ascii="Times New Roman" w:hAnsi="Times New Roman" w:cs="Times New Roman"/>
          <w:sz w:val="24"/>
          <w:szCs w:val="24"/>
          <w:lang w:val="en-US"/>
        </w:rPr>
        <w:t xml:space="preserve"> IRCCS </w:t>
      </w:r>
      <w:r w:rsidR="00BF58FE" w:rsidRPr="007632FC">
        <w:rPr>
          <w:rFonts w:ascii="Times New Roman" w:hAnsi="Times New Roman" w:cs="Times New Roman"/>
          <w:sz w:val="24"/>
          <w:szCs w:val="24"/>
          <w:lang w:val="en-US"/>
        </w:rPr>
        <w:lastRenderedPageBreak/>
        <w:t xml:space="preserve">– </w:t>
      </w:r>
      <w:proofErr w:type="spellStart"/>
      <w:r w:rsidR="00BF58FE" w:rsidRPr="007632FC">
        <w:rPr>
          <w:rFonts w:ascii="Times New Roman" w:hAnsi="Times New Roman" w:cs="Times New Roman"/>
          <w:sz w:val="24"/>
          <w:szCs w:val="24"/>
          <w:lang w:val="en-US"/>
        </w:rPr>
        <w:t>Istituto</w:t>
      </w:r>
      <w:proofErr w:type="spellEnd"/>
      <w:r w:rsidR="00BF58FE" w:rsidRPr="007632FC">
        <w:rPr>
          <w:rFonts w:ascii="Times New Roman" w:hAnsi="Times New Roman" w:cs="Times New Roman"/>
          <w:sz w:val="24"/>
          <w:szCs w:val="24"/>
          <w:lang w:val="en-US"/>
        </w:rPr>
        <w:t xml:space="preserve"> </w:t>
      </w:r>
      <w:proofErr w:type="spellStart"/>
      <w:r w:rsidR="00BF58FE" w:rsidRPr="007632FC">
        <w:rPr>
          <w:rFonts w:ascii="Times New Roman" w:hAnsi="Times New Roman" w:cs="Times New Roman"/>
          <w:sz w:val="24"/>
          <w:szCs w:val="24"/>
          <w:lang w:val="en-US"/>
        </w:rPr>
        <w:t>Nazionale</w:t>
      </w:r>
      <w:proofErr w:type="spellEnd"/>
      <w:r w:rsidR="00BF58FE" w:rsidRPr="007632FC">
        <w:rPr>
          <w:rFonts w:ascii="Times New Roman" w:hAnsi="Times New Roman" w:cs="Times New Roman"/>
          <w:sz w:val="24"/>
          <w:szCs w:val="24"/>
          <w:lang w:val="en-US"/>
        </w:rPr>
        <w:t xml:space="preserve"> </w:t>
      </w:r>
      <w:proofErr w:type="spellStart"/>
      <w:r w:rsidR="00BF58FE" w:rsidRPr="007632FC">
        <w:rPr>
          <w:rFonts w:ascii="Times New Roman" w:hAnsi="Times New Roman" w:cs="Times New Roman"/>
          <w:sz w:val="24"/>
          <w:szCs w:val="24"/>
          <w:lang w:val="en-US"/>
        </w:rPr>
        <w:t>dei</w:t>
      </w:r>
      <w:proofErr w:type="spellEnd"/>
      <w:r w:rsidR="00BF58FE" w:rsidRPr="007632FC">
        <w:rPr>
          <w:rFonts w:ascii="Times New Roman" w:hAnsi="Times New Roman" w:cs="Times New Roman"/>
          <w:sz w:val="24"/>
          <w:szCs w:val="24"/>
          <w:lang w:val="en-US"/>
        </w:rPr>
        <w:t xml:space="preserve"> </w:t>
      </w:r>
      <w:proofErr w:type="spellStart"/>
      <w:r w:rsidR="00BF58FE" w:rsidRPr="007632FC">
        <w:rPr>
          <w:rFonts w:ascii="Times New Roman" w:hAnsi="Times New Roman" w:cs="Times New Roman"/>
          <w:sz w:val="24"/>
          <w:szCs w:val="24"/>
          <w:lang w:val="en-US"/>
        </w:rPr>
        <w:t>Tumori</w:t>
      </w:r>
      <w:proofErr w:type="spellEnd"/>
      <w:r w:rsidR="00BF58FE" w:rsidRPr="007632FC">
        <w:rPr>
          <w:rFonts w:ascii="Times New Roman" w:hAnsi="Times New Roman" w:cs="Times New Roman"/>
          <w:sz w:val="24"/>
          <w:szCs w:val="24"/>
          <w:lang w:val="en-US"/>
        </w:rPr>
        <w:t xml:space="preserve"> (Milan, Italy) using the </w:t>
      </w:r>
      <w:proofErr w:type="spellStart"/>
      <w:r w:rsidR="00BF58FE" w:rsidRPr="007632FC">
        <w:rPr>
          <w:rFonts w:ascii="Times New Roman" w:hAnsi="Times New Roman" w:cs="Times New Roman"/>
          <w:sz w:val="24"/>
          <w:szCs w:val="24"/>
          <w:lang w:val="en-US"/>
        </w:rPr>
        <w:t>GenePrint</w:t>
      </w:r>
      <w:proofErr w:type="spellEnd"/>
      <w:r w:rsidR="00BF58FE" w:rsidRPr="007632FC">
        <w:rPr>
          <w:rFonts w:ascii="Times New Roman" w:hAnsi="Times New Roman" w:cs="Times New Roman"/>
          <w:sz w:val="24"/>
          <w:szCs w:val="24"/>
          <w:lang w:val="en-US"/>
        </w:rPr>
        <w:t xml:space="preserve"> 10 System (</w:t>
      </w:r>
      <w:proofErr w:type="spellStart"/>
      <w:r w:rsidR="00BF58FE" w:rsidRPr="007632FC">
        <w:rPr>
          <w:rFonts w:ascii="Times New Roman" w:hAnsi="Times New Roman" w:cs="Times New Roman"/>
          <w:sz w:val="24"/>
          <w:szCs w:val="24"/>
          <w:lang w:val="en-US"/>
        </w:rPr>
        <w:t>Promega</w:t>
      </w:r>
      <w:proofErr w:type="spellEnd"/>
      <w:r w:rsidR="00BF58FE" w:rsidRPr="007632FC">
        <w:rPr>
          <w:rFonts w:ascii="Times New Roman" w:hAnsi="Times New Roman" w:cs="Times New Roman"/>
          <w:sz w:val="24"/>
          <w:szCs w:val="24"/>
          <w:lang w:val="en-US"/>
        </w:rPr>
        <w:t>, Madison, WI, USA). Cells were maintained in RPMI 1640 (Thermo Fisher Scientific Inc., Waltham, MA, USA) supplemented with 10% fetal bovine serum (Thermo Fisher Scientific Inc.),</w:t>
      </w:r>
      <w:r w:rsidR="006F426B" w:rsidRPr="007632FC">
        <w:rPr>
          <w:rFonts w:ascii="Times New Roman" w:hAnsi="Times New Roman" w:cs="Times New Roman"/>
          <w:sz w:val="24"/>
          <w:szCs w:val="24"/>
          <w:lang w:val="en-US"/>
        </w:rPr>
        <w:t xml:space="preserve"> 2 </w:t>
      </w:r>
      <w:proofErr w:type="spellStart"/>
      <w:r w:rsidR="00BF58FE" w:rsidRPr="007632FC">
        <w:rPr>
          <w:rFonts w:ascii="Times New Roman" w:hAnsi="Times New Roman" w:cs="Times New Roman"/>
          <w:sz w:val="24"/>
          <w:szCs w:val="24"/>
          <w:lang w:val="en-US"/>
        </w:rPr>
        <w:t>mM</w:t>
      </w:r>
      <w:proofErr w:type="spellEnd"/>
      <w:r w:rsidR="00BF58FE" w:rsidRPr="007632FC">
        <w:rPr>
          <w:rFonts w:ascii="Times New Roman" w:hAnsi="Times New Roman" w:cs="Times New Roman"/>
          <w:sz w:val="24"/>
          <w:szCs w:val="24"/>
          <w:lang w:val="en-US"/>
        </w:rPr>
        <w:t xml:space="preserve"> glutamine (Sigma-Aldrich, </w:t>
      </w:r>
      <w:r w:rsidR="00BF58FE" w:rsidRPr="007632FC">
        <w:rPr>
          <w:rStyle w:val="xbe"/>
          <w:rFonts w:ascii="Times New Roman" w:hAnsi="Times New Roman" w:cs="Times New Roman"/>
          <w:sz w:val="24"/>
          <w:szCs w:val="24"/>
          <w:lang w:val="en-US"/>
        </w:rPr>
        <w:t>St. Louis, MO, USA</w:t>
      </w:r>
      <w:r w:rsidR="00BF58FE" w:rsidRPr="007632FC">
        <w:rPr>
          <w:rFonts w:ascii="Times New Roman" w:hAnsi="Times New Roman" w:cs="Times New Roman"/>
          <w:sz w:val="24"/>
          <w:szCs w:val="24"/>
          <w:lang w:val="en-US"/>
        </w:rPr>
        <w:t xml:space="preserve">) </w:t>
      </w:r>
      <w:r w:rsidR="00BF58FE" w:rsidRPr="007632FC">
        <w:rPr>
          <w:rFonts w:ascii="Times New Roman" w:hAnsi="Times New Roman" w:cs="Times New Roman"/>
          <w:sz w:val="24"/>
          <w:szCs w:val="24"/>
          <w:lang w:val="en-IE"/>
        </w:rPr>
        <w:t>and a solution of 100 U/ml penicillin and 100 U/ml streptomycin (</w:t>
      </w:r>
      <w:proofErr w:type="spellStart"/>
      <w:r w:rsidR="00BF58FE" w:rsidRPr="007632FC">
        <w:rPr>
          <w:rFonts w:ascii="Times New Roman" w:eastAsia="Times New Roman" w:hAnsi="Times New Roman" w:cs="Times New Roman"/>
          <w:bCs/>
          <w:sz w:val="24"/>
          <w:szCs w:val="24"/>
          <w:lang w:val="en-US"/>
        </w:rPr>
        <w:t>Lonza</w:t>
      </w:r>
      <w:proofErr w:type="spellEnd"/>
      <w:r w:rsidR="00BF58FE" w:rsidRPr="007632FC">
        <w:rPr>
          <w:rFonts w:ascii="Times New Roman" w:eastAsia="Times New Roman" w:hAnsi="Times New Roman" w:cs="Times New Roman"/>
          <w:bCs/>
          <w:sz w:val="24"/>
          <w:szCs w:val="24"/>
          <w:lang w:val="en-US"/>
        </w:rPr>
        <w:t xml:space="preserve">, </w:t>
      </w:r>
      <w:r w:rsidR="00BF58FE" w:rsidRPr="007632FC">
        <w:rPr>
          <w:rFonts w:ascii="Times New Roman" w:hAnsi="Times New Roman" w:cs="Times New Roman"/>
          <w:sz w:val="24"/>
          <w:szCs w:val="24"/>
          <w:lang w:val="en-US"/>
        </w:rPr>
        <w:t>Basel Switzerland</w:t>
      </w:r>
      <w:r w:rsidR="00BF58FE" w:rsidRPr="007632FC">
        <w:rPr>
          <w:rFonts w:ascii="Times New Roman" w:hAnsi="Times New Roman" w:cs="Times New Roman"/>
          <w:sz w:val="24"/>
          <w:szCs w:val="24"/>
          <w:lang w:val="en-IE"/>
        </w:rPr>
        <w:t>)</w:t>
      </w:r>
      <w:r w:rsidR="00BF58FE" w:rsidRPr="007632FC">
        <w:rPr>
          <w:rFonts w:ascii="Times New Roman" w:hAnsi="Times New Roman" w:cs="Times New Roman"/>
          <w:sz w:val="24"/>
          <w:szCs w:val="24"/>
          <w:lang w:val="en-US"/>
        </w:rPr>
        <w:t xml:space="preserve"> at 37°C in a 5% CO</w:t>
      </w:r>
      <w:r w:rsidR="00BF58FE" w:rsidRPr="007632FC">
        <w:rPr>
          <w:rFonts w:ascii="Times New Roman" w:hAnsi="Times New Roman" w:cs="Times New Roman"/>
          <w:sz w:val="24"/>
          <w:szCs w:val="24"/>
          <w:vertAlign w:val="subscript"/>
          <w:lang w:val="en-US"/>
        </w:rPr>
        <w:t>2</w:t>
      </w:r>
      <w:r w:rsidR="00BF58FE" w:rsidRPr="007632FC">
        <w:rPr>
          <w:rFonts w:ascii="Times New Roman" w:hAnsi="Times New Roman" w:cs="Times New Roman"/>
          <w:sz w:val="24"/>
          <w:szCs w:val="24"/>
          <w:lang w:val="en-US"/>
        </w:rPr>
        <w:t xml:space="preserve"> atmosphere. </w:t>
      </w:r>
      <w:r w:rsidR="00BF58FE" w:rsidRPr="007632FC">
        <w:rPr>
          <w:rFonts w:ascii="Times New Roman" w:eastAsia="Times New Roman" w:hAnsi="Times New Roman" w:cs="Times New Roman"/>
          <w:bCs/>
          <w:sz w:val="24"/>
          <w:szCs w:val="24"/>
          <w:lang w:val="en-US"/>
        </w:rPr>
        <w:t xml:space="preserve">Cultures were regularly tested for </w:t>
      </w:r>
      <w:proofErr w:type="spellStart"/>
      <w:r w:rsidR="00BF58FE" w:rsidRPr="007632FC">
        <w:rPr>
          <w:rFonts w:ascii="Times New Roman" w:eastAsia="Times New Roman" w:hAnsi="Times New Roman" w:cs="Times New Roman"/>
          <w:bCs/>
          <w:sz w:val="24"/>
          <w:szCs w:val="24"/>
          <w:lang w:val="en-US"/>
        </w:rPr>
        <w:t>Mycoplasma</w:t>
      </w:r>
      <w:proofErr w:type="spellEnd"/>
      <w:r w:rsidR="00BF58FE" w:rsidRPr="007632FC">
        <w:rPr>
          <w:rFonts w:ascii="Times New Roman" w:eastAsia="Times New Roman" w:hAnsi="Times New Roman" w:cs="Times New Roman"/>
          <w:bCs/>
          <w:sz w:val="24"/>
          <w:szCs w:val="24"/>
          <w:lang w:val="en-US"/>
        </w:rPr>
        <w:t xml:space="preserve"> by using the </w:t>
      </w:r>
      <w:proofErr w:type="spellStart"/>
      <w:r w:rsidR="00BF58FE" w:rsidRPr="007632FC">
        <w:rPr>
          <w:rFonts w:ascii="Times New Roman" w:eastAsia="Times New Roman" w:hAnsi="Times New Roman" w:cs="Times New Roman"/>
          <w:bCs/>
          <w:sz w:val="24"/>
          <w:szCs w:val="24"/>
          <w:lang w:val="en-US"/>
        </w:rPr>
        <w:t>mycoAlert</w:t>
      </w:r>
      <w:proofErr w:type="spellEnd"/>
      <w:r w:rsidR="00BF58FE" w:rsidRPr="007632FC">
        <w:rPr>
          <w:rFonts w:ascii="Times New Roman" w:eastAsia="Times New Roman" w:hAnsi="Times New Roman" w:cs="Times New Roman"/>
          <w:bCs/>
          <w:sz w:val="24"/>
          <w:szCs w:val="24"/>
          <w:lang w:val="en-US"/>
        </w:rPr>
        <w:t xml:space="preserve"> Plus Kit (</w:t>
      </w:r>
      <w:proofErr w:type="spellStart"/>
      <w:r w:rsidR="00BF58FE" w:rsidRPr="007632FC">
        <w:rPr>
          <w:rFonts w:ascii="Times New Roman" w:eastAsia="Times New Roman" w:hAnsi="Times New Roman" w:cs="Times New Roman"/>
          <w:bCs/>
          <w:sz w:val="24"/>
          <w:szCs w:val="24"/>
          <w:lang w:val="en-US"/>
        </w:rPr>
        <w:t>Lonza</w:t>
      </w:r>
      <w:proofErr w:type="spellEnd"/>
      <w:r w:rsidR="00BF58FE" w:rsidRPr="007632FC">
        <w:rPr>
          <w:rFonts w:ascii="Times New Roman" w:eastAsia="Times New Roman" w:hAnsi="Times New Roman" w:cs="Times New Roman"/>
          <w:bCs/>
          <w:sz w:val="24"/>
          <w:szCs w:val="24"/>
          <w:lang w:val="en-US"/>
        </w:rPr>
        <w:t>).</w:t>
      </w:r>
    </w:p>
    <w:p w:rsidR="0091025A" w:rsidRPr="007632FC" w:rsidRDefault="0091025A" w:rsidP="007632FC">
      <w:pPr>
        <w:autoSpaceDE w:val="0"/>
        <w:autoSpaceDN w:val="0"/>
        <w:adjustRightInd w:val="0"/>
        <w:spacing w:after="0" w:line="480" w:lineRule="auto"/>
        <w:jc w:val="both"/>
        <w:rPr>
          <w:rFonts w:ascii="Times New Roman" w:hAnsi="Times New Roman" w:cs="Times New Roman"/>
          <w:sz w:val="24"/>
          <w:szCs w:val="24"/>
          <w:lang w:val="en-US"/>
        </w:rPr>
      </w:pPr>
      <w:r w:rsidRPr="007632FC">
        <w:rPr>
          <w:rFonts w:ascii="Times New Roman" w:hAnsi="Times New Roman" w:cs="Times New Roman"/>
          <w:b/>
          <w:bCs/>
          <w:i/>
          <w:sz w:val="24"/>
          <w:szCs w:val="24"/>
          <w:u w:val="single"/>
          <w:lang w:val="en-US"/>
        </w:rPr>
        <w:t>In vivo</w:t>
      </w:r>
      <w:r w:rsidRPr="007632FC">
        <w:rPr>
          <w:rFonts w:ascii="Times New Roman" w:hAnsi="Times New Roman" w:cs="Times New Roman"/>
          <w:b/>
          <w:bCs/>
          <w:sz w:val="24"/>
          <w:szCs w:val="24"/>
          <w:u w:val="single"/>
          <w:lang w:val="en-US"/>
        </w:rPr>
        <w:t xml:space="preserve"> treatments </w:t>
      </w:r>
    </w:p>
    <w:p w:rsidR="0091025A" w:rsidRPr="007632FC" w:rsidRDefault="0091025A" w:rsidP="007632FC">
      <w:pPr>
        <w:spacing w:after="0" w:line="480" w:lineRule="auto"/>
        <w:jc w:val="both"/>
        <w:rPr>
          <w:rFonts w:ascii="Times New Roman" w:hAnsi="Times New Roman" w:cs="Times New Roman"/>
          <w:bCs/>
          <w:sz w:val="24"/>
          <w:szCs w:val="24"/>
          <w:lang w:val="en-IE"/>
        </w:rPr>
      </w:pPr>
      <w:r w:rsidRPr="007632FC">
        <w:rPr>
          <w:rFonts w:ascii="Times New Roman" w:hAnsi="Times New Roman" w:cs="Times New Roman"/>
          <w:sz w:val="24"/>
          <w:szCs w:val="24"/>
          <w:lang w:val="en-US"/>
        </w:rPr>
        <w:t xml:space="preserve">All </w:t>
      </w:r>
      <w:proofErr w:type="spellStart"/>
      <w:r w:rsidRPr="007632FC">
        <w:rPr>
          <w:rFonts w:ascii="Times New Roman" w:hAnsi="Times New Roman" w:cs="Times New Roman"/>
          <w:sz w:val="24"/>
          <w:szCs w:val="24"/>
          <w:lang w:val="en-US"/>
        </w:rPr>
        <w:t>xenograft</w:t>
      </w:r>
      <w:proofErr w:type="spellEnd"/>
      <w:r w:rsidRPr="007632FC">
        <w:rPr>
          <w:rFonts w:ascii="Times New Roman" w:hAnsi="Times New Roman" w:cs="Times New Roman"/>
          <w:sz w:val="24"/>
          <w:szCs w:val="24"/>
          <w:lang w:val="en-US"/>
        </w:rPr>
        <w:t xml:space="preserve"> experiments were carried out using 8- to 9-week-old female </w:t>
      </w:r>
      <w:proofErr w:type="spellStart"/>
      <w:r w:rsidRPr="007632FC">
        <w:rPr>
          <w:rFonts w:ascii="Times New Roman" w:hAnsi="Times New Roman" w:cs="Times New Roman"/>
          <w:sz w:val="24"/>
          <w:szCs w:val="24"/>
          <w:lang w:val="en-US"/>
        </w:rPr>
        <w:t>athymic</w:t>
      </w:r>
      <w:proofErr w:type="spellEnd"/>
      <w:r w:rsidRPr="007632FC">
        <w:rPr>
          <w:rFonts w:ascii="Times New Roman" w:hAnsi="Times New Roman" w:cs="Times New Roman"/>
          <w:sz w:val="24"/>
          <w:szCs w:val="24"/>
          <w:lang w:val="en-US"/>
        </w:rPr>
        <w:t xml:space="preserve"> nude mice (from Charles River Laboratories, </w:t>
      </w:r>
      <w:proofErr w:type="spellStart"/>
      <w:r w:rsidRPr="007632FC">
        <w:rPr>
          <w:rFonts w:ascii="Times New Roman" w:hAnsi="Times New Roman" w:cs="Times New Roman"/>
          <w:sz w:val="24"/>
          <w:szCs w:val="24"/>
          <w:lang w:val="en-US"/>
        </w:rPr>
        <w:t>Calco</w:t>
      </w:r>
      <w:proofErr w:type="spellEnd"/>
      <w:r w:rsidRPr="007632FC">
        <w:rPr>
          <w:rFonts w:ascii="Times New Roman" w:hAnsi="Times New Roman" w:cs="Times New Roman"/>
          <w:sz w:val="24"/>
          <w:szCs w:val="24"/>
          <w:lang w:val="en-US"/>
        </w:rPr>
        <w:t xml:space="preserve">, Italy) maintained in laminar-flow rooms at constant temperature and humidity, with food and water given </w:t>
      </w:r>
      <w:r w:rsidRPr="007632FC">
        <w:rPr>
          <w:rFonts w:ascii="Times New Roman" w:hAnsi="Times New Roman" w:cs="Times New Roman"/>
          <w:i/>
          <w:sz w:val="24"/>
          <w:szCs w:val="24"/>
          <w:lang w:val="en-US"/>
        </w:rPr>
        <w:t xml:space="preserve">ad </w:t>
      </w:r>
      <w:proofErr w:type="spellStart"/>
      <w:r w:rsidRPr="007632FC">
        <w:rPr>
          <w:rFonts w:ascii="Times New Roman" w:hAnsi="Times New Roman" w:cs="Times New Roman"/>
          <w:i/>
          <w:sz w:val="24"/>
          <w:szCs w:val="24"/>
          <w:lang w:val="en-US"/>
        </w:rPr>
        <w:t>libitum</w:t>
      </w:r>
      <w:proofErr w:type="spellEnd"/>
      <w:r w:rsidRPr="007632FC">
        <w:rPr>
          <w:rFonts w:ascii="Times New Roman" w:hAnsi="Times New Roman" w:cs="Times New Roman"/>
          <w:sz w:val="24"/>
          <w:szCs w:val="24"/>
          <w:lang w:val="en-US"/>
        </w:rPr>
        <w:t xml:space="preserve">. Before implantation in mice, H460 cells were tested for the presence of rodent pathogens using IMPACT I PCR Profile (IDEXX </w:t>
      </w:r>
      <w:proofErr w:type="spellStart"/>
      <w:r w:rsidRPr="007632FC">
        <w:rPr>
          <w:rFonts w:ascii="Times New Roman" w:hAnsi="Times New Roman" w:cs="Times New Roman"/>
          <w:sz w:val="24"/>
          <w:szCs w:val="24"/>
          <w:lang w:val="en-US"/>
        </w:rPr>
        <w:t>BioResearch</w:t>
      </w:r>
      <w:proofErr w:type="spellEnd"/>
      <w:r w:rsidRPr="007632FC">
        <w:rPr>
          <w:rFonts w:ascii="Times New Roman" w:hAnsi="Times New Roman" w:cs="Times New Roman"/>
          <w:sz w:val="24"/>
          <w:szCs w:val="24"/>
          <w:lang w:val="en-US"/>
        </w:rPr>
        <w:t>, Ludwigsburg, Germany) and resulted negative. Tumor cells (2.5*10</w:t>
      </w:r>
      <w:r w:rsidRPr="007632FC">
        <w:rPr>
          <w:rFonts w:ascii="Times New Roman" w:hAnsi="Times New Roman" w:cs="Times New Roman"/>
          <w:sz w:val="24"/>
          <w:szCs w:val="24"/>
          <w:vertAlign w:val="superscript"/>
          <w:lang w:val="en-US"/>
        </w:rPr>
        <w:t>6</w:t>
      </w:r>
      <w:r w:rsidRPr="007632FC">
        <w:rPr>
          <w:rFonts w:ascii="Times New Roman" w:hAnsi="Times New Roman" w:cs="Times New Roman"/>
          <w:sz w:val="24"/>
          <w:szCs w:val="24"/>
          <w:lang w:val="en-US"/>
        </w:rPr>
        <w:t xml:space="preserve"> cells/mouse) were injected subcutaneously (</w:t>
      </w:r>
      <w:proofErr w:type="spellStart"/>
      <w:r w:rsidRPr="007632FC">
        <w:rPr>
          <w:rFonts w:ascii="Times New Roman" w:hAnsi="Times New Roman" w:cs="Times New Roman"/>
          <w:sz w:val="24"/>
          <w:szCs w:val="24"/>
          <w:lang w:val="en-US"/>
        </w:rPr>
        <w:t>s.c</w:t>
      </w:r>
      <w:proofErr w:type="spellEnd"/>
      <w:r w:rsidRPr="007632FC">
        <w:rPr>
          <w:rFonts w:ascii="Times New Roman" w:hAnsi="Times New Roman" w:cs="Times New Roman"/>
          <w:sz w:val="24"/>
          <w:szCs w:val="24"/>
          <w:lang w:val="en-US"/>
        </w:rPr>
        <w:t xml:space="preserve">.) on the mice right flank. Mice were </w:t>
      </w:r>
      <w:proofErr w:type="spellStart"/>
      <w:r w:rsidRPr="007632FC">
        <w:rPr>
          <w:rFonts w:ascii="Times New Roman" w:hAnsi="Times New Roman" w:cs="Times New Roman"/>
          <w:sz w:val="24"/>
          <w:szCs w:val="24"/>
          <w:lang w:val="en-US"/>
        </w:rPr>
        <w:t>intraperitoneally</w:t>
      </w:r>
      <w:proofErr w:type="spellEnd"/>
      <w:r w:rsidRPr="007632FC">
        <w:rPr>
          <w:rFonts w:ascii="Times New Roman" w:hAnsi="Times New Roman" w:cs="Times New Roman"/>
          <w:sz w:val="24"/>
          <w:szCs w:val="24"/>
          <w:lang w:val="en-US"/>
        </w:rPr>
        <w:t xml:space="preserve"> (</w:t>
      </w:r>
      <w:proofErr w:type="spellStart"/>
      <w:r w:rsidRPr="007632FC">
        <w:rPr>
          <w:rFonts w:ascii="Times New Roman" w:hAnsi="Times New Roman" w:cs="Times New Roman"/>
          <w:sz w:val="24"/>
          <w:szCs w:val="24"/>
          <w:lang w:val="en-US"/>
        </w:rPr>
        <w:t>i.p</w:t>
      </w:r>
      <w:proofErr w:type="spellEnd"/>
      <w:r w:rsidRPr="007632FC">
        <w:rPr>
          <w:rFonts w:ascii="Times New Roman" w:hAnsi="Times New Roman" w:cs="Times New Roman"/>
          <w:sz w:val="24"/>
          <w:szCs w:val="24"/>
          <w:lang w:val="en-US"/>
        </w:rPr>
        <w:t xml:space="preserve">.) or </w:t>
      </w:r>
      <w:proofErr w:type="spellStart"/>
      <w:r w:rsidRPr="007632FC">
        <w:rPr>
          <w:rFonts w:ascii="Times New Roman" w:hAnsi="Times New Roman" w:cs="Times New Roman"/>
          <w:sz w:val="24"/>
          <w:szCs w:val="24"/>
          <w:lang w:val="en-US"/>
        </w:rPr>
        <w:t>peritumorally</w:t>
      </w:r>
      <w:proofErr w:type="spellEnd"/>
      <w:r w:rsidRPr="007632FC">
        <w:rPr>
          <w:rFonts w:ascii="Times New Roman" w:hAnsi="Times New Roman" w:cs="Times New Roman"/>
          <w:sz w:val="24"/>
          <w:szCs w:val="24"/>
          <w:lang w:val="en-US"/>
        </w:rPr>
        <w:t xml:space="preserve"> (</w:t>
      </w:r>
      <w:proofErr w:type="spellStart"/>
      <w:r w:rsidRPr="007632FC">
        <w:rPr>
          <w:rFonts w:ascii="Times New Roman" w:hAnsi="Times New Roman" w:cs="Times New Roman"/>
          <w:sz w:val="24"/>
          <w:szCs w:val="24"/>
          <w:lang w:val="en-US"/>
        </w:rPr>
        <w:t>p.t</w:t>
      </w:r>
      <w:proofErr w:type="spellEnd"/>
      <w:r w:rsidRPr="007632FC">
        <w:rPr>
          <w:rFonts w:ascii="Times New Roman" w:hAnsi="Times New Roman" w:cs="Times New Roman"/>
          <w:sz w:val="24"/>
          <w:szCs w:val="24"/>
          <w:lang w:val="en-US"/>
        </w:rPr>
        <w:t xml:space="preserve">.) treated with 200 </w:t>
      </w:r>
      <w:r w:rsidR="006B03BF" w:rsidRPr="006B03BF">
        <w:rPr>
          <w:rFonts w:ascii="Symbol" w:hAnsi="Symbol" w:cs="Times New Roman"/>
          <w:sz w:val="24"/>
          <w:szCs w:val="24"/>
          <w:lang w:val="en-US"/>
        </w:rPr>
        <w:t></w:t>
      </w:r>
      <w:r w:rsidRPr="007632FC">
        <w:rPr>
          <w:rFonts w:ascii="Times New Roman" w:hAnsi="Times New Roman" w:cs="Times New Roman"/>
          <w:sz w:val="24"/>
          <w:szCs w:val="24"/>
          <w:lang w:val="en-US"/>
        </w:rPr>
        <w:t xml:space="preserve">g of monoclonal antibody anti mouse PD-1 (clone RMP1-14, </w:t>
      </w:r>
      <w:proofErr w:type="spellStart"/>
      <w:r w:rsidRPr="007632FC">
        <w:rPr>
          <w:rFonts w:ascii="Times New Roman" w:hAnsi="Times New Roman" w:cs="Times New Roman"/>
          <w:sz w:val="24"/>
          <w:szCs w:val="24"/>
          <w:lang w:val="en-US"/>
        </w:rPr>
        <w:t>BioXCell</w:t>
      </w:r>
      <w:proofErr w:type="spellEnd"/>
      <w:r w:rsidRPr="007632FC">
        <w:rPr>
          <w:rFonts w:ascii="Times New Roman" w:hAnsi="Times New Roman" w:cs="Times New Roman"/>
          <w:sz w:val="24"/>
          <w:szCs w:val="24"/>
          <w:lang w:val="en-US"/>
        </w:rPr>
        <w:t xml:space="preserve">) starting at day +6 and +3 after tumor injection, respectively. Anti-PD-1 antibody was administered twice a week until the end of the experiment. Control group received vehicle. For the </w:t>
      </w:r>
      <w:r w:rsidRPr="007632FC">
        <w:rPr>
          <w:rFonts w:ascii="Times New Roman" w:hAnsi="Times New Roman" w:cs="Times New Roman"/>
          <w:i/>
          <w:sz w:val="24"/>
          <w:szCs w:val="24"/>
          <w:lang w:val="en-US"/>
        </w:rPr>
        <w:t>in vivo</w:t>
      </w:r>
      <w:r w:rsidRPr="007632FC">
        <w:rPr>
          <w:rFonts w:ascii="Times New Roman" w:hAnsi="Times New Roman" w:cs="Times New Roman"/>
          <w:sz w:val="24"/>
          <w:szCs w:val="24"/>
          <w:lang w:val="en-US"/>
        </w:rPr>
        <w:t xml:space="preserve"> experiment using anti PD-1 F(</w:t>
      </w:r>
      <w:proofErr w:type="spellStart"/>
      <w:r w:rsidRPr="007632FC">
        <w:rPr>
          <w:rFonts w:ascii="Times New Roman" w:hAnsi="Times New Roman" w:cs="Times New Roman"/>
          <w:sz w:val="24"/>
          <w:szCs w:val="24"/>
          <w:lang w:val="en-US"/>
        </w:rPr>
        <w:t>ab</w:t>
      </w:r>
      <w:proofErr w:type="spellEnd"/>
      <w:r w:rsidRPr="007632FC">
        <w:rPr>
          <w:rFonts w:ascii="Times New Roman" w:hAnsi="Times New Roman" w:cs="Times New Roman"/>
          <w:sz w:val="24"/>
          <w:szCs w:val="24"/>
          <w:lang w:val="en-US"/>
        </w:rPr>
        <w:t>)</w:t>
      </w:r>
      <w:r w:rsidRPr="007632FC">
        <w:rPr>
          <w:rFonts w:ascii="Times New Roman" w:hAnsi="Times New Roman" w:cs="Times New Roman"/>
          <w:sz w:val="24"/>
          <w:szCs w:val="24"/>
          <w:vertAlign w:val="subscript"/>
          <w:lang w:val="en-US"/>
        </w:rPr>
        <w:t>2</w:t>
      </w:r>
      <w:r w:rsidRPr="007632FC">
        <w:rPr>
          <w:rFonts w:ascii="Times New Roman" w:hAnsi="Times New Roman" w:cs="Times New Roman"/>
          <w:sz w:val="24"/>
          <w:szCs w:val="24"/>
          <w:lang w:val="en-US"/>
        </w:rPr>
        <w:t xml:space="preserve">, mice were injected with H460 cells and treated with 200 </w:t>
      </w:r>
      <w:r w:rsidR="006B03BF" w:rsidRPr="006B03BF">
        <w:rPr>
          <w:rFonts w:ascii="Symbol" w:hAnsi="Symbol" w:cs="Times New Roman"/>
          <w:sz w:val="24"/>
          <w:szCs w:val="24"/>
          <w:lang w:val="en-US"/>
        </w:rPr>
        <w:t></w:t>
      </w:r>
      <w:r w:rsidRPr="007632FC">
        <w:rPr>
          <w:rFonts w:ascii="Times New Roman" w:hAnsi="Times New Roman" w:cs="Times New Roman"/>
          <w:sz w:val="24"/>
          <w:szCs w:val="24"/>
          <w:lang w:val="en-US"/>
        </w:rPr>
        <w:t>g of anti mouse PD-1 F(</w:t>
      </w:r>
      <w:proofErr w:type="spellStart"/>
      <w:r w:rsidRPr="007632FC">
        <w:rPr>
          <w:rFonts w:ascii="Times New Roman" w:hAnsi="Times New Roman" w:cs="Times New Roman"/>
          <w:sz w:val="24"/>
          <w:szCs w:val="24"/>
          <w:lang w:val="en-US"/>
        </w:rPr>
        <w:t>ab</w:t>
      </w:r>
      <w:proofErr w:type="spellEnd"/>
      <w:r w:rsidRPr="007632FC">
        <w:rPr>
          <w:rFonts w:ascii="Times New Roman" w:hAnsi="Times New Roman" w:cs="Times New Roman"/>
          <w:sz w:val="24"/>
          <w:szCs w:val="24"/>
          <w:lang w:val="en-US"/>
        </w:rPr>
        <w:t>)</w:t>
      </w:r>
      <w:r w:rsidRPr="007632FC">
        <w:rPr>
          <w:rFonts w:ascii="Times New Roman" w:hAnsi="Times New Roman" w:cs="Times New Roman"/>
          <w:sz w:val="24"/>
          <w:szCs w:val="24"/>
          <w:vertAlign w:val="subscript"/>
          <w:lang w:val="en-US"/>
        </w:rPr>
        <w:t xml:space="preserve">2 </w:t>
      </w:r>
      <w:r w:rsidRPr="007632FC">
        <w:rPr>
          <w:rFonts w:ascii="Times New Roman" w:hAnsi="Times New Roman" w:cs="Times New Roman"/>
          <w:sz w:val="24"/>
          <w:szCs w:val="24"/>
          <w:lang w:val="en-US"/>
        </w:rPr>
        <w:t>or received vehicle, as described above. Tumor mass was measured with a caliper and tumor volume (mm</w:t>
      </w:r>
      <w:r w:rsidRPr="007632FC">
        <w:rPr>
          <w:rFonts w:ascii="Times New Roman" w:hAnsi="Times New Roman" w:cs="Times New Roman"/>
          <w:sz w:val="24"/>
          <w:szCs w:val="24"/>
          <w:vertAlign w:val="superscript"/>
          <w:lang w:val="en-US"/>
        </w:rPr>
        <w:t>3</w:t>
      </w:r>
      <w:r w:rsidRPr="007632FC">
        <w:rPr>
          <w:rFonts w:ascii="Times New Roman" w:hAnsi="Times New Roman" w:cs="Times New Roman"/>
          <w:sz w:val="24"/>
          <w:szCs w:val="24"/>
          <w:lang w:val="en-US"/>
        </w:rPr>
        <w:t>) calculated [long diameter × (short diameter)</w:t>
      </w:r>
      <w:r w:rsidRPr="007632FC">
        <w:rPr>
          <w:rFonts w:ascii="Times New Roman" w:hAnsi="Times New Roman" w:cs="Times New Roman"/>
          <w:sz w:val="24"/>
          <w:szCs w:val="24"/>
          <w:vertAlign w:val="superscript"/>
          <w:lang w:val="en-US"/>
        </w:rPr>
        <w:t>2</w:t>
      </w:r>
      <w:r w:rsidRPr="007632FC">
        <w:rPr>
          <w:rFonts w:ascii="Times New Roman" w:hAnsi="Times New Roman" w:cs="Times New Roman"/>
          <w:sz w:val="24"/>
          <w:szCs w:val="24"/>
          <w:lang w:val="en-US"/>
        </w:rPr>
        <w:t>/2].</w:t>
      </w:r>
    </w:p>
    <w:p w:rsidR="0091025A" w:rsidRPr="009C1687" w:rsidRDefault="0091025A" w:rsidP="007632FC">
      <w:pPr>
        <w:spacing w:after="0" w:line="480" w:lineRule="auto"/>
        <w:jc w:val="both"/>
        <w:rPr>
          <w:rFonts w:ascii="Times New Roman" w:hAnsi="Times New Roman" w:cs="Times New Roman"/>
          <w:strike/>
          <w:sz w:val="24"/>
          <w:szCs w:val="24"/>
          <w:highlight w:val="yellow"/>
          <w:lang w:val="en-US"/>
        </w:rPr>
      </w:pPr>
      <w:r w:rsidRPr="007632FC">
        <w:rPr>
          <w:rFonts w:ascii="Times New Roman" w:hAnsi="Times New Roman" w:cs="Times New Roman"/>
          <w:bCs/>
          <w:sz w:val="24"/>
          <w:szCs w:val="24"/>
          <w:lang w:val="en-IE"/>
        </w:rPr>
        <w:t xml:space="preserve">PDXs were established as described in </w:t>
      </w:r>
      <w:r w:rsidR="00923F05" w:rsidRPr="007632FC">
        <w:rPr>
          <w:rFonts w:ascii="Times New Roman" w:hAnsi="Times New Roman" w:cs="Times New Roman"/>
          <w:bCs/>
          <w:sz w:val="24"/>
          <w:szCs w:val="24"/>
          <w:lang w:val="en-IE"/>
        </w:rPr>
        <w:fldChar w:fldCharType="begin" w:fldLock="1"/>
      </w:r>
      <w:r w:rsidR="009F41A5">
        <w:rPr>
          <w:rFonts w:ascii="Times New Roman" w:hAnsi="Times New Roman" w:cs="Times New Roman"/>
          <w:bCs/>
          <w:sz w:val="24"/>
          <w:szCs w:val="24"/>
          <w:lang w:val="en-IE"/>
        </w:rPr>
        <w:instrText>ADDIN CSL_CITATION { "citationItems" : [ { "id" : "ITEM-1", "itemData" : { "DOI" : "10.1155/2012/568567", "ISSN" : "11107243", "abstract" : "Current chemotherapy regimens have unsatisfactory results in most advanced solid tumors. It is therefore imperative to devise  novel therapeutic strategies and to optimize selection of patients, identifying early those who could benefit from available treatments. Mouse models are the most valuable tool for preclinical evaluation of novel therapeutic strategies in cancer and, among them, patient-derived xenografts models (PDX) have made a recent comeback in popularity. These models, obtained by direct implants of tissue fragments in immunocompromised mice, have great potential in drug development studies because they faithfully reproduce the patients original tumor for both immunohistochemical markers and genetic alterations as well as in terms of response to common therapeutics They also maintain the original tumor heterogeneity, allowing studies of specific cellular subpopulations, including their modulation after drug treatment. Moreover PDXs maintain at least some aspects of the human microenvironment for weeks with the complete substitution with murine stroma occurring only after 2-3 passages in mouse and represent therefore a promising model for studies of tumor-microenvironment interaction. This review summarizes our present knowledge on mouse preclinical cancer models, with a particular attention on patient-derived xenografts of non small cell lung cancer and their relevance for preclinical and biological studies. Copyright \u00a9 2012 Massimo Moro et al.", "author" : [ { "dropping-particle" : "", "family" : "Moro", "given" : "M.", "non-dropping-particle" : "", "parse-names" : false, "suffix" : "" }, { "dropping-particle" : "", "family" : "Bertolini", "given" : "G.", "non-dropping-particle" : "", "parse-names" : false, "suffix" : "" }, { "dropping-particle" : "", "family" : "Tortoreto", "given" : "M.", "non-dropping-particle" : "", "parse-names" : false, "suffix" : "" }, { "dropping-particle" : "", "family" : "Pastorino", "given" : "U.", "non-dropping-particle" : "", "parse-names" : false, "suffix" : "" }, { "dropping-particle" : "", "family" : "Sozzi", "given" : "G.", "non-dropping-particle" : "", "parse-names" : false, "suffix" : "" }, { "dropping-particle" : "", "family" : "Roz", "given" : "L.", "non-dropping-particle" : "", "parse-names" : false, "suffix" : "" } ], "container-title" : "Journal of Biomedicine and Biotechnology", "id" : "ITEM-1", "issued" : { "date-parts" : [ [ "2012" ] ] }, "title" : "Patient-derived xenografts of non small cell lung cancer: Resurgence of an old model for investigation of modern concepts of tailored therapy and cancer stem cells", "type" : "article-journal", "volume" : "2012" }, "uris" : [ "http://www.mendeley.com/documents/?uuid=d1c08b23-d0b4-3fb1-90eb-e3217575213c" ] } ], "mendeley" : { "formattedCitation" : "(4)", "plainTextFormattedCitation" : "(4)", "previouslyFormattedCitation" : "(4)" }, "properties" : {  }, "schema" : "https://github.com/citation-style-language/schema/raw/master/csl-citation.json" }</w:instrText>
      </w:r>
      <w:r w:rsidR="00923F05" w:rsidRPr="007632FC">
        <w:rPr>
          <w:rFonts w:ascii="Times New Roman" w:hAnsi="Times New Roman" w:cs="Times New Roman"/>
          <w:bCs/>
          <w:sz w:val="24"/>
          <w:szCs w:val="24"/>
          <w:lang w:val="en-IE"/>
        </w:rPr>
        <w:fldChar w:fldCharType="separate"/>
      </w:r>
      <w:r w:rsidR="009F41A5" w:rsidRPr="009F41A5">
        <w:rPr>
          <w:rFonts w:ascii="Times New Roman" w:hAnsi="Times New Roman" w:cs="Times New Roman"/>
          <w:bCs/>
          <w:noProof/>
          <w:sz w:val="24"/>
          <w:szCs w:val="24"/>
          <w:lang w:val="en-IE"/>
        </w:rPr>
        <w:t>(4)</w:t>
      </w:r>
      <w:r w:rsidR="00923F05" w:rsidRPr="007632FC">
        <w:rPr>
          <w:rFonts w:ascii="Times New Roman" w:hAnsi="Times New Roman" w:cs="Times New Roman"/>
          <w:bCs/>
          <w:sz w:val="24"/>
          <w:szCs w:val="24"/>
          <w:lang w:val="en-IE"/>
        </w:rPr>
        <w:fldChar w:fldCharType="end"/>
      </w:r>
      <w:r w:rsidRPr="007632FC">
        <w:rPr>
          <w:rFonts w:ascii="Times New Roman" w:hAnsi="Times New Roman" w:cs="Times New Roman"/>
          <w:bCs/>
          <w:sz w:val="24"/>
          <w:szCs w:val="24"/>
          <w:lang w:val="en-IE"/>
        </w:rPr>
        <w:t>.</w:t>
      </w:r>
      <w:r w:rsidRPr="007632FC">
        <w:rPr>
          <w:rFonts w:ascii="Times New Roman" w:hAnsi="Times New Roman" w:cs="Times New Roman"/>
          <w:sz w:val="24"/>
          <w:szCs w:val="24"/>
          <w:lang w:val="en-IE"/>
        </w:rPr>
        <w:t xml:space="preserve"> Experiments were carried out in groups of 4 </w:t>
      </w:r>
      <w:r w:rsidR="006F426B" w:rsidRPr="007632FC">
        <w:rPr>
          <w:rFonts w:ascii="Times New Roman" w:hAnsi="Times New Roman" w:cs="Times New Roman"/>
          <w:sz w:val="24"/>
          <w:szCs w:val="24"/>
          <w:lang w:val="en-IE"/>
        </w:rPr>
        <w:t xml:space="preserve">SCID </w:t>
      </w:r>
      <w:r w:rsidRPr="007632FC">
        <w:rPr>
          <w:rFonts w:ascii="Times New Roman" w:hAnsi="Times New Roman" w:cs="Times New Roman"/>
          <w:sz w:val="24"/>
          <w:szCs w:val="24"/>
          <w:lang w:val="en-IE"/>
        </w:rPr>
        <w:t>mice, bearing a PDX sample or a cell suspension (10</w:t>
      </w:r>
      <w:r w:rsidRPr="007632FC">
        <w:rPr>
          <w:rFonts w:ascii="Times New Roman" w:hAnsi="Times New Roman" w:cs="Times New Roman"/>
          <w:sz w:val="24"/>
          <w:szCs w:val="24"/>
          <w:vertAlign w:val="superscript"/>
          <w:lang w:val="en-IE"/>
        </w:rPr>
        <w:t xml:space="preserve">5 </w:t>
      </w:r>
      <w:r w:rsidRPr="007632FC">
        <w:rPr>
          <w:rFonts w:ascii="Times New Roman" w:hAnsi="Times New Roman" w:cs="Times New Roman"/>
          <w:sz w:val="24"/>
          <w:szCs w:val="24"/>
          <w:lang w:val="en-IE"/>
        </w:rPr>
        <w:t xml:space="preserve">cells for H460 and PC9 </w:t>
      </w:r>
      <w:proofErr w:type="spellStart"/>
      <w:r w:rsidRPr="007632FC">
        <w:rPr>
          <w:rFonts w:ascii="Times New Roman" w:hAnsi="Times New Roman" w:cs="Times New Roman"/>
          <w:sz w:val="24"/>
          <w:szCs w:val="24"/>
          <w:lang w:val="en-IE"/>
        </w:rPr>
        <w:t>xenografts</w:t>
      </w:r>
      <w:proofErr w:type="spellEnd"/>
      <w:r w:rsidRPr="007632FC">
        <w:rPr>
          <w:rFonts w:ascii="Times New Roman" w:hAnsi="Times New Roman" w:cs="Times New Roman"/>
          <w:sz w:val="24"/>
          <w:szCs w:val="24"/>
          <w:lang w:val="en-IE"/>
        </w:rPr>
        <w:t xml:space="preserve"> experiments) in each flank. Mice were treated twice a week with </w:t>
      </w:r>
      <w:proofErr w:type="spellStart"/>
      <w:r w:rsidRPr="007632FC">
        <w:rPr>
          <w:rFonts w:ascii="Times New Roman" w:hAnsi="Times New Roman" w:cs="Times New Roman"/>
          <w:sz w:val="24"/>
          <w:szCs w:val="24"/>
          <w:lang w:val="en-IE"/>
        </w:rPr>
        <w:t>intraperitoneal</w:t>
      </w:r>
      <w:proofErr w:type="spellEnd"/>
      <w:r w:rsidRPr="007632FC">
        <w:rPr>
          <w:rFonts w:ascii="Times New Roman" w:hAnsi="Times New Roman" w:cs="Times New Roman"/>
          <w:sz w:val="24"/>
          <w:szCs w:val="24"/>
          <w:lang w:val="en-IE"/>
        </w:rPr>
        <w:t xml:space="preserve"> injection of 10mg/Kg </w:t>
      </w:r>
      <w:proofErr w:type="spellStart"/>
      <w:r w:rsidRPr="007632FC">
        <w:rPr>
          <w:rFonts w:ascii="Times New Roman" w:hAnsi="Times New Roman" w:cs="Times New Roman"/>
          <w:sz w:val="24"/>
          <w:szCs w:val="24"/>
          <w:lang w:val="en-IE"/>
        </w:rPr>
        <w:t>Nivolumab</w:t>
      </w:r>
      <w:proofErr w:type="spellEnd"/>
      <w:r w:rsidRPr="007632FC">
        <w:rPr>
          <w:rFonts w:ascii="Times New Roman" w:hAnsi="Times New Roman" w:cs="Times New Roman"/>
          <w:sz w:val="24"/>
          <w:szCs w:val="24"/>
          <w:lang w:val="en-IE"/>
        </w:rPr>
        <w:t xml:space="preserve"> (</w:t>
      </w:r>
      <w:proofErr w:type="spellStart"/>
      <w:r w:rsidRPr="007632FC">
        <w:rPr>
          <w:rFonts w:ascii="Times New Roman" w:hAnsi="Times New Roman" w:cs="Times New Roman"/>
          <w:sz w:val="24"/>
          <w:szCs w:val="24"/>
          <w:lang w:val="en-IE"/>
        </w:rPr>
        <w:t>Opdivo</w:t>
      </w:r>
      <w:proofErr w:type="spellEnd"/>
      <w:r w:rsidRPr="007632FC">
        <w:rPr>
          <w:rFonts w:ascii="Times New Roman" w:hAnsi="Times New Roman" w:cs="Times New Roman"/>
          <w:sz w:val="24"/>
          <w:szCs w:val="24"/>
          <w:lang w:val="en-IE"/>
        </w:rPr>
        <w:t xml:space="preserve">, Bristol-Myers Squibb) or </w:t>
      </w:r>
      <w:proofErr w:type="spellStart"/>
      <w:r w:rsidRPr="007632FC">
        <w:rPr>
          <w:rFonts w:ascii="Times New Roman" w:hAnsi="Times New Roman" w:cs="Times New Roman"/>
          <w:sz w:val="24"/>
          <w:szCs w:val="24"/>
          <w:lang w:val="en-IE"/>
        </w:rPr>
        <w:t>Nivolumab</w:t>
      </w:r>
      <w:proofErr w:type="spellEnd"/>
      <w:r w:rsidRPr="007632FC">
        <w:rPr>
          <w:rFonts w:ascii="Times New Roman" w:hAnsi="Times New Roman" w:cs="Times New Roman"/>
          <w:sz w:val="24"/>
          <w:szCs w:val="24"/>
          <w:lang w:val="en-IE"/>
        </w:rPr>
        <w:t xml:space="preserve"> F(</w:t>
      </w:r>
      <w:proofErr w:type="spellStart"/>
      <w:r w:rsidRPr="007632FC">
        <w:rPr>
          <w:rFonts w:ascii="Times New Roman" w:hAnsi="Times New Roman" w:cs="Times New Roman"/>
          <w:sz w:val="24"/>
          <w:szCs w:val="24"/>
          <w:lang w:val="en-IE"/>
        </w:rPr>
        <w:t>ab</w:t>
      </w:r>
      <w:proofErr w:type="spellEnd"/>
      <w:r w:rsidRPr="007632FC">
        <w:rPr>
          <w:rFonts w:ascii="Times New Roman" w:hAnsi="Times New Roman" w:cs="Times New Roman"/>
          <w:sz w:val="24"/>
          <w:szCs w:val="24"/>
          <w:lang w:val="en-IE"/>
        </w:rPr>
        <w:t>)</w:t>
      </w:r>
      <w:r w:rsidRPr="006B03BF">
        <w:rPr>
          <w:rFonts w:ascii="Times New Roman" w:hAnsi="Times New Roman" w:cs="Times New Roman"/>
          <w:sz w:val="24"/>
          <w:szCs w:val="24"/>
          <w:vertAlign w:val="subscript"/>
          <w:lang w:val="en-IE"/>
        </w:rPr>
        <w:t>2</w:t>
      </w:r>
      <w:r w:rsidRPr="007632FC">
        <w:rPr>
          <w:rFonts w:ascii="Times New Roman" w:hAnsi="Times New Roman" w:cs="Times New Roman"/>
          <w:sz w:val="24"/>
          <w:szCs w:val="24"/>
          <w:lang w:val="en-IE"/>
        </w:rPr>
        <w:t xml:space="preserve">, or with </w:t>
      </w:r>
      <w:proofErr w:type="spellStart"/>
      <w:r w:rsidRPr="007632FC">
        <w:rPr>
          <w:rFonts w:ascii="Times New Roman" w:hAnsi="Times New Roman" w:cs="Times New Roman"/>
          <w:sz w:val="24"/>
          <w:szCs w:val="24"/>
          <w:lang w:val="en-IE"/>
        </w:rPr>
        <w:t>intraperitoneal</w:t>
      </w:r>
      <w:proofErr w:type="spellEnd"/>
      <w:r w:rsidRPr="007632FC">
        <w:rPr>
          <w:rFonts w:ascii="Times New Roman" w:hAnsi="Times New Roman" w:cs="Times New Roman"/>
          <w:sz w:val="24"/>
          <w:szCs w:val="24"/>
          <w:lang w:val="en-IE"/>
        </w:rPr>
        <w:t xml:space="preserve"> injection of 10mg/Kg</w:t>
      </w:r>
      <w:r w:rsidR="006F426B" w:rsidRPr="007632FC">
        <w:rPr>
          <w:rFonts w:ascii="Times New Roman" w:hAnsi="Times New Roman" w:cs="Times New Roman"/>
          <w:sz w:val="24"/>
          <w:szCs w:val="24"/>
          <w:lang w:val="en-IE"/>
        </w:rPr>
        <w:t xml:space="preserve"> </w:t>
      </w:r>
      <w:proofErr w:type="spellStart"/>
      <w:r w:rsidRPr="007632FC">
        <w:rPr>
          <w:rFonts w:ascii="Times New Roman" w:hAnsi="Times New Roman" w:cs="Times New Roman"/>
          <w:sz w:val="24"/>
          <w:szCs w:val="24"/>
          <w:lang w:val="en-IE"/>
        </w:rPr>
        <w:t>clodronate</w:t>
      </w:r>
      <w:proofErr w:type="spellEnd"/>
      <w:r w:rsidRPr="007632FC">
        <w:rPr>
          <w:rFonts w:ascii="Times New Roman" w:hAnsi="Times New Roman" w:cs="Times New Roman"/>
          <w:sz w:val="24"/>
          <w:szCs w:val="24"/>
          <w:lang w:val="en-IE"/>
        </w:rPr>
        <w:t xml:space="preserve"> filled </w:t>
      </w:r>
      <w:proofErr w:type="spellStart"/>
      <w:r w:rsidRPr="007632FC">
        <w:rPr>
          <w:rFonts w:ascii="Times New Roman" w:hAnsi="Times New Roman" w:cs="Times New Roman"/>
          <w:sz w:val="24"/>
          <w:szCs w:val="24"/>
          <w:lang w:val="en-IE"/>
        </w:rPr>
        <w:t>liposomes</w:t>
      </w:r>
      <w:proofErr w:type="spellEnd"/>
      <w:r w:rsidRPr="007632FC">
        <w:rPr>
          <w:rFonts w:ascii="Times New Roman" w:hAnsi="Times New Roman" w:cs="Times New Roman"/>
          <w:sz w:val="24"/>
          <w:szCs w:val="24"/>
          <w:lang w:val="en-IE"/>
        </w:rPr>
        <w:t xml:space="preserve"> (Bio-conn</w:t>
      </w:r>
      <w:r w:rsidR="00742FC9" w:rsidRPr="007632FC">
        <w:rPr>
          <w:rFonts w:ascii="Times New Roman" w:hAnsi="Times New Roman" w:cs="Times New Roman"/>
          <w:sz w:val="24"/>
          <w:szCs w:val="24"/>
          <w:lang w:val="en-IE"/>
        </w:rPr>
        <w:t>ect services, The Netherlands)</w:t>
      </w:r>
      <w:r w:rsidRPr="007632FC">
        <w:rPr>
          <w:rFonts w:ascii="Times New Roman" w:hAnsi="Times New Roman" w:cs="Times New Roman"/>
          <w:sz w:val="24"/>
          <w:szCs w:val="24"/>
          <w:lang w:val="en-IE"/>
        </w:rPr>
        <w:t xml:space="preserve">. Tumour growth was followed by </w:t>
      </w:r>
      <w:proofErr w:type="spellStart"/>
      <w:r w:rsidRPr="007632FC">
        <w:rPr>
          <w:rFonts w:ascii="Times New Roman" w:hAnsi="Times New Roman" w:cs="Times New Roman"/>
          <w:sz w:val="24"/>
          <w:szCs w:val="24"/>
          <w:lang w:val="en-IE"/>
        </w:rPr>
        <w:t>caliper</w:t>
      </w:r>
      <w:proofErr w:type="spellEnd"/>
      <w:r w:rsidRPr="007632FC">
        <w:rPr>
          <w:rFonts w:ascii="Times New Roman" w:hAnsi="Times New Roman" w:cs="Times New Roman"/>
          <w:sz w:val="24"/>
          <w:szCs w:val="24"/>
          <w:lang w:val="en-IE"/>
        </w:rPr>
        <w:t xml:space="preserve"> twice a week and results were analysed using </w:t>
      </w:r>
      <w:proofErr w:type="spellStart"/>
      <w:r w:rsidRPr="007632FC">
        <w:rPr>
          <w:rFonts w:ascii="Times New Roman" w:hAnsi="Times New Roman" w:cs="Times New Roman"/>
          <w:sz w:val="24"/>
          <w:szCs w:val="24"/>
          <w:lang w:val="en-IE"/>
        </w:rPr>
        <w:t>GraphPad</w:t>
      </w:r>
      <w:proofErr w:type="spellEnd"/>
      <w:r w:rsidRPr="007632FC">
        <w:rPr>
          <w:rFonts w:ascii="Times New Roman" w:hAnsi="Times New Roman" w:cs="Times New Roman"/>
          <w:sz w:val="24"/>
          <w:szCs w:val="24"/>
          <w:lang w:val="en-IE"/>
        </w:rPr>
        <w:t xml:space="preserve"> Prism software. Response Rate was calculated as described in</w:t>
      </w:r>
      <w:r w:rsidRPr="007632FC">
        <w:rPr>
          <w:rFonts w:ascii="Times New Roman" w:hAnsi="Times New Roman" w:cs="Times New Roman"/>
          <w:sz w:val="24"/>
          <w:szCs w:val="24"/>
          <w:lang w:val="en-US"/>
        </w:rPr>
        <w:t xml:space="preserve"> </w:t>
      </w:r>
      <w:r w:rsidR="00923F05" w:rsidRPr="007632FC">
        <w:rPr>
          <w:rFonts w:ascii="Times New Roman" w:hAnsi="Times New Roman" w:cs="Times New Roman"/>
          <w:sz w:val="24"/>
          <w:szCs w:val="24"/>
          <w:lang w:val="en-US"/>
        </w:rPr>
        <w:fldChar w:fldCharType="begin" w:fldLock="1"/>
      </w:r>
      <w:r w:rsidR="009F41A5">
        <w:rPr>
          <w:rFonts w:ascii="Times New Roman" w:hAnsi="Times New Roman" w:cs="Times New Roman"/>
          <w:sz w:val="24"/>
          <w:szCs w:val="24"/>
          <w:lang w:val="en-US"/>
        </w:rPr>
        <w:instrText>ADDIN CSL_CITATION { "citationItems" : [ { "id" : "ITEM-1", "itemData" : { "DOI" : "10.1038/s41598-017-06912-7", "author" : [ { "dropping-particle" : "", "family" : "Moro", "given" : "Massimo", "non-dropping-particle" : "", "parse-names" : false, "suffix" : "" }, { "dropping-particle" : "", "family" : "Bertolini", "given" : "Giulia", "non-dropping-particle" : "", "parse-names" : false, "suffix" : "" }, { "dropping-particle" : "", "family" : "Caserini", "given" : "Roberto", "non-dropping-particle" : "", "parse-names" : false, "suffix" : "" }, { "dropping-particle" : "", "family" : "Borzi", "given" : "Cristina", "non-dropping-particle" : "", "parse-names" : false, "suffix" : "" }, { "dropping-particle" : "", "family" : "Boeri", "given" : "Mattia", "non-dropping-particle" : "", "parse-names" : false, "suffix" : "" }, { "dropping-particle" : "", "family" : "Fabbri", "given" : "Alessandra", "non-dropping-particle" : "", "parse-names" : false, "suffix" : "" }, { "dropping-particle" : "", "family" : "Leone", "given" : "Giorgia", "non-dropping-particle" : "", "parse-names" : false, "suffix" : "" }, { "dropping-particle" : "", "family" : "Gasparini", "given" : "Patrizia", "non-dropping-particle" : "", "parse-names" : false, "suffix" : "" }, { "dropping-particle" : "", "family" : "Galeone", "given" : "Carlotta", "non-dropping-particle" : "", "parse-names" : false, "suffix" : "" }, { "dropping-particle" : "", "family" : "Pelosi", "given" : "Giuseppe", "non-dropping-particle" : "", "parse-names" : false, "suffix" : "" }, { "dropping-particle" : "", "family" : "Roz", "given" : "Luca", "non-dropping-particle" : "", "parse-names" : false, "suffix" : "" }, { "dropping-particle" : "", "family" : "Sozzi", "given" : "Gabriella", "non-dropping-particle" : "", "parse-names" : false, "suffix" : "" }, { "dropping-particle" : "", "family" : "Pastorino", "given" : "Ugo", "non-dropping-particle" : "", "parse-names" : false, "suffix" : "" } ], "container-title" : "Scientific Reports", "id" : "ITEM-1", "issued" : { "date-parts" : [ [ "2017", "12" ] ] }, "title" : "Establishment of patient derived xenografts as functional testing of lung cancer aggressiveness", "type" : "article-journal" }, "uris" : [ "http://www.mendeley.com/documents/?uuid=f3a5bcfb-1fa7-3404-8969-5c70a2c3a440" ] } ], "mendeley" : { "formattedCitation" : "(5)", "plainTextFormattedCitation" : "(5)", "previouslyFormattedCitation" : "(5)" }, "properties" : {  }, "schema" : "https://github.com/citation-style-language/schema/raw/master/csl-citation.json" }</w:instrText>
      </w:r>
      <w:r w:rsidR="00923F05" w:rsidRPr="007632FC">
        <w:rPr>
          <w:rFonts w:ascii="Times New Roman" w:hAnsi="Times New Roman" w:cs="Times New Roman"/>
          <w:sz w:val="24"/>
          <w:szCs w:val="24"/>
          <w:lang w:val="en-US"/>
        </w:rPr>
        <w:fldChar w:fldCharType="separate"/>
      </w:r>
      <w:r w:rsidR="009F41A5" w:rsidRPr="009F41A5">
        <w:rPr>
          <w:rFonts w:ascii="Times New Roman" w:hAnsi="Times New Roman" w:cs="Times New Roman"/>
          <w:noProof/>
          <w:sz w:val="24"/>
          <w:szCs w:val="24"/>
          <w:lang w:val="en-US"/>
        </w:rPr>
        <w:t>(5)</w:t>
      </w:r>
      <w:r w:rsidR="00923F05" w:rsidRPr="007632FC">
        <w:rPr>
          <w:rFonts w:ascii="Times New Roman" w:hAnsi="Times New Roman" w:cs="Times New Roman"/>
          <w:sz w:val="24"/>
          <w:szCs w:val="24"/>
          <w:lang w:val="en-US"/>
        </w:rPr>
        <w:fldChar w:fldCharType="end"/>
      </w:r>
      <w:r w:rsidRPr="007632FC">
        <w:rPr>
          <w:rFonts w:ascii="Times New Roman" w:hAnsi="Times New Roman" w:cs="Times New Roman"/>
          <w:sz w:val="24"/>
          <w:szCs w:val="24"/>
          <w:lang w:val="en-US"/>
        </w:rPr>
        <w:t xml:space="preserve">. </w:t>
      </w:r>
      <w:proofErr w:type="spellStart"/>
      <w:r w:rsidRPr="007632FC">
        <w:rPr>
          <w:rFonts w:ascii="Times New Roman" w:hAnsi="Times New Roman" w:cs="Times New Roman"/>
          <w:sz w:val="24"/>
          <w:szCs w:val="24"/>
          <w:lang w:val="en-US"/>
        </w:rPr>
        <w:t>Hypergrogression</w:t>
      </w:r>
      <w:proofErr w:type="spellEnd"/>
      <w:r w:rsidRPr="007632FC">
        <w:rPr>
          <w:rFonts w:ascii="Times New Roman" w:hAnsi="Times New Roman" w:cs="Times New Roman"/>
          <w:sz w:val="24"/>
          <w:szCs w:val="24"/>
          <w:lang w:val="en-US"/>
        </w:rPr>
        <w:t xml:space="preserve"> was defined as follows </w:t>
      </w:r>
      <w:r w:rsidRPr="007632FC">
        <w:rPr>
          <w:rFonts w:ascii="Times New Roman" w:hAnsi="Times New Roman" w:cs="Times New Roman"/>
          <w:sz w:val="24"/>
          <w:szCs w:val="24"/>
          <w:lang w:val="en-IE"/>
        </w:rPr>
        <w:t xml:space="preserve">: HP1 (score -2), </w:t>
      </w:r>
      <w:r w:rsidRPr="007632FC">
        <w:rPr>
          <w:rFonts w:ascii="Times New Roman" w:hAnsi="Times New Roman" w:cs="Times New Roman"/>
          <w:sz w:val="24"/>
          <w:szCs w:val="24"/>
          <w:lang w:val="en-US"/>
        </w:rPr>
        <w:lastRenderedPageBreak/>
        <w:t xml:space="preserve">maximal growth inhibition (MGI) </w:t>
      </w:r>
      <w:proofErr w:type="spellStart"/>
      <w:r w:rsidRPr="007632FC">
        <w:rPr>
          <w:rFonts w:ascii="Times New Roman" w:hAnsi="Times New Roman" w:cs="Times New Roman"/>
          <w:sz w:val="24"/>
          <w:szCs w:val="24"/>
          <w:lang w:val="en-US"/>
        </w:rPr>
        <w:t>vs</w:t>
      </w:r>
      <w:proofErr w:type="spellEnd"/>
      <w:r w:rsidRPr="007632FC">
        <w:rPr>
          <w:rFonts w:ascii="Times New Roman" w:hAnsi="Times New Roman" w:cs="Times New Roman"/>
          <w:sz w:val="24"/>
          <w:szCs w:val="24"/>
          <w:lang w:val="en-US"/>
        </w:rPr>
        <w:t xml:space="preserve"> controls &lt; -10% and Tumor Growth Delay (TGD = Time to event  treated/average time to event of controls, event= 3x starting volume) &gt;0.75; HP2 (score -4), MGI&lt;-10% and TGD&lt;0.75</w:t>
      </w:r>
      <w:r w:rsidRPr="009C1687">
        <w:rPr>
          <w:rFonts w:ascii="Times New Roman" w:hAnsi="Times New Roman" w:cs="Times New Roman"/>
          <w:sz w:val="24"/>
          <w:szCs w:val="24"/>
          <w:highlight w:val="yellow"/>
          <w:lang w:val="en-US"/>
        </w:rPr>
        <w:t xml:space="preserve">. </w:t>
      </w:r>
      <w:r w:rsidRPr="009C1687">
        <w:rPr>
          <w:rFonts w:ascii="Times New Roman" w:eastAsia="Times New Roman" w:hAnsi="Times New Roman" w:cs="Times New Roman"/>
          <w:strike/>
          <w:sz w:val="24"/>
          <w:szCs w:val="24"/>
          <w:highlight w:val="yellow"/>
          <w:lang w:val="en-IE" w:eastAsia="it-IT"/>
        </w:rPr>
        <w:t xml:space="preserve">The experimental protocols were carried  out according the Italian low </w:t>
      </w:r>
      <w:proofErr w:type="spellStart"/>
      <w:r w:rsidRPr="009C1687">
        <w:rPr>
          <w:rFonts w:ascii="Times New Roman" w:eastAsia="Times New Roman" w:hAnsi="Times New Roman" w:cs="Times New Roman"/>
          <w:strike/>
          <w:sz w:val="24"/>
          <w:szCs w:val="24"/>
          <w:highlight w:val="yellow"/>
          <w:lang w:val="en-IE" w:eastAsia="it-IT"/>
        </w:rPr>
        <w:t>D.Lgs</w:t>
      </w:r>
      <w:proofErr w:type="spellEnd"/>
      <w:r w:rsidRPr="009C1687">
        <w:rPr>
          <w:rFonts w:ascii="Times New Roman" w:eastAsia="Times New Roman" w:hAnsi="Times New Roman" w:cs="Times New Roman"/>
          <w:strike/>
          <w:sz w:val="24"/>
          <w:szCs w:val="24"/>
          <w:highlight w:val="yellow"/>
          <w:lang w:val="en-IE" w:eastAsia="it-IT"/>
        </w:rPr>
        <w:t xml:space="preserve">. 26/2014, and animal experimentation was performed following guidelines drawn-up by </w:t>
      </w:r>
      <w:proofErr w:type="spellStart"/>
      <w:r w:rsidRPr="009C1687">
        <w:rPr>
          <w:rFonts w:ascii="Times New Roman" w:eastAsia="Times New Roman" w:hAnsi="Times New Roman" w:cs="Times New Roman"/>
          <w:strike/>
          <w:sz w:val="24"/>
          <w:szCs w:val="24"/>
          <w:highlight w:val="yellow"/>
          <w:lang w:val="en-IE" w:eastAsia="it-IT"/>
        </w:rPr>
        <w:t>Fondazione</w:t>
      </w:r>
      <w:proofErr w:type="spellEnd"/>
      <w:r w:rsidRPr="009C1687">
        <w:rPr>
          <w:rFonts w:ascii="Times New Roman" w:eastAsia="Times New Roman" w:hAnsi="Times New Roman" w:cs="Times New Roman"/>
          <w:strike/>
          <w:sz w:val="24"/>
          <w:szCs w:val="24"/>
          <w:highlight w:val="yellow"/>
          <w:lang w:val="en-IE" w:eastAsia="it-IT"/>
        </w:rPr>
        <w:t xml:space="preserve"> IRCCS - </w:t>
      </w:r>
      <w:proofErr w:type="spellStart"/>
      <w:r w:rsidRPr="009C1687">
        <w:rPr>
          <w:rFonts w:ascii="Times New Roman" w:eastAsia="Times New Roman" w:hAnsi="Times New Roman" w:cs="Times New Roman"/>
          <w:strike/>
          <w:sz w:val="24"/>
          <w:szCs w:val="24"/>
          <w:highlight w:val="yellow"/>
          <w:lang w:val="en-IE" w:eastAsia="it-IT"/>
        </w:rPr>
        <w:t>Istituto</w:t>
      </w:r>
      <w:proofErr w:type="spellEnd"/>
      <w:r w:rsidRPr="009C1687">
        <w:rPr>
          <w:rFonts w:ascii="Times New Roman" w:eastAsia="Times New Roman" w:hAnsi="Times New Roman" w:cs="Times New Roman"/>
          <w:strike/>
          <w:sz w:val="24"/>
          <w:szCs w:val="24"/>
          <w:highlight w:val="yellow"/>
          <w:lang w:val="en-IE" w:eastAsia="it-IT"/>
        </w:rPr>
        <w:t xml:space="preserve"> </w:t>
      </w:r>
      <w:proofErr w:type="spellStart"/>
      <w:r w:rsidRPr="009C1687">
        <w:rPr>
          <w:rFonts w:ascii="Times New Roman" w:eastAsia="Times New Roman" w:hAnsi="Times New Roman" w:cs="Times New Roman"/>
          <w:strike/>
          <w:sz w:val="24"/>
          <w:szCs w:val="24"/>
          <w:highlight w:val="yellow"/>
          <w:lang w:val="en-IE" w:eastAsia="it-IT"/>
        </w:rPr>
        <w:t>Nazionale</w:t>
      </w:r>
      <w:proofErr w:type="spellEnd"/>
      <w:r w:rsidRPr="009C1687">
        <w:rPr>
          <w:rFonts w:ascii="Times New Roman" w:eastAsia="Times New Roman" w:hAnsi="Times New Roman" w:cs="Times New Roman"/>
          <w:strike/>
          <w:sz w:val="24"/>
          <w:szCs w:val="24"/>
          <w:highlight w:val="yellow"/>
          <w:lang w:val="en-IE" w:eastAsia="it-IT"/>
        </w:rPr>
        <w:t xml:space="preserve"> </w:t>
      </w:r>
      <w:proofErr w:type="spellStart"/>
      <w:r w:rsidRPr="009C1687">
        <w:rPr>
          <w:rFonts w:ascii="Times New Roman" w:eastAsia="Times New Roman" w:hAnsi="Times New Roman" w:cs="Times New Roman"/>
          <w:strike/>
          <w:sz w:val="24"/>
          <w:szCs w:val="24"/>
          <w:highlight w:val="yellow"/>
          <w:lang w:val="en-IE" w:eastAsia="it-IT"/>
        </w:rPr>
        <w:t>dei</w:t>
      </w:r>
      <w:proofErr w:type="spellEnd"/>
      <w:r w:rsidRPr="009C1687">
        <w:rPr>
          <w:rFonts w:ascii="Times New Roman" w:eastAsia="Times New Roman" w:hAnsi="Times New Roman" w:cs="Times New Roman"/>
          <w:strike/>
          <w:sz w:val="24"/>
          <w:szCs w:val="24"/>
          <w:highlight w:val="yellow"/>
          <w:lang w:val="en-IE" w:eastAsia="it-IT"/>
        </w:rPr>
        <w:t xml:space="preserve"> </w:t>
      </w:r>
      <w:proofErr w:type="spellStart"/>
      <w:r w:rsidRPr="009C1687">
        <w:rPr>
          <w:rFonts w:ascii="Times New Roman" w:eastAsia="Times New Roman" w:hAnsi="Times New Roman" w:cs="Times New Roman"/>
          <w:strike/>
          <w:sz w:val="24"/>
          <w:szCs w:val="24"/>
          <w:highlight w:val="yellow"/>
          <w:lang w:val="en-IE" w:eastAsia="it-IT"/>
        </w:rPr>
        <w:t>Tumori</w:t>
      </w:r>
      <w:proofErr w:type="spellEnd"/>
      <w:r w:rsidRPr="009C1687">
        <w:rPr>
          <w:rFonts w:ascii="Times New Roman" w:eastAsia="Times New Roman" w:hAnsi="Times New Roman" w:cs="Times New Roman"/>
          <w:strike/>
          <w:sz w:val="24"/>
          <w:szCs w:val="24"/>
          <w:highlight w:val="yellow"/>
          <w:lang w:val="en-IE" w:eastAsia="it-IT"/>
        </w:rPr>
        <w:t xml:space="preserve"> </w:t>
      </w:r>
      <w:r w:rsidRPr="009C1687">
        <w:rPr>
          <w:rFonts w:ascii="Times New Roman" w:hAnsi="Times New Roman" w:cs="Times New Roman"/>
          <w:strike/>
          <w:sz w:val="24"/>
          <w:szCs w:val="24"/>
          <w:highlight w:val="yellow"/>
          <w:lang w:val="en-US"/>
        </w:rPr>
        <w:t>Institutional Animal Welfare Body</w:t>
      </w:r>
      <w:r w:rsidRPr="009C1687">
        <w:rPr>
          <w:rFonts w:ascii="Times New Roman" w:eastAsia="Times New Roman" w:hAnsi="Times New Roman" w:cs="Times New Roman"/>
          <w:strike/>
          <w:sz w:val="24"/>
          <w:szCs w:val="24"/>
          <w:highlight w:val="yellow"/>
          <w:lang w:val="en-IE" w:eastAsia="it-IT"/>
        </w:rPr>
        <w:t xml:space="preserve"> according to </w:t>
      </w:r>
      <w:r w:rsidR="00923F05" w:rsidRPr="009C1687">
        <w:rPr>
          <w:rFonts w:ascii="Times New Roman" w:eastAsia="Times New Roman" w:hAnsi="Times New Roman" w:cs="Times New Roman"/>
          <w:strike/>
          <w:sz w:val="24"/>
          <w:szCs w:val="24"/>
          <w:highlight w:val="yellow"/>
          <w:lang w:val="en-IE" w:eastAsia="it-IT"/>
        </w:rPr>
        <w:fldChar w:fldCharType="begin" w:fldLock="1"/>
      </w:r>
      <w:r w:rsidR="009F41A5" w:rsidRPr="009C1687">
        <w:rPr>
          <w:rFonts w:ascii="Times New Roman" w:eastAsia="Times New Roman" w:hAnsi="Times New Roman" w:cs="Times New Roman"/>
          <w:strike/>
          <w:sz w:val="24"/>
          <w:szCs w:val="24"/>
          <w:highlight w:val="yellow"/>
          <w:lang w:val="en-IE" w:eastAsia="it-IT"/>
        </w:rPr>
        <w:instrText>ADDIN CSL_CITATION { "citationItems" : [ { "id" : "ITEM-1", "itemData" : { "DOI" : "10.1038/sj.bjc.6605642", "ISSN" : "1532-1827", "PMID" : "20502460", "abstract" : "Animal experiments remain essential to understand the fundamental mechanisms underpinning malignancy and to discover improved methods to prevent, diagnose and treat cancer. Excellent standards of animal care are fully consistent with the conduct of high quality cancer research. Here we provide updated guidelines on the welfare and use of animals in cancer research. All experiments should incorporate the 3Rs: replacement, reduction and refinement. Focusing on animal welfare, we present recommendations on all aspects of cancer research, including: study design, statistics and pilot studies; choice of tumour models (e.g., genetically engineered, orthotopic and metastatic); therapy (including drugs and radiation); imaging (covering techniques, anaesthesia and restraint); humane endpoints (including tumour burden and site); and publication of best practice.", "author" : [ { "dropping-particle" : "", "family" : "Workman", "given" : "P", "non-dropping-particle" : "", "parse-names" : false, "suffix" : "" }, { "dropping-particle" : "", "family" : "Aboagye", "given" : "E O", "non-dropping-particle" : "", "parse-names" : false, "suffix" : "" }, { "dropping-particle" : "", "family" : "Balkwill", "given" : "F", "non-dropping-particle" : "", "parse-names" : false, "suffix" : "" }, { "dropping-particle" : "", "family" : "Balmain", "given" : "A", "non-dropping-particle" : "", "parse-names" : false, "suffix" : "" }, { "dropping-particle" : "", "family" : "Bruder", "given" : "G", "non-dropping-particle" : "", "parse-names" : false, "suffix" : "" }, { "dropping-particle" : "", "family" : "Chaplin", "given" : "D J", "non-dropping-particle" : "", "parse-names" : false, "suffix" : "" }, { "dropping-particle" : "", "family" : "Double", "given" : "J A", "non-dropping-particle" : "", "parse-names" : false, "suffix" : "" }, { "dropping-particle" : "", "family" : "Everitt", "given" : "J", "non-dropping-particle" : "", "parse-names" : false, "suffix" : "" }, { "dropping-particle" : "", "family" : "Farningham", "given" : "D A H", "non-dropping-particle" : "", "parse-names" : false, "suffix" : "" }, { "dropping-particle" : "", "family" : "Glennie", "given" : "M J", "non-dropping-particle" : "", "parse-names" : false, "suffix" : "" }, { "dropping-particle" : "", "family" : "Kelland", "given" : "L R", "non-dropping-particle" : "", "parse-names" : false, "suffix" : "" }, { "dropping-particle" : "", "family" : "Robinson", "given" : "V", "non-dropping-particle" : "", "parse-names" : false, "suffix" : "" }, { "dropping-particle" : "", "family" : "Stratford", "given" : "I J", "non-dropping-particle" : "", "parse-names" : false, "suffix" : "" }, { "dropping-particle" : "", "family" : "Tozer", "given" : "G M", "non-dropping-particle" : "", "parse-names" : false, "suffix" : "" }, { "dropping-particle" : "", "family" : "Watson", "given" : "S", "non-dropping-particle" : "", "parse-names" : false, "suffix" : "" }, { "dropping-particle" : "", "family" : "Wedge", "given" : "S R", "non-dropping-particle" : "", "parse-names" : false, "suffix" : "" }, { "dropping-particle" : "", "family" : "Eccles", "given" : "S A", "non-dropping-particle" : "", "parse-names" : false, "suffix" : "" }, { "dropping-particle" : "", "family" : "Committee of the National Cancer Research Institute", "given" : "", "non-dropping-particle" : "", "parse-names" : false, "suffix" : "" } ], "container-title" : "British journal of cancer", "id" : "ITEM-1", "issue" : "11", "issued" : { "date-parts" : [ [ "2010", "5", "25" ] ] }, "page" : "1555-77", "title" : "Guidelines for the welfare and use of animals in cancer research.", "type" : "article-journal", "volume" : "102" }, "uris" : [ "http://www.mendeley.com/documents/?uuid=f77666de-40d3-3653-af31-53538e4996f2" ] } ], "mendeley" : { "formattedCitation" : "(6)", "plainTextFormattedCitation" : "(6)", "previouslyFormattedCitation" : "(6)" }, "properties" : {  }, "schema" : "https://github.com/citation-style-language/schema/raw/master/csl-citation.json" }</w:instrText>
      </w:r>
      <w:r w:rsidR="00923F05" w:rsidRPr="009C1687">
        <w:rPr>
          <w:rFonts w:ascii="Times New Roman" w:eastAsia="Times New Roman" w:hAnsi="Times New Roman" w:cs="Times New Roman"/>
          <w:strike/>
          <w:sz w:val="24"/>
          <w:szCs w:val="24"/>
          <w:highlight w:val="yellow"/>
          <w:lang w:val="en-IE" w:eastAsia="it-IT"/>
        </w:rPr>
        <w:fldChar w:fldCharType="separate"/>
      </w:r>
      <w:r w:rsidR="009F41A5" w:rsidRPr="009C1687">
        <w:rPr>
          <w:rFonts w:ascii="Times New Roman" w:eastAsia="Times New Roman" w:hAnsi="Times New Roman" w:cs="Times New Roman"/>
          <w:strike/>
          <w:noProof/>
          <w:sz w:val="24"/>
          <w:szCs w:val="24"/>
          <w:highlight w:val="yellow"/>
          <w:lang w:val="en-IE" w:eastAsia="it-IT"/>
        </w:rPr>
        <w:t>(6)</w:t>
      </w:r>
      <w:r w:rsidR="00923F05" w:rsidRPr="009C1687">
        <w:rPr>
          <w:rFonts w:ascii="Times New Roman" w:eastAsia="Times New Roman" w:hAnsi="Times New Roman" w:cs="Times New Roman"/>
          <w:strike/>
          <w:sz w:val="24"/>
          <w:szCs w:val="24"/>
          <w:highlight w:val="yellow"/>
          <w:lang w:val="en-IE" w:eastAsia="it-IT"/>
        </w:rPr>
        <w:fldChar w:fldCharType="end"/>
      </w:r>
      <w:r w:rsidRPr="009C1687">
        <w:rPr>
          <w:rFonts w:ascii="Times New Roman" w:hAnsi="Times New Roman" w:cs="Times New Roman"/>
          <w:strike/>
          <w:sz w:val="24"/>
          <w:szCs w:val="24"/>
          <w:highlight w:val="yellow"/>
          <w:lang w:val="en-US"/>
        </w:rPr>
        <w:t>.</w:t>
      </w:r>
    </w:p>
    <w:p w:rsidR="001639CC" w:rsidRPr="007632FC" w:rsidRDefault="001639CC" w:rsidP="007632FC">
      <w:pPr>
        <w:autoSpaceDE w:val="0"/>
        <w:autoSpaceDN w:val="0"/>
        <w:adjustRightInd w:val="0"/>
        <w:spacing w:after="0" w:line="480" w:lineRule="auto"/>
        <w:jc w:val="both"/>
        <w:rPr>
          <w:rFonts w:ascii="Times New Roman" w:hAnsi="Times New Roman" w:cs="Times New Roman"/>
          <w:sz w:val="24"/>
          <w:szCs w:val="24"/>
          <w:u w:val="single"/>
          <w:lang w:val="en-US"/>
        </w:rPr>
      </w:pPr>
      <w:proofErr w:type="spellStart"/>
      <w:r w:rsidRPr="007632FC">
        <w:rPr>
          <w:rFonts w:ascii="Times New Roman" w:hAnsi="Times New Roman" w:cs="Times New Roman"/>
          <w:b/>
          <w:sz w:val="24"/>
          <w:szCs w:val="24"/>
          <w:u w:val="single"/>
          <w:lang w:val="en-US"/>
        </w:rPr>
        <w:t>Immunohistochemistry</w:t>
      </w:r>
      <w:proofErr w:type="spellEnd"/>
      <w:r w:rsidR="00205B0B" w:rsidRPr="007632FC">
        <w:rPr>
          <w:rFonts w:ascii="Times New Roman" w:hAnsi="Times New Roman" w:cs="Times New Roman"/>
          <w:b/>
          <w:sz w:val="24"/>
          <w:szCs w:val="24"/>
          <w:u w:val="single"/>
          <w:lang w:val="en-US"/>
        </w:rPr>
        <w:t xml:space="preserve"> for tumor </w:t>
      </w:r>
      <w:proofErr w:type="spellStart"/>
      <w:r w:rsidR="00205B0B" w:rsidRPr="007632FC">
        <w:rPr>
          <w:rFonts w:ascii="Times New Roman" w:hAnsi="Times New Roman" w:cs="Times New Roman"/>
          <w:b/>
          <w:sz w:val="24"/>
          <w:szCs w:val="24"/>
          <w:u w:val="single"/>
          <w:lang w:val="en-US"/>
        </w:rPr>
        <w:t>xenografts</w:t>
      </w:r>
      <w:proofErr w:type="spellEnd"/>
    </w:p>
    <w:p w:rsidR="001639CC" w:rsidRPr="007632FC" w:rsidRDefault="001639CC" w:rsidP="007632FC">
      <w:pPr>
        <w:pStyle w:val="Default"/>
        <w:spacing w:line="480" w:lineRule="auto"/>
        <w:jc w:val="both"/>
        <w:rPr>
          <w:rFonts w:ascii="Times New Roman" w:hAnsi="Times New Roman" w:cs="Times New Roman"/>
          <w:lang w:val="en-US"/>
        </w:rPr>
      </w:pPr>
      <w:r w:rsidRPr="007632FC">
        <w:rPr>
          <w:rFonts w:ascii="Times New Roman" w:hAnsi="Times New Roman" w:cs="Times New Roman"/>
          <w:lang w:val="en-US"/>
        </w:rPr>
        <w:t xml:space="preserve">For </w:t>
      </w:r>
      <w:proofErr w:type="spellStart"/>
      <w:r w:rsidRPr="007632FC">
        <w:rPr>
          <w:rFonts w:ascii="Times New Roman" w:hAnsi="Times New Roman" w:cs="Times New Roman"/>
          <w:lang w:val="en-US"/>
        </w:rPr>
        <w:t>immunohistochemical</w:t>
      </w:r>
      <w:proofErr w:type="spellEnd"/>
      <w:r w:rsidRPr="007632FC">
        <w:rPr>
          <w:rFonts w:ascii="Times New Roman" w:hAnsi="Times New Roman" w:cs="Times New Roman"/>
          <w:lang w:val="en-US"/>
        </w:rPr>
        <w:t xml:space="preserve"> analyses, tumor samples were fixed in 10% buffered formalin, paraffin-embedded and sectioned (4-µm thick). For CD45R/B220 and NKp46 staining, sections were </w:t>
      </w:r>
      <w:proofErr w:type="spellStart"/>
      <w:r w:rsidRPr="007632FC">
        <w:rPr>
          <w:rFonts w:ascii="Times New Roman" w:hAnsi="Times New Roman" w:cs="Times New Roman"/>
          <w:lang w:val="en-US"/>
        </w:rPr>
        <w:t>deparaffinized</w:t>
      </w:r>
      <w:proofErr w:type="spellEnd"/>
      <w:r w:rsidRPr="007632FC">
        <w:rPr>
          <w:rFonts w:ascii="Times New Roman" w:hAnsi="Times New Roman" w:cs="Times New Roman"/>
          <w:lang w:val="en-US"/>
        </w:rPr>
        <w:t xml:space="preserve"> and underwent heat-induced </w:t>
      </w:r>
      <w:proofErr w:type="spellStart"/>
      <w:r w:rsidRPr="007632FC">
        <w:rPr>
          <w:rFonts w:ascii="Times New Roman" w:hAnsi="Times New Roman" w:cs="Times New Roman"/>
          <w:lang w:val="en-US"/>
        </w:rPr>
        <w:t>epitope</w:t>
      </w:r>
      <w:proofErr w:type="spellEnd"/>
      <w:r w:rsidRPr="007632FC">
        <w:rPr>
          <w:rFonts w:ascii="Times New Roman" w:hAnsi="Times New Roman" w:cs="Times New Roman"/>
          <w:lang w:val="en-US"/>
        </w:rPr>
        <w:t xml:space="preserve"> retrieval at pH 9, for 40 min at 95°C (</w:t>
      </w:r>
      <w:proofErr w:type="spellStart"/>
      <w:r w:rsidRPr="007632FC">
        <w:rPr>
          <w:rFonts w:ascii="Times New Roman" w:hAnsi="Times New Roman" w:cs="Times New Roman"/>
          <w:lang w:val="en-US"/>
        </w:rPr>
        <w:t>Dewax</w:t>
      </w:r>
      <w:proofErr w:type="spellEnd"/>
      <w:r w:rsidRPr="007632FC">
        <w:rPr>
          <w:rFonts w:ascii="Times New Roman" w:hAnsi="Times New Roman" w:cs="Times New Roman"/>
          <w:lang w:val="en-US"/>
        </w:rPr>
        <w:t xml:space="preserve"> and HIER Buffer H, Thermo Fisher Scientific Inc.). Endogenous </w:t>
      </w:r>
      <w:proofErr w:type="spellStart"/>
      <w:r w:rsidRPr="007632FC">
        <w:rPr>
          <w:rFonts w:ascii="Times New Roman" w:hAnsi="Times New Roman" w:cs="Times New Roman"/>
          <w:lang w:val="en-US"/>
        </w:rPr>
        <w:t>peroxidase</w:t>
      </w:r>
      <w:proofErr w:type="spellEnd"/>
      <w:r w:rsidRPr="007632FC">
        <w:rPr>
          <w:rFonts w:ascii="Times New Roman" w:hAnsi="Times New Roman" w:cs="Times New Roman"/>
          <w:lang w:val="en-US"/>
        </w:rPr>
        <w:t xml:space="preserve"> activity was blocked by incubating sections in 3% H</w:t>
      </w:r>
      <w:r w:rsidRPr="007632FC">
        <w:rPr>
          <w:rFonts w:ascii="Times New Roman" w:hAnsi="Times New Roman" w:cs="Times New Roman"/>
          <w:vertAlign w:val="subscript"/>
          <w:lang w:val="en-US"/>
        </w:rPr>
        <w:t>2</w:t>
      </w:r>
      <w:r w:rsidRPr="007632FC">
        <w:rPr>
          <w:rFonts w:ascii="Times New Roman" w:hAnsi="Times New Roman" w:cs="Times New Roman"/>
          <w:lang w:val="en-US"/>
        </w:rPr>
        <w:t>O</w:t>
      </w:r>
      <w:r w:rsidRPr="007632FC">
        <w:rPr>
          <w:rFonts w:ascii="Times New Roman" w:hAnsi="Times New Roman" w:cs="Times New Roman"/>
          <w:vertAlign w:val="subscript"/>
          <w:lang w:val="en-US"/>
        </w:rPr>
        <w:t>2</w:t>
      </w:r>
      <w:r w:rsidRPr="007632FC">
        <w:rPr>
          <w:rFonts w:ascii="Times New Roman" w:hAnsi="Times New Roman" w:cs="Times New Roman"/>
          <w:lang w:val="en-US"/>
        </w:rPr>
        <w:t xml:space="preserve"> for 15 min. Slides were rinsed and treated with PBS containing 10% normal serum for 30 min to reduce nonspecific background staining and then incubated for 1 hour at room temperature with the appropriate primary antibodies. Sections were incubated for 30 min with appropriate </w:t>
      </w:r>
      <w:proofErr w:type="spellStart"/>
      <w:r w:rsidRPr="007632FC">
        <w:rPr>
          <w:rFonts w:ascii="Times New Roman" w:hAnsi="Times New Roman" w:cs="Times New Roman"/>
          <w:lang w:val="en-US"/>
        </w:rPr>
        <w:t>biotinylated</w:t>
      </w:r>
      <w:proofErr w:type="spellEnd"/>
      <w:r w:rsidRPr="007632FC">
        <w:rPr>
          <w:rFonts w:ascii="Times New Roman" w:hAnsi="Times New Roman" w:cs="Times New Roman"/>
          <w:lang w:val="en-US"/>
        </w:rPr>
        <w:t xml:space="preserve"> secondary antibodies (Vector Laboratories, Burlingame, CA, USA), and then </w:t>
      </w:r>
      <w:proofErr w:type="spellStart"/>
      <w:r w:rsidRPr="007632FC">
        <w:rPr>
          <w:rFonts w:ascii="Times New Roman" w:hAnsi="Times New Roman" w:cs="Times New Roman"/>
          <w:lang w:val="en-US"/>
        </w:rPr>
        <w:t>labelled</w:t>
      </w:r>
      <w:proofErr w:type="spellEnd"/>
      <w:r w:rsidRPr="007632FC">
        <w:rPr>
          <w:rFonts w:ascii="Times New Roman" w:hAnsi="Times New Roman" w:cs="Times New Roman"/>
          <w:lang w:val="en-US"/>
        </w:rPr>
        <w:t xml:space="preserve"> by the </w:t>
      </w:r>
      <w:proofErr w:type="spellStart"/>
      <w:r w:rsidRPr="007632FC">
        <w:rPr>
          <w:rFonts w:ascii="Times New Roman" w:hAnsi="Times New Roman" w:cs="Times New Roman"/>
          <w:lang w:val="en-US"/>
        </w:rPr>
        <w:t>avidin</w:t>
      </w:r>
      <w:proofErr w:type="spellEnd"/>
      <w:r w:rsidRPr="007632FC">
        <w:rPr>
          <w:rFonts w:ascii="Times New Roman" w:hAnsi="Times New Roman" w:cs="Times New Roman"/>
          <w:lang w:val="en-US"/>
        </w:rPr>
        <w:t>-biotin-</w:t>
      </w:r>
      <w:proofErr w:type="spellStart"/>
      <w:r w:rsidRPr="007632FC">
        <w:rPr>
          <w:rFonts w:ascii="Times New Roman" w:hAnsi="Times New Roman" w:cs="Times New Roman"/>
          <w:lang w:val="en-US"/>
        </w:rPr>
        <w:t>peroxidase</w:t>
      </w:r>
      <w:proofErr w:type="spellEnd"/>
      <w:r w:rsidRPr="007632FC">
        <w:rPr>
          <w:rFonts w:ascii="Times New Roman" w:hAnsi="Times New Roman" w:cs="Times New Roman"/>
          <w:lang w:val="en-US"/>
        </w:rPr>
        <w:t xml:space="preserve"> (ABC) procedure with a commercial </w:t>
      </w:r>
      <w:proofErr w:type="spellStart"/>
      <w:r w:rsidRPr="007632FC">
        <w:rPr>
          <w:rFonts w:ascii="Times New Roman" w:hAnsi="Times New Roman" w:cs="Times New Roman"/>
          <w:lang w:val="en-US"/>
        </w:rPr>
        <w:t>immunoperoxidase</w:t>
      </w:r>
      <w:proofErr w:type="spellEnd"/>
      <w:r w:rsidRPr="007632FC">
        <w:rPr>
          <w:rFonts w:ascii="Times New Roman" w:hAnsi="Times New Roman" w:cs="Times New Roman"/>
          <w:lang w:val="en-US"/>
        </w:rPr>
        <w:t xml:space="preserve"> kit (VECTASTAIN Elite ABC HRP Kit Standard, Vector Laboratories). The </w:t>
      </w:r>
      <w:proofErr w:type="spellStart"/>
      <w:r w:rsidRPr="007632FC">
        <w:rPr>
          <w:rFonts w:ascii="Times New Roman" w:hAnsi="Times New Roman" w:cs="Times New Roman"/>
          <w:lang w:val="en-US"/>
        </w:rPr>
        <w:t>immunoreaction</w:t>
      </w:r>
      <w:proofErr w:type="spellEnd"/>
      <w:r w:rsidRPr="007632FC">
        <w:rPr>
          <w:rFonts w:ascii="Times New Roman" w:hAnsi="Times New Roman" w:cs="Times New Roman"/>
          <w:lang w:val="en-US"/>
        </w:rPr>
        <w:t xml:space="preserve"> was visualized with 3,3’-diaminobenzidine substrate (</w:t>
      </w:r>
      <w:proofErr w:type="spellStart"/>
      <w:r w:rsidRPr="007632FC">
        <w:rPr>
          <w:rFonts w:ascii="Times New Roman" w:hAnsi="Times New Roman" w:cs="Times New Roman"/>
          <w:lang w:val="en-US"/>
        </w:rPr>
        <w:t>Peroxidase</w:t>
      </w:r>
      <w:proofErr w:type="spellEnd"/>
      <w:r w:rsidRPr="007632FC">
        <w:rPr>
          <w:rFonts w:ascii="Times New Roman" w:hAnsi="Times New Roman" w:cs="Times New Roman"/>
          <w:lang w:val="en-US"/>
        </w:rPr>
        <w:t xml:space="preserve"> DAB Substrate Kit, Vector Laboratories) for 5 min and sections were counterstained with Mayer’s </w:t>
      </w:r>
      <w:proofErr w:type="spellStart"/>
      <w:r w:rsidRPr="007632FC">
        <w:rPr>
          <w:rFonts w:ascii="Times New Roman" w:hAnsi="Times New Roman" w:cs="Times New Roman"/>
          <w:lang w:val="en-US"/>
        </w:rPr>
        <w:t>haematoxylin</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Diapath</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Martinengo</w:t>
      </w:r>
      <w:proofErr w:type="spellEnd"/>
      <w:r w:rsidRPr="007632FC">
        <w:rPr>
          <w:rFonts w:ascii="Times New Roman" w:hAnsi="Times New Roman" w:cs="Times New Roman"/>
          <w:lang w:val="en-US"/>
        </w:rPr>
        <w:t xml:space="preserve">, Italy).  </w:t>
      </w:r>
      <w:proofErr w:type="spellStart"/>
      <w:r w:rsidRPr="007632FC">
        <w:rPr>
          <w:rFonts w:ascii="Times New Roman" w:hAnsi="Times New Roman" w:cs="Times New Roman"/>
          <w:lang w:val="en-US"/>
        </w:rPr>
        <w:t>Immunohistochemistry</w:t>
      </w:r>
      <w:proofErr w:type="spellEnd"/>
      <w:r w:rsidRPr="007632FC">
        <w:rPr>
          <w:rFonts w:ascii="Times New Roman" w:hAnsi="Times New Roman" w:cs="Times New Roman"/>
          <w:lang w:val="en-US"/>
        </w:rPr>
        <w:t xml:space="preserve"> for CD45, F4/80 and Gr-1 were carried out as previously described </w:t>
      </w:r>
      <w:r w:rsidR="00923F05" w:rsidRPr="007632FC">
        <w:rPr>
          <w:rFonts w:ascii="Times New Roman" w:hAnsi="Times New Roman" w:cs="Times New Roman"/>
          <w:lang w:val="en-US"/>
        </w:rPr>
        <w:fldChar w:fldCharType="begin" w:fldLock="1"/>
      </w:r>
      <w:r w:rsidR="009F41A5">
        <w:rPr>
          <w:rFonts w:ascii="Times New Roman" w:hAnsi="Times New Roman" w:cs="Times New Roman"/>
          <w:lang w:val="en-US"/>
        </w:rPr>
        <w:instrText>ADDIN CSL_CITATION { "citationItems" : [ { "id" : "ITEM-1", "itemData" : { "DOI" : "10.1038/cddis.2014.410", "ISSN" : "2041-4889", "PMID" : "25275595", "abstract" : "Improving treatment of advanced melanoma may require the development of effective strategies to overcome resistance to different anti-tumor agents and to counteract relevant pro-tumoral mechanisms in the microenvironment. Here we provide preclinical evidence that these goals can be achieved in most melanomas, by co-targeting of oncogenic and death receptor pathways, and independently of their BRAF, NRAS, p53 and PTEN status. In 49 melanoma cell lines, we found independent susceptibility profiles for response to the MEK1/2 inhibitor AZD6244, the PI3K/mTOR inhibitor BEZ235 and the death receptor ligand TRAIL, supporting the rationale for their association. Drug interaction analysis indicated that a strong synergistic anti-tumor activity could be achieved by the three agents and the AZD6244-TRAIL association on 20/21 melanomas, including cell lines resistant to the inhibitors or to TRAIL. Mechanistically, synergy was explained by enhanced induction of caspase-dependent apoptosis, mitochondrial depolarization and modulation of key regulators of extrinsic and intrinsic cell death pathways, including c-FLIP, BIM, BAX, clusterin, Mcl-1 and several IAP family members. Moreover, silencing experiments confirmed the central role of Apollon downmodulation in promoting the apoptotic response of melanoma cells to the combinatorial treatments. In SCID mice, the AZD6244-TRAIL association induced significant growth inhibition of a tumor resistant to TRAIL and poorly responsive to AZD6244, with no detectable adverse events on body weight and tissue histology. Reduction in tumor volume was associated not only with promotion of tumor apoptosis but also with suppression of the pro-angiogenic molecules HIF1\u03b1, VEGF\u03b1, IL-8 and TGF\u03b21 and with inhibition of tumor angiogenesis. These results suggest that synergistic co-targeting of oncogenic and death receptor pathways can not only overcome melanoma resistance to different anti-tumor agents in vitro but can also promote pro-apoptotic effects and inhibition of tumor angiogenesis in vivo.", "author" : [ { "dropping-particle" : "", "family" : "Grazia", "given" : "G", "non-dropping-particle" : "", "parse-names" : false, "suffix" : "" }, { "dropping-particle" : "", "family" : "Vegetti", "given" : "C", "non-dropping-particle" : "", "parse-names" : false, "suffix" : "" }, { "dropping-particle" : "", "family" : "Benigni", "given" : "F", "non-dropping-particle" : "", "parse-names" : false, "suffix" : "" }, { "dropping-particle" : "", "family" : "Penna", "given" : "I", "non-dropping-particle" : "", "parse-names" : false, "suffix" : "" }, { "dropping-particle" : "", "family" : "Perotti", "given" : "V", "non-dropping-particle" : "", "parse-names" : false, "suffix" : "" }, { "dropping-particle" : "", "family" : "Tassi", "given" : "E", "non-dropping-particle" : "", "parse-names" : false, "suffix" : "" }, { "dropping-particle" : "", "family" : "Bersani", "given" : "I", "non-dropping-particle" : "", "parse-names" : false, "suffix" : "" }, { "dropping-particle" : "", "family" : "Nicolini", "given" : "G", "non-dropping-particle" : "", "parse-names" : false, "suffix" : "" }, { "dropping-particle" : "", "family" : "Canevari", "given" : "S", "non-dropping-particle" : "", "parse-names" : false, "suffix" : "" }, { "dropping-particle" : "", "family" : "Carlo-Stella", "given" : "C", "non-dropping-particle" : "", "parse-names" : false, "suffix" : "" }, { "dropping-particle" : "", "family" : "Gianni", "given" : "A M", "non-dropping-particle" : "", "parse-names" : false, "suffix" : "" }, { "dropping-particle" : "", "family" : "Mortarini", "given" : "R", "non-dropping-particle" : "", "parse-names" : false, "suffix" : "" }, { "dropping-particle" : "", "family" : "Anichini", "given" : "A", "non-dropping-particle" : "", "parse-names" : false, "suffix" : "" } ], "container-title" : "Cell death &amp; disease", "id" : "ITEM-1", "issue" : "10", "issued" : { "date-parts" : [ [ "2014", "10", "2" ] ] }, "page" : "e1434", "title" : "Synergistic anti-tumor activity and inhibition of angiogenesis by cotargeting of oncogenic and death receptor pathways in human melanoma.", "type" : "article-journal", "volume" : "5" }, "uris" : [ "http://www.mendeley.com/documents/?uuid=1d76ac4b-699e-3071-af3a-63d72423bf56" ] }, { "id" : "ITEM-2", "itemData" : { "DOI" : "10.1016/j.ccr.2012.05.014", "ISSN" : "1878-3686", "PMID" : "22789540", "abstract" : "The proapoptotic death receptor DR5 has been studied extensively in cancer cells, but its action in the tumor microenvironment is not well defined. Here, we uncover a role for DR5 signaling in tumor endothelial cells (ECs). We detected DR5 expression in ECs within tumors but not normal tissues. Treatment of tumor-bearing mice with an oligomeric form of the DR5 ligand Apo2L/TRAIL induced apoptosis in tumor ECs, collapsing blood vessels and reducing tumor growth: Vascular disruption and antitumor activity required DR5 expression on tumor ECs but not malignant cells. These results establish a therapeutic paradigm for proapoptotic receptor agonists as selective tumor vascular disruption agents, providing an alternative, perhaps complementary, strategy to their use as activators of apoptosis in malignant cells.", "author" : [ { "dropping-particle" : "", "family" : "Wilson", "given" : "Nicholas S", "non-dropping-particle" : "", "parse-names" : false, "suffix" : "" }, { "dropping-particle" : "", "family" : "Yang", "given" : "Annie", "non-dropping-particle" : "", "parse-names" : false, "suffix" : "" }, { "dropping-particle" : "", "family" : "Yang", "given" : "Becky", "non-dropping-particle" : "", "parse-names" : false, "suffix" : "" }, { "dropping-particle" : "", "family" : "Couto", "given" : "Suzana", "non-dropping-particle" : "", "parse-names" : false, "suffix" : "" }, { "dropping-particle" : "", "family" : "Stern", "given" : "Howard", "non-dropping-particle" : "", "parse-names" : false, "suffix" : "" }, { "dropping-particle" : "", "family" : "Gogineni", "given" : "Alvin", "non-dropping-particle" : "", "parse-names" : false, "suffix" : "" }, { "dropping-particle" : "", "family" : "Pitti", "given" : "Robert", "non-dropping-particle" : "", "parse-names" : false, "suffix" : "" }, { "dropping-particle" : "", "family" : "Marsters", "given" : "Scot", "non-dropping-particle" : "", "parse-names" : false, "suffix" : "" }, { "dropping-particle" : "", "family" : "Weimer", "given" : "Robby M", "non-dropping-particle" : "", "parse-names" : false, "suffix" : "" }, { "dropping-particle" : "", "family" : "Singh", "given" : "Mallika", "non-dropping-particle" : "", "parse-names" : false, "suffix" : "" }, { "dropping-particle" : "", "family" : "Ashkenazi", "given" : "Avi", "non-dropping-particle" : "", "parse-names" : false, "suffix" : "" } ], "container-title" : "Cancer cell", "id" : "ITEM-2", "issue" : "1", "issued" : { "date-parts" : [ [ "2012", "7", "10" ] ] }, "page" : "80-90", "title" : "Proapoptotic activation of death receptor 5 on tumor endothelial cells disrupts the vasculature and reduces tumor growth.", "type" : "article-journal", "volume" : "22" }, "uris" : [ "http://www.mendeley.com/documents/?uuid=49a2bf3b-84b2-3dca-b25b-e626511a9022" ] } ], "mendeley" : { "formattedCitation" : "(7,8)", "plainTextFormattedCitation" : "(7,8)", "previouslyFormattedCitation" : "(7,8)" }, "properties" : {  }, "schema" : "https://github.com/citation-style-language/schema/raw/master/csl-citation.json" }</w:instrText>
      </w:r>
      <w:r w:rsidR="00923F05" w:rsidRPr="007632FC">
        <w:rPr>
          <w:rFonts w:ascii="Times New Roman" w:hAnsi="Times New Roman" w:cs="Times New Roman"/>
          <w:lang w:val="en-US"/>
        </w:rPr>
        <w:fldChar w:fldCharType="separate"/>
      </w:r>
      <w:r w:rsidR="009F41A5" w:rsidRPr="009F41A5">
        <w:rPr>
          <w:rFonts w:ascii="Times New Roman" w:hAnsi="Times New Roman" w:cs="Times New Roman"/>
          <w:noProof/>
          <w:lang w:val="en-US"/>
        </w:rPr>
        <w:t>(</w:t>
      </w:r>
      <w:r w:rsidR="00B64464" w:rsidRPr="00B81F97">
        <w:rPr>
          <w:rFonts w:ascii="Times New Roman" w:hAnsi="Times New Roman" w:cs="Times New Roman"/>
          <w:noProof/>
          <w:highlight w:val="yellow"/>
          <w:lang w:val="en-US"/>
        </w:rPr>
        <w:t>6</w:t>
      </w:r>
      <w:r w:rsidR="009F41A5" w:rsidRPr="00B81F97">
        <w:rPr>
          <w:rFonts w:ascii="Times New Roman" w:hAnsi="Times New Roman" w:cs="Times New Roman"/>
          <w:noProof/>
          <w:highlight w:val="yellow"/>
          <w:lang w:val="en-US"/>
        </w:rPr>
        <w:t>,</w:t>
      </w:r>
      <w:r w:rsidR="00B64464" w:rsidRPr="00B81F97">
        <w:rPr>
          <w:rFonts w:ascii="Times New Roman" w:hAnsi="Times New Roman" w:cs="Times New Roman"/>
          <w:noProof/>
          <w:highlight w:val="yellow"/>
          <w:lang w:val="en-US"/>
        </w:rPr>
        <w:t>7</w:t>
      </w:r>
      <w:r w:rsidR="009F41A5" w:rsidRPr="00B81F97">
        <w:rPr>
          <w:rFonts w:ascii="Times New Roman" w:hAnsi="Times New Roman" w:cs="Times New Roman"/>
          <w:noProof/>
          <w:highlight w:val="yellow"/>
          <w:lang w:val="en-US"/>
        </w:rPr>
        <w:t>)</w:t>
      </w:r>
      <w:r w:rsidR="00923F05" w:rsidRPr="007632FC">
        <w:rPr>
          <w:rFonts w:ascii="Times New Roman" w:hAnsi="Times New Roman" w:cs="Times New Roman"/>
          <w:lang w:val="en-US"/>
        </w:rPr>
        <w:fldChar w:fldCharType="end"/>
      </w:r>
      <w:r w:rsidRPr="007632FC">
        <w:rPr>
          <w:rFonts w:ascii="Times New Roman" w:hAnsi="Times New Roman" w:cs="Times New Roman"/>
          <w:lang w:val="en-US"/>
        </w:rPr>
        <w:t xml:space="preserve">. For CD45, F4/80, CD45R/B220, Gr-1 and NKp46 quantification,. digital slides were obtained from </w:t>
      </w:r>
      <w:proofErr w:type="spellStart"/>
      <w:r w:rsidRPr="007632FC">
        <w:rPr>
          <w:rFonts w:ascii="Times New Roman" w:hAnsi="Times New Roman" w:cs="Times New Roman"/>
          <w:lang w:val="en-US"/>
        </w:rPr>
        <w:t>immunostained</w:t>
      </w:r>
      <w:proofErr w:type="spellEnd"/>
      <w:r w:rsidRPr="007632FC">
        <w:rPr>
          <w:rFonts w:ascii="Times New Roman" w:hAnsi="Times New Roman" w:cs="Times New Roman"/>
          <w:lang w:val="en-US"/>
        </w:rPr>
        <w:t xml:space="preserve"> sections by using the </w:t>
      </w:r>
      <w:proofErr w:type="spellStart"/>
      <w:r w:rsidRPr="007632FC">
        <w:rPr>
          <w:rFonts w:ascii="Times New Roman" w:hAnsi="Times New Roman" w:cs="Times New Roman"/>
          <w:lang w:val="en-US"/>
        </w:rPr>
        <w:t>NanoZoomer</w:t>
      </w:r>
      <w:proofErr w:type="spellEnd"/>
      <w:r w:rsidRPr="007632FC">
        <w:rPr>
          <w:rFonts w:ascii="Times New Roman" w:hAnsi="Times New Roman" w:cs="Times New Roman"/>
          <w:lang w:val="en-US"/>
        </w:rPr>
        <w:t xml:space="preserve">-XR Digital slide scanner (Hamamatsu, </w:t>
      </w:r>
      <w:proofErr w:type="spellStart"/>
      <w:r w:rsidRPr="007632FC">
        <w:rPr>
          <w:rFonts w:ascii="Times New Roman" w:hAnsi="Times New Roman" w:cs="Times New Roman"/>
          <w:lang w:val="en-US"/>
        </w:rPr>
        <w:t>Arzbergerstr</w:t>
      </w:r>
      <w:proofErr w:type="spellEnd"/>
      <w:r w:rsidRPr="007632FC">
        <w:rPr>
          <w:rFonts w:ascii="Times New Roman" w:hAnsi="Times New Roman" w:cs="Times New Roman"/>
          <w:lang w:val="en-US"/>
        </w:rPr>
        <w:t xml:space="preserve">. Germany), and images were captured by using the NDP.view2 Viewing software (Hamamatsu). The % positive </w:t>
      </w:r>
      <w:proofErr w:type="spellStart"/>
      <w:r w:rsidRPr="007632FC">
        <w:rPr>
          <w:rFonts w:ascii="Times New Roman" w:hAnsi="Times New Roman" w:cs="Times New Roman"/>
          <w:lang w:val="en-US"/>
        </w:rPr>
        <w:t>immunostained</w:t>
      </w:r>
      <w:proofErr w:type="spellEnd"/>
      <w:r w:rsidRPr="007632FC">
        <w:rPr>
          <w:rFonts w:ascii="Times New Roman" w:hAnsi="Times New Roman" w:cs="Times New Roman"/>
          <w:lang w:val="en-US"/>
        </w:rPr>
        <w:t xml:space="preserve"> area was evaluated using the </w:t>
      </w:r>
      <w:proofErr w:type="spellStart"/>
      <w:r w:rsidRPr="007632FC">
        <w:rPr>
          <w:rFonts w:ascii="Times New Roman" w:hAnsi="Times New Roman" w:cs="Times New Roman"/>
          <w:lang w:val="en-US"/>
        </w:rPr>
        <w:t>ImageJ</w:t>
      </w:r>
      <w:proofErr w:type="spellEnd"/>
      <w:r w:rsidRPr="007632FC">
        <w:rPr>
          <w:rFonts w:ascii="Times New Roman" w:hAnsi="Times New Roman" w:cs="Times New Roman"/>
          <w:lang w:val="en-US"/>
        </w:rPr>
        <w:t xml:space="preserve"> analysis software (http://rsb.info.nih.gov/ij/) in 3 hot spot 20x microscopic fields selected either within the tumor (</w:t>
      </w:r>
      <w:proofErr w:type="spellStart"/>
      <w:r w:rsidRPr="007632FC">
        <w:rPr>
          <w:rFonts w:ascii="Times New Roman" w:hAnsi="Times New Roman" w:cs="Times New Roman"/>
          <w:lang w:val="en-US"/>
        </w:rPr>
        <w:t>intratumoral</w:t>
      </w:r>
      <w:proofErr w:type="spellEnd"/>
      <w:r w:rsidRPr="007632FC">
        <w:rPr>
          <w:rFonts w:ascii="Times New Roman" w:hAnsi="Times New Roman" w:cs="Times New Roman"/>
          <w:lang w:val="en-US"/>
        </w:rPr>
        <w:t xml:space="preserve">) or in the region between the </w:t>
      </w:r>
      <w:proofErr w:type="spellStart"/>
      <w:r w:rsidRPr="007632FC">
        <w:rPr>
          <w:rFonts w:ascii="Times New Roman" w:hAnsi="Times New Roman" w:cs="Times New Roman"/>
          <w:lang w:val="en-US"/>
        </w:rPr>
        <w:t>tumour</w:t>
      </w:r>
      <w:proofErr w:type="spellEnd"/>
      <w:r w:rsidRPr="007632FC">
        <w:rPr>
          <w:rFonts w:ascii="Times New Roman" w:hAnsi="Times New Roman" w:cs="Times New Roman"/>
          <w:lang w:val="en-US"/>
        </w:rPr>
        <w:t xml:space="preserve"> and surrounding </w:t>
      </w:r>
      <w:r w:rsidRPr="007632FC">
        <w:rPr>
          <w:rFonts w:ascii="Times New Roman" w:hAnsi="Times New Roman" w:cs="Times New Roman"/>
          <w:lang w:val="en-US"/>
        </w:rPr>
        <w:lastRenderedPageBreak/>
        <w:t xml:space="preserve">host tissues (interface), or in both regions. For </w:t>
      </w:r>
      <w:proofErr w:type="spellStart"/>
      <w:r w:rsidRPr="007632FC">
        <w:rPr>
          <w:rFonts w:ascii="Times New Roman" w:hAnsi="Times New Roman" w:cs="Times New Roman"/>
          <w:lang w:val="en-US"/>
        </w:rPr>
        <w:t>Arginase</w:t>
      </w:r>
      <w:proofErr w:type="spellEnd"/>
      <w:r w:rsidRPr="007632FC">
        <w:rPr>
          <w:rFonts w:ascii="Times New Roman" w:hAnsi="Times New Roman" w:cs="Times New Roman"/>
          <w:lang w:val="en-US"/>
        </w:rPr>
        <w:t xml:space="preserve"> I staining, sections were </w:t>
      </w:r>
      <w:proofErr w:type="spellStart"/>
      <w:r w:rsidRPr="007632FC">
        <w:rPr>
          <w:rFonts w:ascii="Times New Roman" w:hAnsi="Times New Roman" w:cs="Times New Roman"/>
          <w:lang w:val="en-US"/>
        </w:rPr>
        <w:t>deparaffinized</w:t>
      </w:r>
      <w:proofErr w:type="spellEnd"/>
      <w:r w:rsidRPr="007632FC">
        <w:rPr>
          <w:rFonts w:ascii="Times New Roman" w:hAnsi="Times New Roman" w:cs="Times New Roman"/>
          <w:lang w:val="en-US"/>
        </w:rPr>
        <w:t xml:space="preserve"> and rehydrated. Antigen unmasking was performed using pH 9 </w:t>
      </w:r>
      <w:proofErr w:type="spellStart"/>
      <w:r w:rsidRPr="007632FC">
        <w:rPr>
          <w:rFonts w:ascii="Times New Roman" w:hAnsi="Times New Roman" w:cs="Times New Roman"/>
          <w:lang w:val="en-US"/>
        </w:rPr>
        <w:t>Tris</w:t>
      </w:r>
      <w:proofErr w:type="spellEnd"/>
      <w:r w:rsidRPr="007632FC">
        <w:rPr>
          <w:rFonts w:ascii="Times New Roman" w:hAnsi="Times New Roman" w:cs="Times New Roman"/>
          <w:lang w:val="en-US"/>
        </w:rPr>
        <w:t>/EDTA buffer (</w:t>
      </w:r>
      <w:proofErr w:type="spellStart"/>
      <w:r w:rsidRPr="007632FC">
        <w:rPr>
          <w:rFonts w:ascii="Times New Roman" w:hAnsi="Times New Roman" w:cs="Times New Roman"/>
          <w:lang w:val="en-US"/>
        </w:rPr>
        <w:t>Novocastra</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Microsystem</w:t>
      </w:r>
      <w:proofErr w:type="spellEnd"/>
      <w:r w:rsidRPr="007632FC">
        <w:rPr>
          <w:rFonts w:ascii="Times New Roman" w:hAnsi="Times New Roman" w:cs="Times New Roman"/>
          <w:lang w:val="en-US"/>
        </w:rPr>
        <w:t xml:space="preserve">, </w:t>
      </w:r>
      <w:r w:rsidRPr="007632FC">
        <w:rPr>
          <w:rStyle w:val="locality"/>
          <w:rFonts w:ascii="Times New Roman" w:hAnsi="Times New Roman" w:cs="Times New Roman"/>
          <w:lang w:val="en-US"/>
        </w:rPr>
        <w:t>Buffalo Grove</w:t>
      </w:r>
      <w:r w:rsidRPr="007632FC">
        <w:rPr>
          <w:rFonts w:ascii="Times New Roman" w:hAnsi="Times New Roman" w:cs="Times New Roman"/>
          <w:lang w:val="en-US"/>
        </w:rPr>
        <w:t xml:space="preserve">, </w:t>
      </w:r>
      <w:r w:rsidRPr="007632FC">
        <w:rPr>
          <w:rStyle w:val="postal-code"/>
          <w:rFonts w:ascii="Times New Roman" w:hAnsi="Times New Roman" w:cs="Times New Roman"/>
          <w:lang w:val="en-US"/>
        </w:rPr>
        <w:t>IL, USA</w:t>
      </w:r>
      <w:r w:rsidRPr="007632FC">
        <w:rPr>
          <w:rFonts w:ascii="Times New Roman" w:hAnsi="Times New Roman" w:cs="Times New Roman"/>
          <w:lang w:val="en-US"/>
        </w:rPr>
        <w:t xml:space="preserve">) in a PT Link </w:t>
      </w:r>
      <w:proofErr w:type="spellStart"/>
      <w:r w:rsidRPr="007632FC">
        <w:rPr>
          <w:rFonts w:ascii="Times New Roman" w:hAnsi="Times New Roman" w:cs="Times New Roman"/>
          <w:lang w:val="en-US"/>
        </w:rPr>
        <w:t>Dako</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Dako</w:t>
      </w:r>
      <w:proofErr w:type="spellEnd"/>
      <w:r w:rsidRPr="007632FC">
        <w:rPr>
          <w:rFonts w:ascii="Times New Roman" w:hAnsi="Times New Roman" w:cs="Times New Roman"/>
          <w:lang w:val="en-US"/>
        </w:rPr>
        <w:t xml:space="preserve">, Agilent, Santa Clara, CA, USA) unit at 98°C for 30 min. Sections were then brought to room temperature and washed in PBS. After neutralization of endogenous </w:t>
      </w:r>
      <w:proofErr w:type="spellStart"/>
      <w:r w:rsidRPr="007632FC">
        <w:rPr>
          <w:rFonts w:ascii="Times New Roman" w:hAnsi="Times New Roman" w:cs="Times New Roman"/>
          <w:lang w:val="en-US"/>
        </w:rPr>
        <w:t>peroxidase</w:t>
      </w:r>
      <w:proofErr w:type="spellEnd"/>
      <w:r w:rsidRPr="007632FC">
        <w:rPr>
          <w:rFonts w:ascii="Times New Roman" w:hAnsi="Times New Roman" w:cs="Times New Roman"/>
          <w:lang w:val="en-US"/>
        </w:rPr>
        <w:t xml:space="preserve"> with 3% H</w:t>
      </w:r>
      <w:r w:rsidRPr="007632FC">
        <w:rPr>
          <w:rFonts w:ascii="Times New Roman" w:hAnsi="Times New Roman" w:cs="Times New Roman"/>
          <w:vertAlign w:val="subscript"/>
          <w:lang w:val="en-US"/>
        </w:rPr>
        <w:t>2</w:t>
      </w:r>
      <w:r w:rsidRPr="007632FC">
        <w:rPr>
          <w:rFonts w:ascii="Times New Roman" w:hAnsi="Times New Roman" w:cs="Times New Roman"/>
          <w:lang w:val="en-US"/>
        </w:rPr>
        <w:t>O</w:t>
      </w:r>
      <w:r w:rsidRPr="007632FC">
        <w:rPr>
          <w:rFonts w:ascii="Times New Roman" w:hAnsi="Times New Roman" w:cs="Times New Roman"/>
          <w:vertAlign w:val="subscript"/>
          <w:lang w:val="en-US"/>
        </w:rPr>
        <w:t>2</w:t>
      </w:r>
      <w:r w:rsidRPr="007632FC">
        <w:rPr>
          <w:rFonts w:ascii="Times New Roman" w:hAnsi="Times New Roman" w:cs="Times New Roman"/>
          <w:lang w:val="en-US"/>
        </w:rPr>
        <w:t xml:space="preserve"> and </w:t>
      </w:r>
      <w:proofErr w:type="spellStart"/>
      <w:r w:rsidRPr="007632FC">
        <w:rPr>
          <w:rFonts w:ascii="Times New Roman" w:hAnsi="Times New Roman" w:cs="Times New Roman"/>
          <w:lang w:val="en-US"/>
        </w:rPr>
        <w:t>Fc</w:t>
      </w:r>
      <w:proofErr w:type="spellEnd"/>
      <w:r w:rsidRPr="007632FC">
        <w:rPr>
          <w:rFonts w:ascii="Times New Roman" w:hAnsi="Times New Roman" w:cs="Times New Roman"/>
          <w:lang w:val="en-US"/>
        </w:rPr>
        <w:t xml:space="preserve"> blocking by a specific protein (</w:t>
      </w:r>
      <w:proofErr w:type="spellStart"/>
      <w:r w:rsidRPr="007632FC">
        <w:rPr>
          <w:rFonts w:ascii="Times New Roman" w:hAnsi="Times New Roman" w:cs="Times New Roman"/>
          <w:lang w:val="en-US"/>
        </w:rPr>
        <w:t>Novocastra</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Microsystem</w:t>
      </w:r>
      <w:proofErr w:type="spellEnd"/>
      <w:r w:rsidRPr="007632FC">
        <w:rPr>
          <w:rFonts w:ascii="Times New Roman" w:hAnsi="Times New Roman" w:cs="Times New Roman"/>
          <w:lang w:val="en-US"/>
        </w:rPr>
        <w:t xml:space="preserve">), samples were incubated with polyclonal rabbit anti-mouse </w:t>
      </w:r>
      <w:proofErr w:type="spellStart"/>
      <w:r w:rsidRPr="007632FC">
        <w:rPr>
          <w:rFonts w:ascii="Times New Roman" w:hAnsi="Times New Roman" w:cs="Times New Roman"/>
          <w:lang w:val="en-US"/>
        </w:rPr>
        <w:t>arginase</w:t>
      </w:r>
      <w:proofErr w:type="spellEnd"/>
      <w:r w:rsidRPr="007632FC">
        <w:rPr>
          <w:rFonts w:ascii="Times New Roman" w:hAnsi="Times New Roman" w:cs="Times New Roman"/>
          <w:lang w:val="en-US"/>
        </w:rPr>
        <w:t xml:space="preserve"> antibody for 1 hr at room temperature. Staining was revealed by a polymer detection kit (</w:t>
      </w:r>
      <w:proofErr w:type="spellStart"/>
      <w:r w:rsidRPr="007632FC">
        <w:rPr>
          <w:rFonts w:ascii="Times New Roman" w:hAnsi="Times New Roman" w:cs="Times New Roman"/>
          <w:lang w:val="en-US"/>
        </w:rPr>
        <w:t>Novocastra</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Microsystem</w:t>
      </w:r>
      <w:proofErr w:type="spellEnd"/>
      <w:r w:rsidRPr="007632FC">
        <w:rPr>
          <w:rFonts w:ascii="Times New Roman" w:hAnsi="Times New Roman" w:cs="Times New Roman"/>
          <w:lang w:val="en-US"/>
        </w:rPr>
        <w:t xml:space="preserve">) and AEC (3-amino-9-ethylcarbazole, </w:t>
      </w:r>
      <w:proofErr w:type="spellStart"/>
      <w:r w:rsidRPr="007632FC">
        <w:rPr>
          <w:rFonts w:ascii="Times New Roman" w:hAnsi="Times New Roman" w:cs="Times New Roman"/>
          <w:lang w:val="en-US"/>
        </w:rPr>
        <w:t>Dako</w:t>
      </w:r>
      <w:proofErr w:type="spellEnd"/>
      <w:r w:rsidRPr="007632FC">
        <w:rPr>
          <w:rFonts w:ascii="Times New Roman" w:hAnsi="Times New Roman" w:cs="Times New Roman"/>
          <w:lang w:val="en-US"/>
        </w:rPr>
        <w:t>, Agilent) substrate-</w:t>
      </w:r>
      <w:proofErr w:type="spellStart"/>
      <w:r w:rsidRPr="007632FC">
        <w:rPr>
          <w:rFonts w:ascii="Times New Roman" w:hAnsi="Times New Roman" w:cs="Times New Roman"/>
          <w:lang w:val="en-US"/>
        </w:rPr>
        <w:t>chromogen</w:t>
      </w:r>
      <w:proofErr w:type="spellEnd"/>
      <w:r w:rsidRPr="007632FC">
        <w:rPr>
          <w:rFonts w:ascii="Times New Roman" w:hAnsi="Times New Roman" w:cs="Times New Roman"/>
          <w:lang w:val="en-US"/>
        </w:rPr>
        <w:t xml:space="preserve">. Slides were counterstained with Harris </w:t>
      </w:r>
      <w:proofErr w:type="spellStart"/>
      <w:r w:rsidRPr="007632FC">
        <w:rPr>
          <w:rFonts w:ascii="Times New Roman" w:hAnsi="Times New Roman" w:cs="Times New Roman"/>
          <w:lang w:val="en-US"/>
        </w:rPr>
        <w:t>hematoxylin</w:t>
      </w:r>
      <w:proofErr w:type="spellEnd"/>
      <w:r w:rsidRPr="007632FC">
        <w:rPr>
          <w:rFonts w:ascii="Times New Roman" w:hAnsi="Times New Roman" w:cs="Times New Roman"/>
          <w:lang w:val="en-US"/>
        </w:rPr>
        <w:t xml:space="preserve"> (</w:t>
      </w:r>
      <w:proofErr w:type="spellStart"/>
      <w:r w:rsidRPr="007632FC">
        <w:rPr>
          <w:rFonts w:ascii="Times New Roman" w:hAnsi="Times New Roman" w:cs="Times New Roman"/>
          <w:lang w:val="en-US"/>
        </w:rPr>
        <w:t>Diapath</w:t>
      </w:r>
      <w:proofErr w:type="spellEnd"/>
      <w:r w:rsidRPr="007632FC">
        <w:rPr>
          <w:rFonts w:ascii="Times New Roman" w:hAnsi="Times New Roman" w:cs="Times New Roman"/>
          <w:lang w:val="en-US"/>
        </w:rPr>
        <w:t xml:space="preserve">). Sections were analyzed under a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DM2000 optical microscope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Microsystems) and microphotographs were collected using a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DFC320 digital camera (</w:t>
      </w:r>
      <w:proofErr w:type="spellStart"/>
      <w:r w:rsidRPr="007632FC">
        <w:rPr>
          <w:rFonts w:ascii="Times New Roman" w:hAnsi="Times New Roman" w:cs="Times New Roman"/>
          <w:lang w:val="en-US"/>
        </w:rPr>
        <w:t>Leica</w:t>
      </w:r>
      <w:proofErr w:type="spellEnd"/>
      <w:r w:rsidRPr="007632FC">
        <w:rPr>
          <w:rFonts w:ascii="Times New Roman" w:hAnsi="Times New Roman" w:cs="Times New Roman"/>
          <w:lang w:val="en-US"/>
        </w:rPr>
        <w:t xml:space="preserve"> Microsystems). </w:t>
      </w:r>
      <w:proofErr w:type="spellStart"/>
      <w:r w:rsidRPr="007632FC">
        <w:rPr>
          <w:rFonts w:ascii="Times New Roman" w:hAnsi="Times New Roman" w:cs="Times New Roman"/>
          <w:lang w:val="en-US"/>
        </w:rPr>
        <w:t>ArgI</w:t>
      </w:r>
      <w:proofErr w:type="spellEnd"/>
      <w:r w:rsidRPr="007632FC">
        <w:rPr>
          <w:rFonts w:ascii="Times New Roman" w:hAnsi="Times New Roman" w:cs="Times New Roman"/>
          <w:vertAlign w:val="superscript"/>
          <w:lang w:val="en-US"/>
        </w:rPr>
        <w:t>+</w:t>
      </w:r>
      <w:r w:rsidRPr="007632FC">
        <w:rPr>
          <w:rFonts w:ascii="Times New Roman" w:hAnsi="Times New Roman" w:cs="Times New Roman"/>
          <w:lang w:val="en-US"/>
        </w:rPr>
        <w:t xml:space="preserve"> cells quantification was performed as previously described </w:t>
      </w:r>
      <w:r w:rsidR="00923F05" w:rsidRPr="007632FC">
        <w:rPr>
          <w:rFonts w:ascii="Times New Roman" w:hAnsi="Times New Roman" w:cs="Times New Roman"/>
          <w:lang w:val="en-US"/>
        </w:rPr>
        <w:fldChar w:fldCharType="begin" w:fldLock="1"/>
      </w:r>
      <w:r w:rsidR="009F41A5">
        <w:rPr>
          <w:rFonts w:ascii="Times New Roman" w:hAnsi="Times New Roman" w:cs="Times New Roman"/>
          <w:lang w:val="en-US"/>
        </w:rPr>
        <w:instrText>ADDIN CSL_CITATION { "citationItems" : [ { "id" : "ITEM-1", "itemData" : { "DOI" : "10.1080/2162402X.2015.1040214", "ISSN" : "2162-4011", "PMID" : "26451303", "abstract" : "The immunostimulatory ability of synthetic oligonucleotides containing CpG motifs (CpG-ODN), agonists of Toll-like receptor 9 (TLR9), can be harnessed to promote antitumor immunity by their application at the tumor site to stimulate local activation of innate immunity; however, particularly in the lung, tumor-associated immunosuppression can subvert such antitumor innate immune responses. To locally maintain continuous activation of innate subpopulations while inhibiting immunosuppressive cells, we evaluated aerosol delivery CpG-ODN combined with Poly(I:C), a TLR3 agonist able to convert tumor-supporting macrophages to tumoricidal effectors, in the treatment of B16 melanoma lung metastases in C57BL/6 mice. Aerosolization of CpG-ODN with Poly(I:C) into the bronchoalveolar space reduced the presence of M2-associated arginase- and IL-10-secreting macrophages in tumor-bearing lungs and increased the antitumor activity of aerosolized CpG-ODN alone against B16 lung metastases without apparent signs of toxicity or injury of the bronchial-bronchiolar structures and alveolar walls. Moreover, CpG-ODN/Poly(I:C) aerosol combined with dacarbazine, a therapeutic agent used in patients with inoperable metastatic melanoma able to exert immunostimulatory effects, led to a significant increase in antitumor activity as compared to treatments with aerosolized CpG-ODN/Poly(I:C) or dacarbazine alone. This effect was related to an enhanced recruitment and cytotoxic activity of tumor-infiltrating NK cells in the lung. Our results point to aerosol delivery as a convenient approach for repeated applications of immunostimulants in patients with lung metastases to maintain a continuous local activation of innate immune cells while suppressing polarization of tumor-infiltrating macrophages to an M2 phenotype.", "author" : [ { "dropping-particle" : "", "family" : "Noci", "given" : "Valentino", "non-dropping-particle" : "Le", "parse-names" : false, "suffix" : "" }, { "dropping-particle" : "", "family" : "Tortoreto", "given" : "Monica", "non-dropping-particle" : "", "parse-names" : false, "suffix" : "" }, { "dropping-particle" : "", "family" : "Gulino", "given" : "Alessandro", "non-dropping-particle" : "", "parse-names" : false, "suffix" : "" }, { "dropping-particle" : "", "family" : "Storti", "given" : "Chiara", "non-dropping-particle" : "", "parse-names" : false, "suffix" : "" }, { "dropping-particle" : "", "family" : "Bianchi", "given" : "Francesca", "non-dropping-particle" : "", "parse-names" : false, "suffix" : "" }, { "dropping-particle" : "", "family" : "Zaffaroni", "given" : "Nadia", "non-dropping-particle" : "", "parse-names" : false, "suffix" : "" }, { "dropping-particle" : "", "family" : "Tripodo", "given" : "Claudio", "non-dropping-particle" : "", "parse-names" : false, "suffix" : "" }, { "dropping-particle" : "", "family" : "Tagliabue", "given" : "Elda", "non-dropping-particle" : "", "parse-names" : false, "suffix" : "" }, { "dropping-particle" : "", "family" : "Balsari", "given" : "Andrea", "non-dropping-particle" : "", "parse-names" : false, "suffix" : "" }, { "dropping-particle" : "", "family" : "Sfondrini", "given" : "Lucia", "non-dropping-particle" : "", "parse-names" : false, "suffix" : "" } ], "container-title" : "Oncoimmunology", "id" : "ITEM-1", "issue" : "10", "issued" : { "date-parts" : [ [ "2015", "10", "3" ] ] }, "page" : "e1040214", "title" : "Poly(I:C) and CpG-ODN combined aerosolization to treat lung metastases and counter the immunosuppressive microenvironment.", "type" : "article-journal", "volume" : "4" }, "uris" : [ "http://www.mendeley.com/documents/?uuid=6ee650b6-12b5-3ac8-afe5-5ae11b0a9308" ] } ], "mendeley" : { "formattedCitation" : "(9)", "plainTextFormattedCitation" : "(9)", "previouslyFormattedCitation" : "(9)" }, "properties" : {  }, "schema" : "https://github.com/citation-style-language/schema/raw/master/csl-citation.json" }</w:instrText>
      </w:r>
      <w:r w:rsidR="00923F05" w:rsidRPr="007632FC">
        <w:rPr>
          <w:rFonts w:ascii="Times New Roman" w:hAnsi="Times New Roman" w:cs="Times New Roman"/>
          <w:lang w:val="en-US"/>
        </w:rPr>
        <w:fldChar w:fldCharType="separate"/>
      </w:r>
      <w:r w:rsidR="009F41A5" w:rsidRPr="009F41A5">
        <w:rPr>
          <w:rFonts w:ascii="Times New Roman" w:hAnsi="Times New Roman" w:cs="Times New Roman"/>
          <w:noProof/>
          <w:lang w:val="en-US"/>
        </w:rPr>
        <w:t>(</w:t>
      </w:r>
      <w:r w:rsidR="00B64464" w:rsidRPr="00B81F97">
        <w:rPr>
          <w:rFonts w:ascii="Times New Roman" w:hAnsi="Times New Roman" w:cs="Times New Roman"/>
          <w:noProof/>
          <w:highlight w:val="yellow"/>
          <w:lang w:val="en-US"/>
        </w:rPr>
        <w:t>8</w:t>
      </w:r>
      <w:r w:rsidR="009F41A5" w:rsidRPr="00B81F97">
        <w:rPr>
          <w:rFonts w:ascii="Times New Roman" w:hAnsi="Times New Roman" w:cs="Times New Roman"/>
          <w:noProof/>
          <w:highlight w:val="yellow"/>
          <w:lang w:val="en-US"/>
        </w:rPr>
        <w:t>)</w:t>
      </w:r>
      <w:r w:rsidR="00923F05" w:rsidRPr="007632FC">
        <w:rPr>
          <w:rFonts w:ascii="Times New Roman" w:hAnsi="Times New Roman" w:cs="Times New Roman"/>
          <w:lang w:val="en-US"/>
        </w:rPr>
        <w:fldChar w:fldCharType="end"/>
      </w:r>
      <w:r w:rsidRPr="007632FC">
        <w:rPr>
          <w:rFonts w:ascii="Times New Roman" w:hAnsi="Times New Roman" w:cs="Times New Roman"/>
          <w:lang w:val="en-US"/>
        </w:rPr>
        <w:t>.</w:t>
      </w:r>
    </w:p>
    <w:p w:rsidR="00205B0B" w:rsidRPr="007632FC" w:rsidRDefault="00205B0B" w:rsidP="007632FC">
      <w:pPr>
        <w:autoSpaceDE w:val="0"/>
        <w:autoSpaceDN w:val="0"/>
        <w:adjustRightInd w:val="0"/>
        <w:spacing w:after="0" w:line="480" w:lineRule="auto"/>
        <w:jc w:val="both"/>
        <w:rPr>
          <w:rFonts w:ascii="Times New Roman" w:hAnsi="Times New Roman" w:cs="Times New Roman"/>
          <w:sz w:val="24"/>
          <w:szCs w:val="24"/>
          <w:u w:val="single"/>
          <w:lang w:val="en-US"/>
        </w:rPr>
      </w:pPr>
      <w:proofErr w:type="spellStart"/>
      <w:r w:rsidRPr="007632FC">
        <w:rPr>
          <w:rFonts w:ascii="Times New Roman" w:hAnsi="Times New Roman" w:cs="Times New Roman"/>
          <w:b/>
          <w:sz w:val="24"/>
          <w:szCs w:val="24"/>
          <w:u w:val="single"/>
          <w:lang w:val="en-US"/>
        </w:rPr>
        <w:t>Immunohistochemistry</w:t>
      </w:r>
      <w:proofErr w:type="spellEnd"/>
      <w:r w:rsidRPr="007632FC">
        <w:rPr>
          <w:rFonts w:ascii="Times New Roman" w:hAnsi="Times New Roman" w:cs="Times New Roman"/>
          <w:b/>
          <w:sz w:val="24"/>
          <w:szCs w:val="24"/>
          <w:u w:val="single"/>
          <w:lang w:val="en-US"/>
        </w:rPr>
        <w:t xml:space="preserve"> for human samples and PDXs</w:t>
      </w:r>
    </w:p>
    <w:p w:rsidR="00205B0B" w:rsidRPr="007632FC" w:rsidRDefault="00205B0B" w:rsidP="007632FC">
      <w:pPr>
        <w:pStyle w:val="PhDnormal"/>
        <w:ind w:right="-99"/>
        <w:rPr>
          <w:rFonts w:ascii="Times New Roman" w:eastAsia="Arial Unicode MS" w:hAnsi="Times New Roman"/>
        </w:rPr>
      </w:pPr>
      <w:proofErr w:type="spellStart"/>
      <w:r w:rsidRPr="007632FC">
        <w:rPr>
          <w:rStyle w:val="apple-converted-space"/>
          <w:rFonts w:ascii="Times New Roman" w:hAnsi="Times New Roman"/>
        </w:rPr>
        <w:t>Immunohistochemistry</w:t>
      </w:r>
      <w:proofErr w:type="spellEnd"/>
      <w:r w:rsidRPr="007632FC">
        <w:rPr>
          <w:rStyle w:val="apple-converted-space"/>
          <w:rFonts w:ascii="Times New Roman" w:hAnsi="Times New Roman"/>
        </w:rPr>
        <w:t xml:space="preserve"> was carried out on FFPE human or patient-derived </w:t>
      </w:r>
      <w:proofErr w:type="spellStart"/>
      <w:r w:rsidRPr="007632FC">
        <w:rPr>
          <w:rStyle w:val="apple-converted-space"/>
          <w:rFonts w:ascii="Times New Roman" w:hAnsi="Times New Roman"/>
        </w:rPr>
        <w:t>xenograft</w:t>
      </w:r>
      <w:proofErr w:type="spellEnd"/>
      <w:r w:rsidRPr="007632FC">
        <w:rPr>
          <w:rStyle w:val="apple-converted-space"/>
          <w:rFonts w:ascii="Times New Roman" w:hAnsi="Times New Roman"/>
        </w:rPr>
        <w:t xml:space="preserve"> (PDX) tissue sections. </w:t>
      </w:r>
      <w:r w:rsidRPr="007632FC">
        <w:rPr>
          <w:rFonts w:ascii="Times New Roman" w:hAnsi="Times New Roman"/>
          <w:color w:val="000000" w:themeColor="text1"/>
        </w:rPr>
        <w:t xml:space="preserve">Briefly, sections 2.5/3 micron-thick </w:t>
      </w:r>
      <w:r w:rsidRPr="007632FC">
        <w:rPr>
          <w:rFonts w:ascii="Times New Roman" w:hAnsi="Times New Roman"/>
          <w:color w:val="000000"/>
        </w:rPr>
        <w:t>were cut from paraffin blocks, dried, de-waxed and rehydrated.</w:t>
      </w:r>
      <w:r w:rsidRPr="007632FC">
        <w:rPr>
          <w:rFonts w:ascii="Times New Roman" w:eastAsia="Arial Unicode MS" w:hAnsi="Times New Roman"/>
        </w:rPr>
        <w:t xml:space="preserve"> The antigen unmasking technique was performed using Target Retrieval Solutions pH6 and pH 9 in a PT Link </w:t>
      </w:r>
      <w:proofErr w:type="spellStart"/>
      <w:r w:rsidRPr="007632FC">
        <w:rPr>
          <w:rFonts w:ascii="Times New Roman" w:eastAsia="Arial Unicode MS" w:hAnsi="Times New Roman"/>
        </w:rPr>
        <w:t>Dako</w:t>
      </w:r>
      <w:proofErr w:type="spellEnd"/>
      <w:r w:rsidRPr="007632FC">
        <w:rPr>
          <w:rFonts w:ascii="Times New Roman" w:eastAsia="Arial Unicode MS" w:hAnsi="Times New Roman"/>
        </w:rPr>
        <w:t xml:space="preserve"> pre-treatment module at 98°C for 30 minutes.</w:t>
      </w:r>
      <w:r w:rsidRPr="007632FC">
        <w:rPr>
          <w:rFonts w:ascii="Times New Roman" w:hAnsi="Times New Roman"/>
        </w:rPr>
        <w:t xml:space="preserve"> </w:t>
      </w:r>
      <w:r w:rsidRPr="007632FC">
        <w:rPr>
          <w:rFonts w:ascii="Times New Roman" w:eastAsia="Arial Unicode MS" w:hAnsi="Times New Roman"/>
        </w:rPr>
        <w:t xml:space="preserve">Subsequently, the sections were brought to room temperature and washed in PBS. After neutralization of the endogenous </w:t>
      </w:r>
      <w:proofErr w:type="spellStart"/>
      <w:r w:rsidRPr="007632FC">
        <w:rPr>
          <w:rFonts w:ascii="Times New Roman" w:eastAsia="Arial Unicode MS" w:hAnsi="Times New Roman"/>
        </w:rPr>
        <w:t>peroxidase</w:t>
      </w:r>
      <w:proofErr w:type="spellEnd"/>
      <w:r w:rsidRPr="007632FC">
        <w:rPr>
          <w:rFonts w:ascii="Times New Roman" w:eastAsia="Arial Unicode MS" w:hAnsi="Times New Roman"/>
        </w:rPr>
        <w:t xml:space="preserve"> with 3% H</w:t>
      </w:r>
      <w:r w:rsidRPr="007632FC">
        <w:rPr>
          <w:rFonts w:ascii="Times New Roman" w:eastAsia="Arial Unicode MS" w:hAnsi="Times New Roman"/>
          <w:vertAlign w:val="subscript"/>
        </w:rPr>
        <w:t>2</w:t>
      </w:r>
      <w:r w:rsidRPr="007632FC">
        <w:rPr>
          <w:rFonts w:ascii="Times New Roman" w:eastAsia="Arial Unicode MS" w:hAnsi="Times New Roman"/>
        </w:rPr>
        <w:t>O</w:t>
      </w:r>
      <w:r w:rsidRPr="007632FC">
        <w:rPr>
          <w:rFonts w:ascii="Times New Roman" w:eastAsia="Arial Unicode MS" w:hAnsi="Times New Roman"/>
          <w:vertAlign w:val="subscript"/>
        </w:rPr>
        <w:t>2</w:t>
      </w:r>
      <w:r w:rsidRPr="007632FC">
        <w:rPr>
          <w:rFonts w:ascii="Times New Roman" w:eastAsia="Arial Unicode MS" w:hAnsi="Times New Roman"/>
        </w:rPr>
        <w:t xml:space="preserve"> and </w:t>
      </w:r>
      <w:proofErr w:type="spellStart"/>
      <w:r w:rsidRPr="007632FC">
        <w:rPr>
          <w:rFonts w:ascii="Times New Roman" w:eastAsia="Arial Unicode MS" w:hAnsi="Times New Roman"/>
        </w:rPr>
        <w:t>Fc</w:t>
      </w:r>
      <w:proofErr w:type="spellEnd"/>
      <w:r w:rsidRPr="007632FC">
        <w:rPr>
          <w:rFonts w:ascii="Times New Roman" w:eastAsia="Arial Unicode MS" w:hAnsi="Times New Roman"/>
        </w:rPr>
        <w:t xml:space="preserve"> blocking by a specific protein block (</w:t>
      </w:r>
      <w:proofErr w:type="spellStart"/>
      <w:r w:rsidRPr="007632FC">
        <w:rPr>
          <w:rFonts w:ascii="Times New Roman" w:eastAsia="Arial Unicode MS" w:hAnsi="Times New Roman"/>
        </w:rPr>
        <w:t>Novocastra</w:t>
      </w:r>
      <w:proofErr w:type="spellEnd"/>
      <w:r w:rsidRPr="007632FC">
        <w:rPr>
          <w:rFonts w:ascii="Times New Roman" w:eastAsia="Arial Unicode MS" w:hAnsi="Times New Roman"/>
        </w:rPr>
        <w:t xml:space="preserve"> UK), the samples were incubated with primary antibodies. </w:t>
      </w:r>
    </w:p>
    <w:p w:rsidR="00205B0B" w:rsidRPr="007632FC" w:rsidRDefault="00205B0B" w:rsidP="007632FC">
      <w:pPr>
        <w:pStyle w:val="PhDnormal"/>
        <w:ind w:right="-99"/>
        <w:rPr>
          <w:rFonts w:ascii="Times New Roman" w:eastAsia="Arial Unicode MS" w:hAnsi="Times New Roman"/>
        </w:rPr>
      </w:pPr>
      <w:r w:rsidRPr="007632FC">
        <w:rPr>
          <w:rFonts w:ascii="Times New Roman" w:eastAsia="Arial Unicode MS" w:hAnsi="Times New Roman"/>
        </w:rPr>
        <w:t xml:space="preserve">The following primary antibodies were adopted for IHC: CD163 (clone 10D6 </w:t>
      </w:r>
      <w:proofErr w:type="spellStart"/>
      <w:r w:rsidRPr="007632FC">
        <w:rPr>
          <w:rFonts w:ascii="Times New Roman" w:eastAsia="Arial Unicode MS" w:hAnsi="Times New Roman"/>
        </w:rPr>
        <w:t>Leica</w:t>
      </w:r>
      <w:proofErr w:type="spellEnd"/>
      <w:r w:rsidRPr="007632FC">
        <w:rPr>
          <w:rFonts w:ascii="Times New Roman" w:eastAsia="Arial Unicode MS" w:hAnsi="Times New Roman"/>
        </w:rPr>
        <w:t xml:space="preserve"> </w:t>
      </w:r>
      <w:proofErr w:type="spellStart"/>
      <w:r w:rsidRPr="007632FC">
        <w:rPr>
          <w:rFonts w:ascii="Times New Roman" w:eastAsia="Arial Unicode MS" w:hAnsi="Times New Roman"/>
        </w:rPr>
        <w:t>Biosystems</w:t>
      </w:r>
      <w:proofErr w:type="spellEnd"/>
      <w:r w:rsidRPr="007632FC">
        <w:rPr>
          <w:rFonts w:ascii="Times New Roman" w:eastAsia="Arial Unicode MS" w:hAnsi="Times New Roman"/>
        </w:rPr>
        <w:t xml:space="preserve">, 1:100, pH6); CD33 (clone PWS44 </w:t>
      </w:r>
      <w:proofErr w:type="spellStart"/>
      <w:r w:rsidRPr="007632FC">
        <w:rPr>
          <w:rFonts w:ascii="Times New Roman" w:eastAsia="Arial Unicode MS" w:hAnsi="Times New Roman"/>
        </w:rPr>
        <w:t>Leica</w:t>
      </w:r>
      <w:proofErr w:type="spellEnd"/>
      <w:r w:rsidRPr="007632FC">
        <w:rPr>
          <w:rFonts w:ascii="Times New Roman" w:eastAsia="Arial Unicode MS" w:hAnsi="Times New Roman"/>
        </w:rPr>
        <w:t xml:space="preserve"> </w:t>
      </w:r>
      <w:proofErr w:type="spellStart"/>
      <w:r w:rsidRPr="007632FC">
        <w:rPr>
          <w:rFonts w:ascii="Times New Roman" w:eastAsia="Arial Unicode MS" w:hAnsi="Times New Roman"/>
        </w:rPr>
        <w:t>Biosystems</w:t>
      </w:r>
      <w:proofErr w:type="spellEnd"/>
      <w:r w:rsidRPr="007632FC">
        <w:rPr>
          <w:rFonts w:ascii="Times New Roman" w:eastAsia="Arial Unicode MS" w:hAnsi="Times New Roman"/>
        </w:rPr>
        <w:t xml:space="preserve">, 1:100, pH9); CD123 (clone BR4MS </w:t>
      </w:r>
      <w:proofErr w:type="spellStart"/>
      <w:r w:rsidRPr="007632FC">
        <w:rPr>
          <w:rFonts w:ascii="Times New Roman" w:eastAsia="Arial Unicode MS" w:hAnsi="Times New Roman"/>
        </w:rPr>
        <w:t>Leica</w:t>
      </w:r>
      <w:proofErr w:type="spellEnd"/>
      <w:r w:rsidRPr="007632FC">
        <w:rPr>
          <w:rFonts w:ascii="Times New Roman" w:eastAsia="Arial Unicode MS" w:hAnsi="Times New Roman"/>
        </w:rPr>
        <w:t xml:space="preserve"> </w:t>
      </w:r>
      <w:proofErr w:type="spellStart"/>
      <w:r w:rsidRPr="007632FC">
        <w:rPr>
          <w:rFonts w:ascii="Times New Roman" w:eastAsia="Arial Unicode MS" w:hAnsi="Times New Roman"/>
        </w:rPr>
        <w:t>Biosystems</w:t>
      </w:r>
      <w:proofErr w:type="spellEnd"/>
      <w:r w:rsidRPr="007632FC">
        <w:rPr>
          <w:rFonts w:ascii="Times New Roman" w:eastAsia="Arial Unicode MS" w:hAnsi="Times New Roman"/>
        </w:rPr>
        <w:t xml:space="preserve">, 1:100, pH9); CD138 (clone 5F7 </w:t>
      </w:r>
      <w:proofErr w:type="spellStart"/>
      <w:r w:rsidRPr="007632FC">
        <w:rPr>
          <w:rFonts w:ascii="Times New Roman" w:eastAsia="Arial Unicode MS" w:hAnsi="Times New Roman"/>
        </w:rPr>
        <w:t>Leica</w:t>
      </w:r>
      <w:proofErr w:type="spellEnd"/>
      <w:r w:rsidRPr="007632FC">
        <w:rPr>
          <w:rFonts w:ascii="Times New Roman" w:eastAsia="Arial Unicode MS" w:hAnsi="Times New Roman"/>
        </w:rPr>
        <w:t xml:space="preserve"> </w:t>
      </w:r>
      <w:proofErr w:type="spellStart"/>
      <w:r w:rsidRPr="007632FC">
        <w:rPr>
          <w:rFonts w:ascii="Times New Roman" w:eastAsia="Arial Unicode MS" w:hAnsi="Times New Roman"/>
        </w:rPr>
        <w:t>Biosystems</w:t>
      </w:r>
      <w:proofErr w:type="spellEnd"/>
      <w:r w:rsidRPr="007632FC">
        <w:rPr>
          <w:rFonts w:ascii="Times New Roman" w:eastAsia="Arial Unicode MS" w:hAnsi="Times New Roman"/>
        </w:rPr>
        <w:t>, 1:50, pH9); Arginase-A1 (</w:t>
      </w:r>
      <w:proofErr w:type="spellStart"/>
      <w:r w:rsidRPr="007632FC">
        <w:rPr>
          <w:rFonts w:ascii="Times New Roman" w:eastAsia="Arial Unicode MS" w:hAnsi="Times New Roman"/>
        </w:rPr>
        <w:t>Genetex</w:t>
      </w:r>
      <w:proofErr w:type="spellEnd"/>
      <w:r w:rsidRPr="007632FC">
        <w:rPr>
          <w:rFonts w:ascii="Times New Roman" w:eastAsia="Arial Unicode MS" w:hAnsi="Times New Roman"/>
        </w:rPr>
        <w:t xml:space="preserve">, 1:200, pH9); </w:t>
      </w:r>
      <w:proofErr w:type="spellStart"/>
      <w:r w:rsidRPr="007632FC">
        <w:rPr>
          <w:rFonts w:ascii="Times New Roman" w:eastAsia="Arial Unicode MS" w:hAnsi="Times New Roman"/>
        </w:rPr>
        <w:t>Myeloperoxidase</w:t>
      </w:r>
      <w:proofErr w:type="spellEnd"/>
      <w:r w:rsidRPr="007632FC">
        <w:rPr>
          <w:rFonts w:ascii="Times New Roman" w:eastAsia="Arial Unicode MS" w:hAnsi="Times New Roman"/>
        </w:rPr>
        <w:t xml:space="preserve"> (Cell Marque, 1:200, pH6) and F4/80 (clone CI:A3-1 </w:t>
      </w:r>
      <w:proofErr w:type="spellStart"/>
      <w:r w:rsidRPr="007632FC">
        <w:rPr>
          <w:rFonts w:ascii="Times New Roman" w:eastAsia="Arial Unicode MS" w:hAnsi="Times New Roman"/>
        </w:rPr>
        <w:t>Abd</w:t>
      </w:r>
      <w:proofErr w:type="spellEnd"/>
      <w:r w:rsidRPr="007632FC">
        <w:rPr>
          <w:rFonts w:ascii="Times New Roman" w:eastAsia="Arial Unicode MS" w:hAnsi="Times New Roman"/>
        </w:rPr>
        <w:t xml:space="preserve"> </w:t>
      </w:r>
      <w:proofErr w:type="spellStart"/>
      <w:r w:rsidRPr="007632FC">
        <w:rPr>
          <w:rFonts w:ascii="Times New Roman" w:eastAsia="Arial Unicode MS" w:hAnsi="Times New Roman"/>
        </w:rPr>
        <w:t>Serotec</w:t>
      </w:r>
      <w:proofErr w:type="spellEnd"/>
      <w:r w:rsidRPr="007632FC">
        <w:rPr>
          <w:rFonts w:ascii="Times New Roman" w:eastAsia="Arial Unicode MS" w:hAnsi="Times New Roman"/>
        </w:rPr>
        <w:t xml:space="preserve">, 1:200, pH6). Staining was revealed using </w:t>
      </w:r>
      <w:proofErr w:type="spellStart"/>
      <w:r w:rsidRPr="007632FC">
        <w:rPr>
          <w:rFonts w:ascii="Times New Roman" w:eastAsia="Arial Unicode MS" w:hAnsi="Times New Roman"/>
        </w:rPr>
        <w:t>Novolink</w:t>
      </w:r>
      <w:proofErr w:type="spellEnd"/>
      <w:r w:rsidRPr="007632FC">
        <w:rPr>
          <w:rFonts w:ascii="Times New Roman" w:eastAsia="Arial Unicode MS" w:hAnsi="Times New Roman"/>
        </w:rPr>
        <w:t xml:space="preserve"> Polymer Detection System (</w:t>
      </w:r>
      <w:proofErr w:type="spellStart"/>
      <w:r w:rsidRPr="007632FC">
        <w:rPr>
          <w:rFonts w:ascii="Times New Roman" w:eastAsia="Arial Unicode MS" w:hAnsi="Times New Roman"/>
        </w:rPr>
        <w:t>Novocastra</w:t>
      </w:r>
      <w:proofErr w:type="spellEnd"/>
      <w:r w:rsidRPr="007632FC">
        <w:rPr>
          <w:rFonts w:ascii="Times New Roman" w:eastAsia="Arial Unicode MS" w:hAnsi="Times New Roman"/>
        </w:rPr>
        <w:t xml:space="preserve">) or </w:t>
      </w:r>
      <w:proofErr w:type="spellStart"/>
      <w:r w:rsidRPr="007632FC">
        <w:rPr>
          <w:rFonts w:ascii="Times New Roman" w:eastAsia="Arial Unicode MS" w:hAnsi="Times New Roman"/>
        </w:rPr>
        <w:t>IgG</w:t>
      </w:r>
      <w:proofErr w:type="spellEnd"/>
      <w:r w:rsidRPr="007632FC">
        <w:rPr>
          <w:rFonts w:ascii="Times New Roman" w:eastAsia="Arial Unicode MS" w:hAnsi="Times New Roman"/>
        </w:rPr>
        <w:t xml:space="preserve"> (H&amp;L) specific secondary antibody (Life Technologies, 1:500) and either AEC (</w:t>
      </w:r>
      <w:r w:rsidRPr="007632FC">
        <w:rPr>
          <w:rFonts w:ascii="Times New Roman" w:hAnsi="Times New Roman"/>
          <w:bCs/>
          <w:color w:val="000000" w:themeColor="text1"/>
          <w:lang w:eastAsia="ja-JP"/>
        </w:rPr>
        <w:t>3</w:t>
      </w:r>
      <w:r w:rsidRPr="007632FC">
        <w:rPr>
          <w:rFonts w:ascii="Times New Roman" w:hAnsi="Times New Roman"/>
          <w:color w:val="000000" w:themeColor="text1"/>
          <w:lang w:eastAsia="ja-JP"/>
        </w:rPr>
        <w:t>-</w:t>
      </w:r>
      <w:r w:rsidRPr="007632FC">
        <w:rPr>
          <w:rFonts w:ascii="Times New Roman" w:hAnsi="Times New Roman"/>
          <w:bCs/>
          <w:color w:val="000000" w:themeColor="text1"/>
          <w:lang w:eastAsia="ja-JP"/>
        </w:rPr>
        <w:t>Amino</w:t>
      </w:r>
      <w:r w:rsidRPr="007632FC">
        <w:rPr>
          <w:rFonts w:ascii="Times New Roman" w:hAnsi="Times New Roman"/>
          <w:color w:val="000000" w:themeColor="text1"/>
          <w:lang w:eastAsia="ja-JP"/>
        </w:rPr>
        <w:t>-</w:t>
      </w:r>
      <w:r w:rsidRPr="007632FC">
        <w:rPr>
          <w:rFonts w:ascii="Times New Roman" w:hAnsi="Times New Roman"/>
          <w:bCs/>
          <w:color w:val="000000" w:themeColor="text1"/>
          <w:lang w:eastAsia="ja-JP"/>
        </w:rPr>
        <w:t>9</w:t>
      </w:r>
      <w:r w:rsidRPr="007632FC">
        <w:rPr>
          <w:rFonts w:ascii="Times New Roman" w:hAnsi="Times New Roman"/>
          <w:color w:val="000000" w:themeColor="text1"/>
          <w:lang w:eastAsia="ja-JP"/>
        </w:rPr>
        <w:t>-</w:t>
      </w:r>
      <w:r w:rsidRPr="007632FC">
        <w:rPr>
          <w:rFonts w:ascii="Times New Roman" w:hAnsi="Times New Roman"/>
          <w:bCs/>
          <w:color w:val="000000" w:themeColor="text1"/>
          <w:lang w:eastAsia="ja-JP"/>
        </w:rPr>
        <w:lastRenderedPageBreak/>
        <w:t>ethylcarbazole</w:t>
      </w:r>
      <w:r w:rsidRPr="007632FC">
        <w:rPr>
          <w:rFonts w:ascii="Times New Roman" w:eastAsia="Arial Unicode MS" w:hAnsi="Times New Roman"/>
        </w:rPr>
        <w:t xml:space="preserve">) or DAB (3,3'-Diaminobenzidine, </w:t>
      </w:r>
      <w:proofErr w:type="spellStart"/>
      <w:r w:rsidRPr="007632FC">
        <w:rPr>
          <w:rFonts w:ascii="Times New Roman" w:eastAsia="Arial Unicode MS" w:hAnsi="Times New Roman"/>
        </w:rPr>
        <w:t>Novocastra</w:t>
      </w:r>
      <w:proofErr w:type="spellEnd"/>
      <w:r w:rsidRPr="007632FC">
        <w:rPr>
          <w:rFonts w:ascii="Times New Roman" w:eastAsia="Arial Unicode MS" w:hAnsi="Times New Roman"/>
        </w:rPr>
        <w:t>) as substrate-</w:t>
      </w:r>
      <w:proofErr w:type="spellStart"/>
      <w:r w:rsidRPr="007632FC">
        <w:rPr>
          <w:rFonts w:ascii="Times New Roman" w:eastAsia="Arial Unicode MS" w:hAnsi="Times New Roman"/>
        </w:rPr>
        <w:t>chromogens</w:t>
      </w:r>
      <w:proofErr w:type="spellEnd"/>
      <w:r w:rsidRPr="007632FC">
        <w:rPr>
          <w:rFonts w:ascii="Times New Roman" w:eastAsia="Arial Unicode MS" w:hAnsi="Times New Roman"/>
        </w:rPr>
        <w:t xml:space="preserve">. </w:t>
      </w:r>
      <w:r w:rsidRPr="007632FC">
        <w:rPr>
          <w:rFonts w:ascii="Times New Roman" w:hAnsi="Times New Roman"/>
          <w:color w:val="000000"/>
        </w:rPr>
        <w:t>PD-L1 (clone 22c3</w:t>
      </w:r>
      <w:r w:rsidRPr="007632FC">
        <w:rPr>
          <w:rFonts w:ascii="Times New Roman" w:hAnsi="Times New Roman"/>
          <w:color w:val="000000" w:themeColor="text1"/>
        </w:rPr>
        <w:t xml:space="preserve"> </w:t>
      </w:r>
      <w:proofErr w:type="spellStart"/>
      <w:r w:rsidRPr="007632FC">
        <w:rPr>
          <w:rFonts w:ascii="Times New Roman" w:hAnsi="Times New Roman"/>
          <w:color w:val="000000" w:themeColor="text1"/>
        </w:rPr>
        <w:t>Dako</w:t>
      </w:r>
      <w:proofErr w:type="spellEnd"/>
      <w:r w:rsidRPr="007632FC">
        <w:rPr>
          <w:rFonts w:ascii="Times New Roman" w:hAnsi="Times New Roman"/>
          <w:color w:val="000000" w:themeColor="text1"/>
        </w:rPr>
        <w:t xml:space="preserve">, 1:50, </w:t>
      </w:r>
      <w:r w:rsidRPr="007632FC">
        <w:rPr>
          <w:rFonts w:ascii="Times New Roman" w:eastAsia="Arial Unicode MS" w:hAnsi="Times New Roman"/>
        </w:rPr>
        <w:t>pH8</w:t>
      </w:r>
      <w:r w:rsidRPr="007632FC">
        <w:rPr>
          <w:rFonts w:ascii="Times New Roman" w:hAnsi="Times New Roman"/>
          <w:color w:val="000000" w:themeColor="text1"/>
        </w:rPr>
        <w:t xml:space="preserve">), PD1 (clone NAT105 </w:t>
      </w:r>
      <w:proofErr w:type="spellStart"/>
      <w:r w:rsidRPr="007632FC">
        <w:rPr>
          <w:rFonts w:ascii="Times New Roman" w:hAnsi="Times New Roman"/>
          <w:color w:val="000000" w:themeColor="text1"/>
        </w:rPr>
        <w:t>Biocare</w:t>
      </w:r>
      <w:proofErr w:type="spellEnd"/>
      <w:r w:rsidRPr="007632FC">
        <w:rPr>
          <w:rFonts w:ascii="Times New Roman" w:hAnsi="Times New Roman"/>
          <w:color w:val="000000" w:themeColor="text1"/>
        </w:rPr>
        <w:t xml:space="preserve">, 1:50, </w:t>
      </w:r>
      <w:r w:rsidRPr="007632FC">
        <w:rPr>
          <w:rFonts w:ascii="Times New Roman" w:eastAsia="Arial Unicode MS" w:hAnsi="Times New Roman"/>
        </w:rPr>
        <w:t>pH8</w:t>
      </w:r>
      <w:r w:rsidRPr="007632FC">
        <w:rPr>
          <w:rFonts w:ascii="Times New Roman" w:hAnsi="Times New Roman"/>
          <w:color w:val="000000" w:themeColor="text1"/>
        </w:rPr>
        <w:t xml:space="preserve">), FOX-P3 (clone 259D/C7 BD </w:t>
      </w:r>
      <w:proofErr w:type="spellStart"/>
      <w:r w:rsidRPr="007632FC">
        <w:rPr>
          <w:rFonts w:ascii="Times New Roman" w:hAnsi="Times New Roman"/>
          <w:color w:val="000000" w:themeColor="text1"/>
        </w:rPr>
        <w:t>Pharmingen</w:t>
      </w:r>
      <w:proofErr w:type="spellEnd"/>
      <w:r w:rsidRPr="007632FC">
        <w:rPr>
          <w:rFonts w:ascii="Times New Roman" w:hAnsi="Times New Roman"/>
          <w:color w:val="000000" w:themeColor="text1"/>
        </w:rPr>
        <w:t xml:space="preserve">, 1:200, </w:t>
      </w:r>
      <w:r w:rsidRPr="007632FC">
        <w:rPr>
          <w:rFonts w:ascii="Times New Roman" w:eastAsia="Arial Unicode MS" w:hAnsi="Times New Roman"/>
        </w:rPr>
        <w:t>pH8</w:t>
      </w:r>
      <w:r w:rsidRPr="007632FC">
        <w:rPr>
          <w:rFonts w:ascii="Times New Roman" w:hAnsi="Times New Roman"/>
          <w:color w:val="000000" w:themeColor="text1"/>
        </w:rPr>
        <w:t>), CD3 (</w:t>
      </w:r>
      <w:proofErr w:type="spellStart"/>
      <w:r w:rsidRPr="007632FC">
        <w:rPr>
          <w:rFonts w:ascii="Times New Roman" w:hAnsi="Times New Roman"/>
          <w:color w:val="000000" w:themeColor="text1"/>
        </w:rPr>
        <w:t>Dako</w:t>
      </w:r>
      <w:proofErr w:type="spellEnd"/>
      <w:r w:rsidRPr="007632FC">
        <w:rPr>
          <w:rFonts w:ascii="Times New Roman" w:hAnsi="Times New Roman"/>
          <w:color w:val="000000" w:themeColor="text1"/>
        </w:rPr>
        <w:t xml:space="preserve">, 1:400, </w:t>
      </w:r>
      <w:r w:rsidRPr="007632FC">
        <w:rPr>
          <w:rFonts w:ascii="Times New Roman" w:eastAsia="Arial Unicode MS" w:hAnsi="Times New Roman"/>
        </w:rPr>
        <w:t>pH8</w:t>
      </w:r>
      <w:r w:rsidRPr="007632FC">
        <w:rPr>
          <w:rFonts w:ascii="Times New Roman" w:hAnsi="Times New Roman"/>
          <w:color w:val="000000" w:themeColor="text1"/>
        </w:rPr>
        <w:t xml:space="preserve">), CD4 (clone 4B12 </w:t>
      </w:r>
      <w:proofErr w:type="spellStart"/>
      <w:r w:rsidRPr="007632FC">
        <w:rPr>
          <w:rFonts w:ascii="Times New Roman" w:hAnsi="Times New Roman"/>
          <w:color w:val="000000" w:themeColor="text1"/>
        </w:rPr>
        <w:t>Dako</w:t>
      </w:r>
      <w:proofErr w:type="spellEnd"/>
      <w:r w:rsidRPr="007632FC">
        <w:rPr>
          <w:rFonts w:ascii="Times New Roman" w:hAnsi="Times New Roman"/>
          <w:color w:val="000000" w:themeColor="text1"/>
        </w:rPr>
        <w:t xml:space="preserve">, 1:300, </w:t>
      </w:r>
      <w:r w:rsidRPr="007632FC">
        <w:rPr>
          <w:rFonts w:ascii="Times New Roman" w:eastAsia="Arial Unicode MS" w:hAnsi="Times New Roman"/>
        </w:rPr>
        <w:t>pH8</w:t>
      </w:r>
      <w:r w:rsidRPr="007632FC">
        <w:rPr>
          <w:rFonts w:ascii="Times New Roman" w:hAnsi="Times New Roman"/>
          <w:color w:val="000000" w:themeColor="text1"/>
        </w:rPr>
        <w:t xml:space="preserve">), and CD8 (clone C8144B </w:t>
      </w:r>
      <w:proofErr w:type="spellStart"/>
      <w:r w:rsidRPr="007632FC">
        <w:rPr>
          <w:rFonts w:ascii="Times New Roman" w:hAnsi="Times New Roman"/>
          <w:color w:val="000000" w:themeColor="text1"/>
        </w:rPr>
        <w:t>Dako</w:t>
      </w:r>
      <w:proofErr w:type="spellEnd"/>
      <w:r w:rsidRPr="007632FC">
        <w:rPr>
          <w:rFonts w:ascii="Times New Roman" w:hAnsi="Times New Roman"/>
          <w:color w:val="000000" w:themeColor="text1"/>
        </w:rPr>
        <w:t xml:space="preserve">, 1:20, </w:t>
      </w:r>
      <w:r w:rsidRPr="007632FC">
        <w:rPr>
          <w:rFonts w:ascii="Times New Roman" w:eastAsia="Arial Unicode MS" w:hAnsi="Times New Roman"/>
        </w:rPr>
        <w:t>pH8</w:t>
      </w:r>
      <w:r w:rsidRPr="007632FC">
        <w:rPr>
          <w:rFonts w:ascii="Times New Roman" w:hAnsi="Times New Roman"/>
          <w:color w:val="000000" w:themeColor="text1"/>
        </w:rPr>
        <w:t xml:space="preserve">) antibodies </w:t>
      </w:r>
      <w:r w:rsidRPr="007632FC">
        <w:rPr>
          <w:rFonts w:ascii="Times New Roman" w:hAnsi="Times New Roman"/>
        </w:rPr>
        <w:t>were incubated with a commercially available detection kit (</w:t>
      </w:r>
      <w:proofErr w:type="spellStart"/>
      <w:r w:rsidRPr="007632FC">
        <w:rPr>
          <w:rFonts w:ascii="Times New Roman" w:hAnsi="Times New Roman"/>
        </w:rPr>
        <w:t>EnVision</w:t>
      </w:r>
      <w:proofErr w:type="spellEnd"/>
      <w:r w:rsidRPr="007632FC">
        <w:rPr>
          <w:rFonts w:ascii="Times New Roman" w:hAnsi="Times New Roman"/>
        </w:rPr>
        <w:t xml:space="preserve">™ FLEX+, </w:t>
      </w:r>
      <w:proofErr w:type="spellStart"/>
      <w:r w:rsidRPr="007632FC">
        <w:rPr>
          <w:rFonts w:ascii="Times New Roman" w:hAnsi="Times New Roman"/>
        </w:rPr>
        <w:t>Dako</w:t>
      </w:r>
      <w:proofErr w:type="spellEnd"/>
      <w:r w:rsidRPr="007632FC">
        <w:rPr>
          <w:rFonts w:ascii="Times New Roman" w:hAnsi="Times New Roman"/>
        </w:rPr>
        <w:t xml:space="preserve">) in an automated </w:t>
      </w:r>
      <w:proofErr w:type="spellStart"/>
      <w:r w:rsidRPr="007632FC">
        <w:rPr>
          <w:rFonts w:ascii="Times New Roman" w:hAnsi="Times New Roman"/>
        </w:rPr>
        <w:t>Immunostainer</w:t>
      </w:r>
      <w:proofErr w:type="spellEnd"/>
      <w:r w:rsidRPr="007632FC">
        <w:rPr>
          <w:rFonts w:ascii="Times New Roman" w:hAnsi="Times New Roman"/>
        </w:rPr>
        <w:t xml:space="preserve"> (</w:t>
      </w:r>
      <w:proofErr w:type="spellStart"/>
      <w:r w:rsidRPr="007632FC">
        <w:rPr>
          <w:rFonts w:ascii="Times New Roman" w:hAnsi="Times New Roman"/>
        </w:rPr>
        <w:t>Dako</w:t>
      </w:r>
      <w:proofErr w:type="spellEnd"/>
      <w:r w:rsidRPr="007632FC">
        <w:rPr>
          <w:rFonts w:ascii="Times New Roman" w:hAnsi="Times New Roman"/>
        </w:rPr>
        <w:t xml:space="preserve"> </w:t>
      </w:r>
      <w:proofErr w:type="spellStart"/>
      <w:r w:rsidRPr="007632FC">
        <w:rPr>
          <w:rFonts w:ascii="Times New Roman" w:hAnsi="Times New Roman"/>
        </w:rPr>
        <w:t>Autostainer</w:t>
      </w:r>
      <w:proofErr w:type="spellEnd"/>
      <w:r w:rsidRPr="007632FC">
        <w:rPr>
          <w:rFonts w:ascii="Times New Roman" w:hAnsi="Times New Roman"/>
        </w:rPr>
        <w:t xml:space="preserve"> System).</w:t>
      </w:r>
    </w:p>
    <w:p w:rsidR="0065632C" w:rsidRPr="0065632C" w:rsidRDefault="0065632C" w:rsidP="0065632C">
      <w:pPr>
        <w:pStyle w:val="PhDnormal"/>
        <w:ind w:right="-99"/>
        <w:rPr>
          <w:rFonts w:ascii="Times New Roman" w:hAnsi="Times New Roman"/>
        </w:rPr>
      </w:pPr>
      <w:r w:rsidRPr="0065632C">
        <w:rPr>
          <w:rFonts w:ascii="Times New Roman" w:hAnsi="Times New Roman"/>
          <w:highlight w:val="yellow"/>
        </w:rPr>
        <w:t xml:space="preserve">For double-marker </w:t>
      </w:r>
      <w:proofErr w:type="spellStart"/>
      <w:r w:rsidRPr="0065632C">
        <w:rPr>
          <w:rFonts w:ascii="Times New Roman" w:hAnsi="Times New Roman"/>
          <w:highlight w:val="yellow"/>
        </w:rPr>
        <w:t>immunofluorescence</w:t>
      </w:r>
      <w:proofErr w:type="spellEnd"/>
      <w:r w:rsidRPr="0065632C">
        <w:rPr>
          <w:rFonts w:ascii="Times New Roman" w:hAnsi="Times New Roman"/>
          <w:highlight w:val="yellow"/>
        </w:rPr>
        <w:t xml:space="preserve">, after antigen retrieval, the sections were incubated overnight at 4°C with a combination of two primary antibodies against antigens defining the </w:t>
      </w:r>
      <w:proofErr w:type="spellStart"/>
      <w:r w:rsidRPr="0065632C">
        <w:rPr>
          <w:rFonts w:ascii="Times New Roman" w:hAnsi="Times New Roman"/>
          <w:highlight w:val="yellow"/>
        </w:rPr>
        <w:t>epithelioid</w:t>
      </w:r>
      <w:proofErr w:type="spellEnd"/>
      <w:r w:rsidRPr="0065632C">
        <w:rPr>
          <w:rFonts w:ascii="Times New Roman" w:hAnsi="Times New Roman"/>
          <w:highlight w:val="yellow"/>
        </w:rPr>
        <w:t xml:space="preserve"> macrophage “complete phenotype” (i.e. anti-CD33 and anti-CD163; anti-PD-L1 and anti-CD33; anti-PD-L1 and anti-CD163). The binding of the primary antibodies to their respective antigenic substrates was revealed by Opal Multiplex IHC kit, which allowed for combined </w:t>
      </w:r>
      <w:proofErr w:type="spellStart"/>
      <w:r w:rsidRPr="0065632C">
        <w:rPr>
          <w:rFonts w:ascii="Times New Roman" w:hAnsi="Times New Roman"/>
          <w:highlight w:val="yellow"/>
        </w:rPr>
        <w:t>immunostainings</w:t>
      </w:r>
      <w:proofErr w:type="spellEnd"/>
      <w:r w:rsidRPr="0065632C">
        <w:rPr>
          <w:rFonts w:ascii="Times New Roman" w:hAnsi="Times New Roman"/>
          <w:highlight w:val="yellow"/>
        </w:rPr>
        <w:t xml:space="preserve"> using antibodies with a same made through </w:t>
      </w:r>
      <w:proofErr w:type="spellStart"/>
      <w:r w:rsidRPr="0065632C">
        <w:rPr>
          <w:rFonts w:ascii="Times New Roman" w:hAnsi="Times New Roman"/>
          <w:highlight w:val="yellow"/>
        </w:rPr>
        <w:t>tyramide</w:t>
      </w:r>
      <w:proofErr w:type="spellEnd"/>
      <w:r w:rsidRPr="0065632C">
        <w:rPr>
          <w:rFonts w:ascii="Times New Roman" w:hAnsi="Times New Roman"/>
          <w:highlight w:val="yellow"/>
        </w:rPr>
        <w:t xml:space="preserve"> signal amplification. After </w:t>
      </w:r>
      <w:proofErr w:type="spellStart"/>
      <w:r w:rsidRPr="0065632C">
        <w:rPr>
          <w:rFonts w:ascii="Times New Roman" w:hAnsi="Times New Roman"/>
          <w:highlight w:val="yellow"/>
        </w:rPr>
        <w:t>deparaffinization</w:t>
      </w:r>
      <w:proofErr w:type="spellEnd"/>
      <w:r w:rsidRPr="0065632C">
        <w:rPr>
          <w:rFonts w:ascii="Times New Roman" w:hAnsi="Times New Roman"/>
          <w:highlight w:val="yellow"/>
        </w:rPr>
        <w:t xml:space="preserve">, antigen retrieval was performed using microwave heating and a pH6 or pH9 buffer and the first primary antibody was incubated for 1h. </w:t>
      </w:r>
      <w:proofErr w:type="spellStart"/>
      <w:r w:rsidRPr="0065632C">
        <w:rPr>
          <w:rFonts w:ascii="Times New Roman" w:hAnsi="Times New Roman"/>
          <w:highlight w:val="yellow"/>
        </w:rPr>
        <w:t>Immunofluorescence</w:t>
      </w:r>
      <w:proofErr w:type="spellEnd"/>
      <w:r w:rsidRPr="0065632C">
        <w:rPr>
          <w:rFonts w:ascii="Times New Roman" w:hAnsi="Times New Roman"/>
          <w:highlight w:val="yellow"/>
        </w:rPr>
        <w:t xml:space="preserve"> labeling was achieved by incubating with a specific </w:t>
      </w:r>
      <w:proofErr w:type="spellStart"/>
      <w:r w:rsidRPr="0065632C">
        <w:rPr>
          <w:rFonts w:ascii="Times New Roman" w:hAnsi="Times New Roman"/>
          <w:highlight w:val="yellow"/>
        </w:rPr>
        <w:t>seconday</w:t>
      </w:r>
      <w:proofErr w:type="spellEnd"/>
      <w:r w:rsidRPr="0065632C">
        <w:rPr>
          <w:rFonts w:ascii="Times New Roman" w:hAnsi="Times New Roman"/>
          <w:highlight w:val="yellow"/>
        </w:rPr>
        <w:t xml:space="preserve"> antibody followed by the addition of one selected Opal </w:t>
      </w:r>
      <w:proofErr w:type="spellStart"/>
      <w:r w:rsidRPr="0065632C">
        <w:rPr>
          <w:rFonts w:ascii="Times New Roman" w:hAnsi="Times New Roman"/>
          <w:highlight w:val="yellow"/>
        </w:rPr>
        <w:t>fluorophore</w:t>
      </w:r>
      <w:proofErr w:type="spellEnd"/>
      <w:r w:rsidRPr="0065632C">
        <w:rPr>
          <w:rFonts w:ascii="Times New Roman" w:hAnsi="Times New Roman"/>
          <w:highlight w:val="yellow"/>
        </w:rPr>
        <w:t xml:space="preserve"> and microwave treatment in pH6 buffer. The same procedure was repeated for the second primary antibody using a different Opal </w:t>
      </w:r>
      <w:proofErr w:type="spellStart"/>
      <w:r w:rsidRPr="0065632C">
        <w:rPr>
          <w:rFonts w:ascii="Times New Roman" w:hAnsi="Times New Roman"/>
          <w:highlight w:val="yellow"/>
        </w:rPr>
        <w:t>fluoprophore</w:t>
      </w:r>
      <w:proofErr w:type="spellEnd"/>
      <w:r w:rsidRPr="0065632C">
        <w:rPr>
          <w:rFonts w:ascii="Times New Roman" w:hAnsi="Times New Roman"/>
          <w:highlight w:val="yellow"/>
        </w:rPr>
        <w:t xml:space="preserve"> and DAPI nuclear </w:t>
      </w:r>
      <w:proofErr w:type="spellStart"/>
      <w:r w:rsidRPr="0065632C">
        <w:rPr>
          <w:rFonts w:ascii="Times New Roman" w:hAnsi="Times New Roman"/>
          <w:highlight w:val="yellow"/>
        </w:rPr>
        <w:t>counterstain</w:t>
      </w:r>
      <w:proofErr w:type="spellEnd"/>
      <w:r w:rsidRPr="0065632C">
        <w:rPr>
          <w:rFonts w:ascii="Times New Roman" w:hAnsi="Times New Roman"/>
          <w:highlight w:val="yellow"/>
        </w:rPr>
        <w:t>.</w:t>
      </w:r>
      <w:bookmarkStart w:id="0" w:name="_GoBack"/>
      <w:bookmarkEnd w:id="0"/>
    </w:p>
    <w:p w:rsidR="0065632C" w:rsidRPr="0065632C" w:rsidRDefault="0065632C" w:rsidP="007632FC">
      <w:pPr>
        <w:pStyle w:val="PhDnormal"/>
        <w:ind w:right="-99"/>
        <w:rPr>
          <w:rFonts w:ascii="Times New Roman" w:hAnsi="Times New Roman"/>
          <w:lang w:val="en-GB" w:eastAsia="ja-JP"/>
        </w:rPr>
      </w:pPr>
    </w:p>
    <w:p w:rsidR="006B03BF" w:rsidRDefault="006B03BF" w:rsidP="007632FC">
      <w:pPr>
        <w:spacing w:after="0" w:line="480" w:lineRule="auto"/>
        <w:jc w:val="both"/>
        <w:rPr>
          <w:rFonts w:ascii="Times New Roman" w:hAnsi="Times New Roman" w:cs="Times New Roman"/>
          <w:b/>
          <w:bCs/>
          <w:color w:val="000000"/>
          <w:sz w:val="24"/>
          <w:szCs w:val="24"/>
          <w:u w:val="single"/>
          <w:lang w:val="en-US"/>
        </w:rPr>
      </w:pPr>
    </w:p>
    <w:p w:rsidR="00D2372F" w:rsidRPr="007632FC" w:rsidRDefault="005C7BBE" w:rsidP="007632FC">
      <w:pPr>
        <w:spacing w:after="0" w:line="480" w:lineRule="auto"/>
        <w:jc w:val="both"/>
        <w:rPr>
          <w:rFonts w:ascii="Times New Roman" w:hAnsi="Times New Roman" w:cs="Times New Roman"/>
          <w:b/>
          <w:bCs/>
          <w:color w:val="000000"/>
          <w:sz w:val="24"/>
          <w:szCs w:val="24"/>
          <w:u w:val="single"/>
          <w:lang w:val="en-US"/>
        </w:rPr>
      </w:pPr>
      <w:r w:rsidRPr="007632FC">
        <w:rPr>
          <w:rFonts w:ascii="Times New Roman" w:hAnsi="Times New Roman" w:cs="Times New Roman"/>
          <w:b/>
          <w:bCs/>
          <w:color w:val="000000"/>
          <w:sz w:val="24"/>
          <w:szCs w:val="24"/>
          <w:u w:val="single"/>
          <w:lang w:val="en-US"/>
        </w:rPr>
        <w:t xml:space="preserve">Gene expression profiling and analysis and </w:t>
      </w:r>
      <w:r w:rsidRPr="007632FC">
        <w:rPr>
          <w:rFonts w:ascii="Times New Roman" w:hAnsi="Times New Roman" w:cs="Times New Roman"/>
          <w:b/>
          <w:sz w:val="24"/>
          <w:szCs w:val="24"/>
          <w:u w:val="single"/>
          <w:lang w:val="en-US"/>
        </w:rPr>
        <w:t>RT-</w:t>
      </w:r>
      <w:proofErr w:type="spellStart"/>
      <w:r w:rsidRPr="007632FC">
        <w:rPr>
          <w:rFonts w:ascii="Times New Roman" w:hAnsi="Times New Roman" w:cs="Times New Roman"/>
          <w:b/>
          <w:sz w:val="24"/>
          <w:szCs w:val="24"/>
          <w:u w:val="single"/>
          <w:lang w:val="en-US"/>
        </w:rPr>
        <w:t>qPCR</w:t>
      </w:r>
      <w:proofErr w:type="spellEnd"/>
    </w:p>
    <w:p w:rsidR="005C7BBE" w:rsidRPr="007632FC" w:rsidRDefault="005C7BBE" w:rsidP="007632FC">
      <w:pPr>
        <w:spacing w:after="0" w:line="480" w:lineRule="auto"/>
        <w:jc w:val="both"/>
        <w:rPr>
          <w:rFonts w:ascii="Times New Roman" w:hAnsi="Times New Roman" w:cs="Times New Roman"/>
          <w:b/>
          <w:bCs/>
          <w:color w:val="000000"/>
          <w:sz w:val="24"/>
          <w:szCs w:val="24"/>
          <w:u w:val="single"/>
          <w:lang w:val="en-US"/>
        </w:rPr>
      </w:pPr>
      <w:r w:rsidRPr="007632FC">
        <w:rPr>
          <w:rFonts w:ascii="Times New Roman" w:hAnsi="Times New Roman" w:cs="Times New Roman"/>
          <w:color w:val="000000"/>
          <w:sz w:val="24"/>
          <w:szCs w:val="24"/>
          <w:lang w:val="en-US"/>
        </w:rPr>
        <w:t xml:space="preserve">RNA was extracted from FFPE samples using </w:t>
      </w:r>
      <w:proofErr w:type="spellStart"/>
      <w:r w:rsidRPr="007632FC">
        <w:rPr>
          <w:rFonts w:ascii="Times New Roman" w:hAnsi="Times New Roman" w:cs="Times New Roman"/>
          <w:color w:val="000000"/>
          <w:sz w:val="24"/>
          <w:szCs w:val="24"/>
          <w:lang w:val="en-US"/>
        </w:rPr>
        <w:t>miRNAeasy</w:t>
      </w:r>
      <w:proofErr w:type="spellEnd"/>
      <w:r w:rsidRPr="007632FC">
        <w:rPr>
          <w:rFonts w:ascii="Times New Roman" w:hAnsi="Times New Roman" w:cs="Times New Roman"/>
          <w:color w:val="000000"/>
          <w:sz w:val="24"/>
          <w:szCs w:val="24"/>
          <w:lang w:val="en-US"/>
        </w:rPr>
        <w:t xml:space="preserve"> FFPE kit (</w:t>
      </w:r>
      <w:proofErr w:type="spellStart"/>
      <w:r w:rsidRPr="007632FC">
        <w:rPr>
          <w:rFonts w:ascii="Times New Roman" w:hAnsi="Times New Roman" w:cs="Times New Roman"/>
          <w:color w:val="000000"/>
          <w:sz w:val="24"/>
          <w:szCs w:val="24"/>
          <w:lang w:val="en-US"/>
        </w:rPr>
        <w:t>Qiagen</w:t>
      </w:r>
      <w:proofErr w:type="spellEnd"/>
      <w:r w:rsidRPr="007632FC">
        <w:rPr>
          <w:rFonts w:ascii="Times New Roman" w:hAnsi="Times New Roman" w:cs="Times New Roman"/>
          <w:color w:val="000000"/>
          <w:sz w:val="24"/>
          <w:szCs w:val="24"/>
          <w:lang w:val="en-US"/>
        </w:rPr>
        <w:t xml:space="preserve">). After quality check and quantification by 4200TapeStation (Agilent) and </w:t>
      </w:r>
      <w:proofErr w:type="spellStart"/>
      <w:r w:rsidRPr="007632FC">
        <w:rPr>
          <w:rFonts w:ascii="Times New Roman" w:hAnsi="Times New Roman" w:cs="Times New Roman"/>
          <w:color w:val="000000"/>
          <w:sz w:val="24"/>
          <w:szCs w:val="24"/>
          <w:lang w:val="en-US"/>
        </w:rPr>
        <w:t>Qubit</w:t>
      </w:r>
      <w:proofErr w:type="spellEnd"/>
      <w:r w:rsidRPr="007632FC">
        <w:rPr>
          <w:rFonts w:ascii="Times New Roman" w:hAnsi="Times New Roman" w:cs="Times New Roman"/>
          <w:color w:val="000000"/>
          <w:sz w:val="24"/>
          <w:szCs w:val="24"/>
          <w:lang w:val="en-US"/>
        </w:rPr>
        <w:t xml:space="preserve"> </w:t>
      </w:r>
      <w:proofErr w:type="spellStart"/>
      <w:r w:rsidRPr="007632FC">
        <w:rPr>
          <w:rFonts w:ascii="Times New Roman" w:hAnsi="Times New Roman" w:cs="Times New Roman"/>
          <w:color w:val="000000"/>
          <w:sz w:val="24"/>
          <w:szCs w:val="24"/>
          <w:lang w:val="en-US"/>
        </w:rPr>
        <w:t>Fluorometer</w:t>
      </w:r>
      <w:proofErr w:type="spellEnd"/>
      <w:r w:rsidRPr="007632FC">
        <w:rPr>
          <w:rFonts w:ascii="Times New Roman" w:hAnsi="Times New Roman" w:cs="Times New Roman"/>
          <w:color w:val="000000"/>
          <w:sz w:val="24"/>
          <w:szCs w:val="24"/>
          <w:lang w:val="en-US"/>
        </w:rPr>
        <w:t xml:space="preserve"> (</w:t>
      </w:r>
      <w:proofErr w:type="spellStart"/>
      <w:r w:rsidRPr="007632FC">
        <w:rPr>
          <w:rFonts w:ascii="Times New Roman" w:hAnsi="Times New Roman" w:cs="Times New Roman"/>
          <w:color w:val="000000"/>
          <w:sz w:val="24"/>
          <w:szCs w:val="24"/>
          <w:lang w:val="en-US"/>
        </w:rPr>
        <w:t>ThermoFisher</w:t>
      </w:r>
      <w:proofErr w:type="spellEnd"/>
      <w:r w:rsidRPr="007632FC">
        <w:rPr>
          <w:rFonts w:ascii="Times New Roman" w:hAnsi="Times New Roman" w:cs="Times New Roman"/>
          <w:color w:val="000000"/>
          <w:sz w:val="24"/>
          <w:szCs w:val="24"/>
          <w:lang w:val="en-US"/>
        </w:rPr>
        <w:t xml:space="preserve">), respectively, RNA expression was assessed using the human </w:t>
      </w:r>
      <w:proofErr w:type="spellStart"/>
      <w:r w:rsidRPr="007632FC">
        <w:rPr>
          <w:rFonts w:ascii="Times New Roman" w:hAnsi="Times New Roman" w:cs="Times New Roman"/>
          <w:color w:val="000000"/>
          <w:sz w:val="24"/>
          <w:szCs w:val="24"/>
          <w:lang w:val="en-US"/>
        </w:rPr>
        <w:t>Affymetrix</w:t>
      </w:r>
      <w:proofErr w:type="spellEnd"/>
      <w:r w:rsidRPr="007632FC">
        <w:rPr>
          <w:rFonts w:ascii="Times New Roman" w:hAnsi="Times New Roman" w:cs="Times New Roman"/>
          <w:color w:val="000000"/>
          <w:sz w:val="24"/>
          <w:szCs w:val="24"/>
          <w:lang w:val="en-US"/>
        </w:rPr>
        <w:t xml:space="preserve"> </w:t>
      </w:r>
      <w:proofErr w:type="spellStart"/>
      <w:r w:rsidRPr="007632FC">
        <w:rPr>
          <w:rFonts w:ascii="Times New Roman" w:hAnsi="Times New Roman" w:cs="Times New Roman"/>
          <w:color w:val="000000"/>
          <w:sz w:val="24"/>
          <w:szCs w:val="24"/>
          <w:lang w:val="en-US"/>
        </w:rPr>
        <w:t>Clariom</w:t>
      </w:r>
      <w:proofErr w:type="spellEnd"/>
      <w:r w:rsidRPr="007632FC">
        <w:rPr>
          <w:rFonts w:ascii="Times New Roman" w:hAnsi="Times New Roman" w:cs="Times New Roman"/>
          <w:color w:val="000000"/>
          <w:sz w:val="24"/>
          <w:szCs w:val="24"/>
          <w:lang w:val="en-US"/>
        </w:rPr>
        <w:t xml:space="preserve"> S Pico assay (</w:t>
      </w:r>
      <w:proofErr w:type="spellStart"/>
      <w:r w:rsidRPr="007632FC">
        <w:rPr>
          <w:rFonts w:ascii="Times New Roman" w:hAnsi="Times New Roman" w:cs="Times New Roman"/>
          <w:color w:val="000000"/>
          <w:sz w:val="24"/>
          <w:szCs w:val="24"/>
          <w:lang w:val="en-US"/>
        </w:rPr>
        <w:t>ThermoFisher</w:t>
      </w:r>
      <w:proofErr w:type="spellEnd"/>
      <w:r w:rsidRPr="007632FC">
        <w:rPr>
          <w:rFonts w:ascii="Times New Roman" w:hAnsi="Times New Roman" w:cs="Times New Roman"/>
          <w:color w:val="000000"/>
          <w:sz w:val="24"/>
          <w:szCs w:val="24"/>
          <w:lang w:val="en-US"/>
        </w:rPr>
        <w:t>). Briefly, 100 </w:t>
      </w:r>
      <w:proofErr w:type="spellStart"/>
      <w:r w:rsidRPr="007632FC">
        <w:rPr>
          <w:rFonts w:ascii="Times New Roman" w:hAnsi="Times New Roman" w:cs="Times New Roman"/>
          <w:color w:val="000000"/>
          <w:sz w:val="24"/>
          <w:szCs w:val="24"/>
          <w:lang w:val="en-US"/>
        </w:rPr>
        <w:t>ng</w:t>
      </w:r>
      <w:proofErr w:type="spellEnd"/>
      <w:r w:rsidRPr="007632FC">
        <w:rPr>
          <w:rFonts w:ascii="Times New Roman" w:hAnsi="Times New Roman" w:cs="Times New Roman"/>
          <w:color w:val="000000"/>
          <w:sz w:val="24"/>
          <w:szCs w:val="24"/>
          <w:lang w:val="en-US"/>
        </w:rPr>
        <w:t xml:space="preserve"> of total RNA was used to generate single-stranded </w:t>
      </w:r>
      <w:proofErr w:type="spellStart"/>
      <w:r w:rsidRPr="007632FC">
        <w:rPr>
          <w:rFonts w:ascii="Times New Roman" w:hAnsi="Times New Roman" w:cs="Times New Roman"/>
          <w:color w:val="000000"/>
          <w:sz w:val="24"/>
          <w:szCs w:val="24"/>
          <w:lang w:val="en-US"/>
        </w:rPr>
        <w:t>cDNA</w:t>
      </w:r>
      <w:proofErr w:type="spellEnd"/>
      <w:r w:rsidRPr="007632FC">
        <w:rPr>
          <w:rFonts w:ascii="Times New Roman" w:hAnsi="Times New Roman" w:cs="Times New Roman"/>
          <w:color w:val="000000"/>
          <w:sz w:val="24"/>
          <w:szCs w:val="24"/>
          <w:lang w:val="en-US"/>
        </w:rPr>
        <w:t xml:space="preserve"> samples for hybridization. Then, </w:t>
      </w:r>
      <w:proofErr w:type="spellStart"/>
      <w:r w:rsidRPr="007632FC">
        <w:rPr>
          <w:rFonts w:ascii="Times New Roman" w:hAnsi="Times New Roman" w:cs="Times New Roman"/>
          <w:color w:val="000000"/>
          <w:sz w:val="24"/>
          <w:szCs w:val="24"/>
          <w:lang w:val="en-US"/>
        </w:rPr>
        <w:t>cDNA</w:t>
      </w:r>
      <w:proofErr w:type="spellEnd"/>
      <w:r w:rsidRPr="007632FC">
        <w:rPr>
          <w:rFonts w:ascii="Times New Roman" w:hAnsi="Times New Roman" w:cs="Times New Roman"/>
          <w:color w:val="000000"/>
          <w:sz w:val="24"/>
          <w:szCs w:val="24"/>
          <w:lang w:val="en-US"/>
        </w:rPr>
        <w:t xml:space="preserve"> was </w:t>
      </w:r>
      <w:proofErr w:type="spellStart"/>
      <w:r w:rsidRPr="007632FC">
        <w:rPr>
          <w:rFonts w:ascii="Times New Roman" w:hAnsi="Times New Roman" w:cs="Times New Roman"/>
          <w:color w:val="000000"/>
          <w:sz w:val="24"/>
          <w:szCs w:val="24"/>
          <w:lang w:val="en-US"/>
        </w:rPr>
        <w:t>enzymatically</w:t>
      </w:r>
      <w:proofErr w:type="spellEnd"/>
      <w:r w:rsidRPr="007632FC">
        <w:rPr>
          <w:rFonts w:ascii="Times New Roman" w:hAnsi="Times New Roman" w:cs="Times New Roman"/>
          <w:color w:val="000000"/>
          <w:sz w:val="24"/>
          <w:szCs w:val="24"/>
          <w:lang w:val="en-US"/>
        </w:rPr>
        <w:t xml:space="preserve"> fragmented and </w:t>
      </w:r>
      <w:proofErr w:type="spellStart"/>
      <w:r w:rsidRPr="007632FC">
        <w:rPr>
          <w:rFonts w:ascii="Times New Roman" w:hAnsi="Times New Roman" w:cs="Times New Roman"/>
          <w:color w:val="000000"/>
          <w:sz w:val="24"/>
          <w:szCs w:val="24"/>
          <w:lang w:val="en-US"/>
        </w:rPr>
        <w:t>biotinylated</w:t>
      </w:r>
      <w:proofErr w:type="spellEnd"/>
      <w:r w:rsidRPr="007632FC">
        <w:rPr>
          <w:rFonts w:ascii="Times New Roman" w:hAnsi="Times New Roman" w:cs="Times New Roman"/>
          <w:color w:val="000000"/>
          <w:sz w:val="24"/>
          <w:szCs w:val="24"/>
          <w:lang w:val="en-US"/>
        </w:rPr>
        <w:t xml:space="preserve"> using the WT Terminal Labeling kit (Thermo Fisher), combined with the hybridization buffer, and injected into </w:t>
      </w:r>
      <w:r w:rsidRPr="007632FC">
        <w:rPr>
          <w:rFonts w:ascii="Times New Roman" w:hAnsi="Times New Roman" w:cs="Times New Roman"/>
          <w:color w:val="000000"/>
          <w:sz w:val="24"/>
          <w:szCs w:val="24"/>
          <w:lang w:val="en-US"/>
        </w:rPr>
        <w:lastRenderedPageBreak/>
        <w:t xml:space="preserve">the Human </w:t>
      </w:r>
      <w:proofErr w:type="spellStart"/>
      <w:r w:rsidRPr="007632FC">
        <w:rPr>
          <w:rFonts w:ascii="Times New Roman" w:hAnsi="Times New Roman" w:cs="Times New Roman"/>
          <w:color w:val="000000"/>
          <w:sz w:val="24"/>
          <w:szCs w:val="24"/>
          <w:lang w:val="en-US"/>
        </w:rPr>
        <w:t>Clariom</w:t>
      </w:r>
      <w:proofErr w:type="spellEnd"/>
      <w:r w:rsidRPr="007632FC">
        <w:rPr>
          <w:rFonts w:ascii="Times New Roman" w:hAnsi="Times New Roman" w:cs="Times New Roman"/>
          <w:color w:val="000000"/>
          <w:sz w:val="24"/>
          <w:szCs w:val="24"/>
          <w:lang w:val="en-US"/>
        </w:rPr>
        <w:t xml:space="preserve"> S arrays targeting &gt;20,000 well-annotated genes. Arrays were stained using the </w:t>
      </w:r>
      <w:proofErr w:type="spellStart"/>
      <w:r w:rsidRPr="007632FC">
        <w:rPr>
          <w:rFonts w:ascii="Times New Roman" w:hAnsi="Times New Roman" w:cs="Times New Roman"/>
          <w:color w:val="000000"/>
          <w:sz w:val="24"/>
          <w:szCs w:val="24"/>
          <w:lang w:val="en-US"/>
        </w:rPr>
        <w:t>Affymetrix</w:t>
      </w:r>
      <w:proofErr w:type="spellEnd"/>
      <w:r w:rsidRPr="007632FC">
        <w:rPr>
          <w:rFonts w:ascii="Times New Roman" w:hAnsi="Times New Roman" w:cs="Times New Roman"/>
          <w:color w:val="000000"/>
          <w:sz w:val="24"/>
          <w:szCs w:val="24"/>
          <w:lang w:val="en-US"/>
        </w:rPr>
        <w:t xml:space="preserve"> </w:t>
      </w:r>
      <w:proofErr w:type="spellStart"/>
      <w:r w:rsidRPr="007632FC">
        <w:rPr>
          <w:rFonts w:ascii="Times New Roman" w:hAnsi="Times New Roman" w:cs="Times New Roman"/>
          <w:color w:val="000000"/>
          <w:sz w:val="24"/>
          <w:szCs w:val="24"/>
          <w:lang w:val="en-US"/>
        </w:rPr>
        <w:t>GeneChip</w:t>
      </w:r>
      <w:proofErr w:type="spellEnd"/>
      <w:r w:rsidRPr="007632FC">
        <w:rPr>
          <w:rFonts w:ascii="Times New Roman" w:hAnsi="Times New Roman" w:cs="Times New Roman"/>
          <w:color w:val="000000"/>
          <w:sz w:val="24"/>
          <w:szCs w:val="24"/>
          <w:lang w:val="en-US"/>
        </w:rPr>
        <w:t xml:space="preserve"> Fluidics Station 450 and scanned with the 7G </w:t>
      </w:r>
      <w:proofErr w:type="spellStart"/>
      <w:r w:rsidRPr="007632FC">
        <w:rPr>
          <w:rFonts w:ascii="Times New Roman" w:hAnsi="Times New Roman" w:cs="Times New Roman"/>
          <w:color w:val="000000"/>
          <w:sz w:val="24"/>
          <w:szCs w:val="24"/>
          <w:lang w:val="en-US"/>
        </w:rPr>
        <w:t>Affymetrix</w:t>
      </w:r>
      <w:proofErr w:type="spellEnd"/>
      <w:r w:rsidRPr="007632FC">
        <w:rPr>
          <w:rFonts w:ascii="Times New Roman" w:hAnsi="Times New Roman" w:cs="Times New Roman"/>
          <w:color w:val="000000"/>
          <w:sz w:val="24"/>
          <w:szCs w:val="24"/>
          <w:lang w:val="en-US"/>
        </w:rPr>
        <w:t xml:space="preserve"> </w:t>
      </w:r>
      <w:proofErr w:type="spellStart"/>
      <w:r w:rsidRPr="007632FC">
        <w:rPr>
          <w:rFonts w:ascii="Times New Roman" w:hAnsi="Times New Roman" w:cs="Times New Roman"/>
          <w:color w:val="000000"/>
          <w:sz w:val="24"/>
          <w:szCs w:val="24"/>
          <w:lang w:val="en-US"/>
        </w:rPr>
        <w:t>GeneChip</w:t>
      </w:r>
      <w:proofErr w:type="spellEnd"/>
      <w:r w:rsidRPr="007632FC">
        <w:rPr>
          <w:rFonts w:ascii="Times New Roman" w:hAnsi="Times New Roman" w:cs="Times New Roman"/>
          <w:color w:val="000000"/>
          <w:sz w:val="24"/>
          <w:szCs w:val="24"/>
          <w:lang w:val="en-US"/>
        </w:rPr>
        <w:t xml:space="preserve"> Scanner 3000. Raw CEL files were pre-processed using the Robust Multi-Array Average </w:t>
      </w:r>
      <w:r w:rsidR="00923F05" w:rsidRPr="007632FC">
        <w:rPr>
          <w:rFonts w:ascii="Times New Roman" w:hAnsi="Times New Roman" w:cs="Times New Roman"/>
          <w:color w:val="000000"/>
          <w:sz w:val="24"/>
          <w:szCs w:val="24"/>
          <w:lang w:val="en-US"/>
        </w:rPr>
        <w:fldChar w:fldCharType="begin" w:fldLock="1"/>
      </w:r>
      <w:r w:rsidR="009F41A5">
        <w:rPr>
          <w:rFonts w:ascii="Times New Roman" w:hAnsi="Times New Roman" w:cs="Times New Roman"/>
          <w:color w:val="000000"/>
          <w:sz w:val="24"/>
          <w:szCs w:val="24"/>
          <w:lang w:val="en-US"/>
        </w:rPr>
        <w:instrText>ADDIN CSL_CITATION { "citationItems" : [ { "id" : "ITEM-1", "itemData" : { "DOI" : "10.1093/biostatistics/4.2.249", "ISSN" : "1465-4644", "PMID" : "12925520", "abstract" : "In this paper we report exploratory analyses of high-density oligonucleotide array data from the Affymetrix GeneChip system with the objective of improving upon currently used measures of gene expression. Our analyses make use of three data sets: a small experimental study consisting of five MGU74A mouse GeneChip arrays, part of the data from an extensive spike-in study conducted by Gene Logic and Wyeth's Genetics Institute involving 95 HG-U95A human GeneChip arrays; and part of a dilution study conducted by Gene Logic involving 75 HG-U95A GeneChip arrays. We display some familiar features of the perfect match and mismatch probe (PM and MM) values of these data, and examine the variance-mean relationship with probe-level data from probes believed to be defective, and so delivering noise only. We explain why we need to normalize the arrays to one another using probe level intensities. We then examine the behavior of the PM and MM using spike-in data and assess three commonly used summary measures: Affymetrix's (i) average difference (AvDiff) and (ii) MAS 5.0 signal, and (iii) the Li and Wong multiplicative model-based expression index (MBEI). The exploratory data analyses of the probe level data motivate a new summary measure that is a robust multi-array average (RMA) of background-adjusted, normalized, and log-transformed PM values. We evaluate the four expression summary measures using the dilution study data, assessing their behavior in terms of bias, variance and (for MBEI and RMA) model fit. Finally, we evaluate the algorithms in terms of their ability to detect known levels of differential expression using the spike-in data. We conclude that there is no obvious downside to using RMA and attaching a standard error (SE) to this quantity using a linear model which removes probe-specific affinities.", "author" : [ { "dropping-particle" : "", "family" : "Irizarry", "given" : "Rafael A", "non-dropping-particle" : "", "parse-names" : false, "suffix" : "" }, { "dropping-particle" : "", "family" : "Hobbs", "given" : "Bridget", "non-dropping-particle" : "", "parse-names" : false, "suffix" : "" }, { "dropping-particle" : "", "family" : "Collin", "given" : "Francois", "non-dropping-particle" : "", "parse-names" : false, "suffix" : "" }, { "dropping-particle" : "", "family" : "Beazer-Barclay", "given" : "Yasmin D", "non-dropping-particle" : "", "parse-names" : false, "suffix" : "" }, { "dropping-particle" : "", "family" : "Antonellis", "given" : "Kristen J", "non-dropping-particle" : "", "parse-names" : false, "suffix" : "" }, { "dropping-particle" : "", "family" : "Scherf", "given" : "Uwe", "non-dropping-particle" : "", "parse-names" : false, "suffix" : "" }, { "dropping-particle" : "", "family" : "Speed", "given" : "Terence P", "non-dropping-particle" : "", "parse-names" : false, "suffix" : "" } ], "container-title" : "Biostatistics (Oxford, England)", "id" : "ITEM-1", "issue" : "2", "issued" : { "date-parts" : [ [ "2003", "4", "1" ] ] }, "page" : "249-64", "title" : "Exploration, normalization, and summaries of high density oligonucleotide array probe level data.", "type" : "article-journal", "volume" : "4" }, "uris" : [ "http://www.mendeley.com/documents/?uuid=85e0c022-7bab-398a-93b4-7c78f1c79ff8" ] } ], "mendeley" : { "formattedCitation" : "(10)", "plainTextFormattedCitation" : "(10)", "previouslyFormattedCitation" : "(10)" }, "properties" : {  }, "schema" : "https://github.com/citation-style-language/schema/raw/master/csl-citation.json" }</w:instrText>
      </w:r>
      <w:r w:rsidR="00923F05" w:rsidRPr="007632FC">
        <w:rPr>
          <w:rFonts w:ascii="Times New Roman" w:hAnsi="Times New Roman" w:cs="Times New Roman"/>
          <w:color w:val="000000"/>
          <w:sz w:val="24"/>
          <w:szCs w:val="24"/>
          <w:lang w:val="en-US"/>
        </w:rPr>
        <w:fldChar w:fldCharType="separate"/>
      </w:r>
      <w:r w:rsidR="009F41A5" w:rsidRPr="009F41A5">
        <w:rPr>
          <w:rFonts w:ascii="Times New Roman" w:hAnsi="Times New Roman" w:cs="Times New Roman"/>
          <w:noProof/>
          <w:color w:val="000000"/>
          <w:sz w:val="24"/>
          <w:szCs w:val="24"/>
          <w:lang w:val="en-US"/>
        </w:rPr>
        <w:t>(</w:t>
      </w:r>
      <w:r w:rsidR="00B64464" w:rsidRPr="00B81F97">
        <w:rPr>
          <w:rFonts w:ascii="Times New Roman" w:hAnsi="Times New Roman" w:cs="Times New Roman"/>
          <w:noProof/>
          <w:color w:val="000000"/>
          <w:sz w:val="24"/>
          <w:szCs w:val="24"/>
          <w:highlight w:val="yellow"/>
          <w:lang w:val="en-US"/>
        </w:rPr>
        <w:t>9</w:t>
      </w:r>
      <w:r w:rsidR="009F41A5" w:rsidRPr="009F41A5">
        <w:rPr>
          <w:rFonts w:ascii="Times New Roman" w:hAnsi="Times New Roman" w:cs="Times New Roman"/>
          <w:noProof/>
          <w:color w:val="000000"/>
          <w:sz w:val="24"/>
          <w:szCs w:val="24"/>
          <w:lang w:val="en-US"/>
        </w:rPr>
        <w:t>)</w:t>
      </w:r>
      <w:r w:rsidR="00923F05" w:rsidRPr="007632FC">
        <w:rPr>
          <w:rFonts w:ascii="Times New Roman" w:hAnsi="Times New Roman" w:cs="Times New Roman"/>
          <w:color w:val="000000"/>
          <w:sz w:val="24"/>
          <w:szCs w:val="24"/>
          <w:lang w:val="en-US"/>
        </w:rPr>
        <w:fldChar w:fldCharType="end"/>
      </w:r>
      <w:r w:rsidRPr="007632FC">
        <w:rPr>
          <w:rFonts w:ascii="Times New Roman" w:hAnsi="Times New Roman" w:cs="Times New Roman"/>
          <w:color w:val="000000"/>
          <w:sz w:val="24"/>
          <w:szCs w:val="24"/>
          <w:lang w:val="en-US"/>
        </w:rPr>
        <w:t xml:space="preserve"> method implemented in the </w:t>
      </w:r>
      <w:proofErr w:type="spellStart"/>
      <w:r w:rsidRPr="007632FC">
        <w:rPr>
          <w:rFonts w:ascii="Times New Roman" w:hAnsi="Times New Roman" w:cs="Times New Roman"/>
          <w:i/>
          <w:iCs/>
          <w:color w:val="000000"/>
          <w:sz w:val="24"/>
          <w:szCs w:val="24"/>
          <w:lang w:val="en-US"/>
        </w:rPr>
        <w:t>oligo</w:t>
      </w:r>
      <w:proofErr w:type="spellEnd"/>
      <w:r w:rsidRPr="007632FC">
        <w:rPr>
          <w:rFonts w:ascii="Times New Roman" w:hAnsi="Times New Roman" w:cs="Times New Roman"/>
          <w:color w:val="000000"/>
          <w:sz w:val="24"/>
          <w:szCs w:val="24"/>
          <w:lang w:val="en-US"/>
        </w:rPr>
        <w:t xml:space="preserve"> </w:t>
      </w:r>
      <w:proofErr w:type="spellStart"/>
      <w:r w:rsidRPr="007632FC">
        <w:rPr>
          <w:rFonts w:ascii="Times New Roman" w:hAnsi="Times New Roman" w:cs="Times New Roman"/>
          <w:color w:val="000000"/>
          <w:sz w:val="24"/>
          <w:szCs w:val="24"/>
          <w:lang w:val="en-US"/>
        </w:rPr>
        <w:t>Bioconductor</w:t>
      </w:r>
      <w:proofErr w:type="spellEnd"/>
      <w:r w:rsidRPr="007632FC">
        <w:rPr>
          <w:rFonts w:ascii="Times New Roman" w:hAnsi="Times New Roman" w:cs="Times New Roman"/>
          <w:color w:val="000000"/>
          <w:sz w:val="24"/>
          <w:szCs w:val="24"/>
          <w:lang w:val="en-US"/>
        </w:rPr>
        <w:t xml:space="preserve"> package. Probe sets were annotated to HUGO gene symbols using the </w:t>
      </w:r>
      <w:proofErr w:type="spellStart"/>
      <w:r w:rsidRPr="007632FC">
        <w:rPr>
          <w:rFonts w:ascii="Times New Roman" w:hAnsi="Times New Roman" w:cs="Times New Roman"/>
          <w:i/>
          <w:iCs/>
          <w:color w:val="000000"/>
          <w:sz w:val="24"/>
          <w:szCs w:val="24"/>
          <w:lang w:val="en-US"/>
        </w:rPr>
        <w:t>clariomshumantranscriptcluster.db</w:t>
      </w:r>
      <w:proofErr w:type="spellEnd"/>
      <w:r w:rsidRPr="007632FC">
        <w:rPr>
          <w:rFonts w:ascii="Times New Roman" w:hAnsi="Times New Roman" w:cs="Times New Roman"/>
          <w:color w:val="000000"/>
          <w:sz w:val="24"/>
          <w:szCs w:val="24"/>
          <w:lang w:val="en-US"/>
        </w:rPr>
        <w:t xml:space="preserve"> package. A batch effect due to RNA quality was identified and corrected using </w:t>
      </w:r>
      <w:proofErr w:type="spellStart"/>
      <w:r w:rsidRPr="007632FC">
        <w:rPr>
          <w:rFonts w:ascii="Times New Roman" w:hAnsi="Times New Roman" w:cs="Times New Roman"/>
          <w:color w:val="000000"/>
          <w:sz w:val="24"/>
          <w:szCs w:val="24"/>
          <w:lang w:val="en-US"/>
        </w:rPr>
        <w:t>ComBat</w:t>
      </w:r>
      <w:proofErr w:type="spellEnd"/>
      <w:r w:rsidRPr="007632FC">
        <w:rPr>
          <w:rFonts w:ascii="Times New Roman" w:hAnsi="Times New Roman" w:cs="Times New Roman"/>
          <w:color w:val="000000"/>
          <w:sz w:val="24"/>
          <w:szCs w:val="24"/>
          <w:lang w:val="en-US"/>
        </w:rPr>
        <w:t xml:space="preserve"> </w:t>
      </w:r>
      <w:r w:rsidR="00923F05" w:rsidRPr="007632FC">
        <w:rPr>
          <w:rFonts w:ascii="Times New Roman" w:hAnsi="Times New Roman" w:cs="Times New Roman"/>
          <w:color w:val="000000"/>
          <w:sz w:val="24"/>
          <w:szCs w:val="24"/>
          <w:lang w:val="en-US"/>
        </w:rPr>
        <w:fldChar w:fldCharType="begin" w:fldLock="1"/>
      </w:r>
      <w:r w:rsidR="009F41A5">
        <w:rPr>
          <w:rFonts w:ascii="Times New Roman" w:hAnsi="Times New Roman" w:cs="Times New Roman"/>
          <w:color w:val="000000"/>
          <w:sz w:val="24"/>
          <w:szCs w:val="24"/>
          <w:lang w:val="en-US"/>
        </w:rPr>
        <w:instrText>ADDIN CSL_CITATION { "citationItems" : [ { "id" : "ITEM-1", "itemData" : { "DOI" : "10.1093/biostatistics/kxj037", "PMID" : "16632515", "abstract" : "Non-biological experimental variation or \"batch effects\" are commonly observed across multiple batches of microarray experiments, often rendering the task of combining data from these batches difficult. The ability to combine microarray data sets is advantageous to researchers to increase statistical power to detect biological phenomena from studies where logistical considerations restrict sample size or in studies that require the sequential hybridization of arrays. In general, it is inappropriate to combine data sets without adjusting for batch effects. Methods have been proposed to filter batch effects from data, but these are often complicated and require large batch sizes ( &gt; 25) to implement. Because the majority of microarray studies are conducted using much smaller sample sizes, existing methods are not sufficient. We propose parametric and non-parametric empirical Bayes frameworks for adjusting data for batch effects that is robust to outliers in small sample sizes and performs comparable to existing methods for large samples. We illustrate our methods using two example data sets and show that our methods are justifiable, easy to apply, and useful in practice. Software for our method is freely available at: http://biosun1.harvard.edu/complab/batch/.", "author" : [ { "dropping-particle" : "", "family" : "Johnson", "given" : "W Evan", "non-dropping-particle" : "", "parse-names" : false, "suffix" : "" }, { "dropping-particle" : "", "family" : "Li", "given" : "Cheng", "non-dropping-particle" : "", "parse-names" : false, "suffix" : "" }, { "dropping-particle" : "", "family" : "Rabinovic", "given" : "Ariel", "non-dropping-particle" : "", "parse-names" : false, "suffix" : "" } ], "container-title" : "Biostatistics (Oxford, England)", "id" : "ITEM-1", "issue" : "1", "issued" : { "date-parts" : [ [ "2007", "1", "1" ] ] }, "page" : "118-27", "title" : "Adjusting batch effects in microarray expression data using empirical Bayes methods.", "type" : "article-journal", "volume" : "8" }, "uris" : [ "http://www.mendeley.com/documents/?uuid=cb7d3eb6-e722-3a18-bf8c-1fc12057e339" ] } ], "mendeley" : { "formattedCitation" : "(11)", "plainTextFormattedCitation" : "(11)", "previouslyFormattedCitation" : "(11)" }, "properties" : {  }, "schema" : "https://github.com/citation-style-language/schema/raw/master/csl-citation.json" }</w:instrText>
      </w:r>
      <w:r w:rsidR="00923F05" w:rsidRPr="007632FC">
        <w:rPr>
          <w:rFonts w:ascii="Times New Roman" w:hAnsi="Times New Roman" w:cs="Times New Roman"/>
          <w:color w:val="000000"/>
          <w:sz w:val="24"/>
          <w:szCs w:val="24"/>
          <w:lang w:val="en-US"/>
        </w:rPr>
        <w:fldChar w:fldCharType="separate"/>
      </w:r>
      <w:r w:rsidR="009F41A5" w:rsidRPr="009F41A5">
        <w:rPr>
          <w:rFonts w:ascii="Times New Roman" w:hAnsi="Times New Roman" w:cs="Times New Roman"/>
          <w:noProof/>
          <w:color w:val="000000"/>
          <w:sz w:val="24"/>
          <w:szCs w:val="24"/>
          <w:lang w:val="en-US"/>
        </w:rPr>
        <w:t>(</w:t>
      </w:r>
      <w:r w:rsidR="009F41A5" w:rsidRPr="00B81F97">
        <w:rPr>
          <w:rFonts w:ascii="Times New Roman" w:hAnsi="Times New Roman" w:cs="Times New Roman"/>
          <w:noProof/>
          <w:color w:val="000000"/>
          <w:sz w:val="24"/>
          <w:szCs w:val="24"/>
          <w:highlight w:val="yellow"/>
          <w:lang w:val="en-US"/>
        </w:rPr>
        <w:t>1</w:t>
      </w:r>
      <w:r w:rsidR="00B64464" w:rsidRPr="00B81F97">
        <w:rPr>
          <w:rFonts w:ascii="Times New Roman" w:hAnsi="Times New Roman" w:cs="Times New Roman"/>
          <w:noProof/>
          <w:color w:val="000000"/>
          <w:sz w:val="24"/>
          <w:szCs w:val="24"/>
          <w:highlight w:val="yellow"/>
          <w:lang w:val="en-US"/>
        </w:rPr>
        <w:t>0</w:t>
      </w:r>
      <w:r w:rsidR="009F41A5" w:rsidRPr="00B81F97">
        <w:rPr>
          <w:rFonts w:ascii="Times New Roman" w:hAnsi="Times New Roman" w:cs="Times New Roman"/>
          <w:noProof/>
          <w:color w:val="000000"/>
          <w:sz w:val="24"/>
          <w:szCs w:val="24"/>
          <w:highlight w:val="yellow"/>
          <w:lang w:val="en-US"/>
        </w:rPr>
        <w:t>)</w:t>
      </w:r>
      <w:r w:rsidR="00923F05" w:rsidRPr="007632FC">
        <w:rPr>
          <w:rFonts w:ascii="Times New Roman" w:hAnsi="Times New Roman" w:cs="Times New Roman"/>
          <w:color w:val="000000"/>
          <w:sz w:val="24"/>
          <w:szCs w:val="24"/>
          <w:lang w:val="en-US"/>
        </w:rPr>
        <w:fldChar w:fldCharType="end"/>
      </w:r>
      <w:r w:rsidRPr="007632FC">
        <w:rPr>
          <w:rFonts w:ascii="Times New Roman" w:hAnsi="Times New Roman" w:cs="Times New Roman"/>
          <w:color w:val="000000"/>
          <w:sz w:val="24"/>
          <w:szCs w:val="24"/>
          <w:lang w:val="en-US"/>
        </w:rPr>
        <w:t xml:space="preserve">. Finally probe sets were collapsed to gene symbols using the </w:t>
      </w:r>
      <w:proofErr w:type="spellStart"/>
      <w:r w:rsidRPr="007632FC">
        <w:rPr>
          <w:rFonts w:ascii="Times New Roman" w:hAnsi="Times New Roman" w:cs="Times New Roman"/>
          <w:i/>
          <w:iCs/>
          <w:color w:val="000000"/>
          <w:sz w:val="24"/>
          <w:szCs w:val="24"/>
          <w:lang w:val="en-US"/>
        </w:rPr>
        <w:t>collapseRows</w:t>
      </w:r>
      <w:proofErr w:type="spellEnd"/>
      <w:r w:rsidRPr="007632FC">
        <w:rPr>
          <w:rFonts w:ascii="Times New Roman" w:hAnsi="Times New Roman" w:cs="Times New Roman"/>
          <w:color w:val="000000"/>
          <w:sz w:val="24"/>
          <w:szCs w:val="24"/>
          <w:lang w:val="en-US"/>
        </w:rPr>
        <w:t xml:space="preserve"> function of the </w:t>
      </w:r>
      <w:r w:rsidRPr="007632FC">
        <w:rPr>
          <w:rFonts w:ascii="Times New Roman" w:hAnsi="Times New Roman" w:cs="Times New Roman"/>
          <w:i/>
          <w:iCs/>
          <w:color w:val="000000"/>
          <w:sz w:val="24"/>
          <w:szCs w:val="24"/>
          <w:lang w:val="en-US"/>
        </w:rPr>
        <w:t>WGCNA</w:t>
      </w:r>
      <w:r w:rsidRPr="007632FC">
        <w:rPr>
          <w:rFonts w:ascii="Times New Roman" w:hAnsi="Times New Roman" w:cs="Times New Roman"/>
          <w:color w:val="000000"/>
          <w:sz w:val="24"/>
          <w:szCs w:val="24"/>
          <w:lang w:val="en-US"/>
        </w:rPr>
        <w:t xml:space="preserve"> package with “</w:t>
      </w:r>
      <w:proofErr w:type="spellStart"/>
      <w:r w:rsidRPr="007632FC">
        <w:rPr>
          <w:rFonts w:ascii="Times New Roman" w:hAnsi="Times New Roman" w:cs="Times New Roman"/>
          <w:color w:val="000000"/>
          <w:sz w:val="24"/>
          <w:szCs w:val="24"/>
          <w:lang w:val="en-US"/>
        </w:rPr>
        <w:t>maxRowVariance</w:t>
      </w:r>
      <w:proofErr w:type="spellEnd"/>
      <w:r w:rsidRPr="007632FC">
        <w:rPr>
          <w:rFonts w:ascii="Times New Roman" w:hAnsi="Times New Roman" w:cs="Times New Roman"/>
          <w:color w:val="000000"/>
          <w:sz w:val="24"/>
          <w:szCs w:val="24"/>
          <w:lang w:val="en-US"/>
        </w:rPr>
        <w:t xml:space="preserve">” method. Differential expression analysis was performed using the </w:t>
      </w:r>
      <w:proofErr w:type="spellStart"/>
      <w:r w:rsidRPr="007632FC">
        <w:rPr>
          <w:rFonts w:ascii="Times New Roman" w:hAnsi="Times New Roman" w:cs="Times New Roman"/>
          <w:i/>
          <w:iCs/>
          <w:color w:val="000000"/>
          <w:sz w:val="24"/>
          <w:szCs w:val="24"/>
          <w:lang w:val="en-US"/>
        </w:rPr>
        <w:t>limma</w:t>
      </w:r>
      <w:proofErr w:type="spellEnd"/>
      <w:r w:rsidRPr="007632FC">
        <w:rPr>
          <w:rFonts w:ascii="Times New Roman" w:hAnsi="Times New Roman" w:cs="Times New Roman"/>
          <w:color w:val="000000"/>
          <w:sz w:val="24"/>
          <w:szCs w:val="24"/>
          <w:lang w:val="en-US"/>
        </w:rPr>
        <w:t xml:space="preserve"> package </w:t>
      </w:r>
      <w:r w:rsidR="00923F05" w:rsidRPr="007632FC">
        <w:rPr>
          <w:rFonts w:ascii="Times New Roman" w:hAnsi="Times New Roman" w:cs="Times New Roman"/>
          <w:color w:val="000000"/>
          <w:sz w:val="24"/>
          <w:szCs w:val="24"/>
          <w:lang w:val="en-US"/>
        </w:rPr>
        <w:fldChar w:fldCharType="begin" w:fldLock="1"/>
      </w:r>
      <w:r w:rsidR="009F41A5">
        <w:rPr>
          <w:rFonts w:ascii="Times New Roman" w:hAnsi="Times New Roman" w:cs="Times New Roman"/>
          <w:color w:val="000000"/>
          <w:sz w:val="24"/>
          <w:szCs w:val="24"/>
          <w:lang w:val="en-US"/>
        </w:rPr>
        <w:instrText>ADDIN CSL_CITATION { "citationItems" : [ { "id" : "ITEM-1", "itemData" : { "DOI" : "10.1214/16-AOAS920", "PMID" : "28367255", "abstract" : "One of the most common analysis tasks in genomic research is to identify genes that are differentially expressed (DE) between experimental conditions. Empirical Bayes (EB) statistical tests using moderated genewise variances have been very effective for this purpose, especially when the number of biological replicate samples is small. The EB procedures can however be heavily influenced by a small number of genes with very large or very small variances. This article improves the differential expression tests by robustifying the hyperparameter estimation procedure. The robust procedure has the effect of decreasing the informativeness of the prior distribution for outlier genes while increasing its informativeness for other genes. This effect has the double benefit of reducing the chance that hypervariable genes will be spuriously identified as DE while increasing statistical power for the main body of genes. The robust EB algorithm is fast and numerically stable. The procedure allows exact small-sample null distributions for the test statistics and reduces exactly to the original EB procedure when no outlier genes are present. Simulations show that the robustified tests have similar performance to the original tests in the absence of outlier genes but have greater power and robustness when outliers are present. The article includes case studies for which the robust method correctly identifies and downweights genes associated with hidden covariates and detects more genes likely to be scientifically relevant to the experimental conditions. The new procedure is implemented in the limma software package freely available from the Bioconductor repository.", "author" : [ { "dropping-particle" : "", "family" : "Phipson", "given" : "Belinda", "non-dropping-particle" : "", "parse-names" : false, "suffix" : "" }, { "dropping-particle" : "", "family" : "Lee", "given" : "Stanley", "non-dropping-particle" : "", "parse-names" : false, "suffix" : "" }, { "dropping-particle" : "", "family" : "Majewski", "given" : "Ian J", "non-dropping-particle" : "", "parse-names" : false, "suffix" : "" }, { "dropping-particle" : "", "family" : "Alexander", "given" : "Warren S", "non-dropping-particle" : "", "parse-names" : false, "suffix" : "" }, { "dropping-particle" : "", "family" : "Smyth", "given" : "Gordon K", "non-dropping-particle" : "", "parse-names" : false, "suffix" : "" } ], "container-title" : "The annals of applied statistics", "id" : "ITEM-1", "issue" : "2", "issued" : { "date-parts" : [ [ "2016", "6" ] ] }, "page" : "946-963", "title" : "ROBUST HYPERPARAMETER ESTIMATION PROTECTS AGAINST HYPERVARIABLE GENES AND IMPROVES POWER TO DETECT DIFFERENTIAL EXPRESSION.", "type" : "article-journal", "volume" : "10" }, "uris" : [ "http://www.mendeley.com/documents/?uuid=4c532be6-8f88-3012-902d-904139a51d2f" ] } ], "mendeley" : { "formattedCitation" : "(12)", "plainTextFormattedCitation" : "(12)", "previouslyFormattedCitation" : "(12)" }, "properties" : {  }, "schema" : "https://github.com/citation-style-language/schema/raw/master/csl-citation.json" }</w:instrText>
      </w:r>
      <w:r w:rsidR="00923F05" w:rsidRPr="007632FC">
        <w:rPr>
          <w:rFonts w:ascii="Times New Roman" w:hAnsi="Times New Roman" w:cs="Times New Roman"/>
          <w:color w:val="000000"/>
          <w:sz w:val="24"/>
          <w:szCs w:val="24"/>
          <w:lang w:val="en-US"/>
        </w:rPr>
        <w:fldChar w:fldCharType="separate"/>
      </w:r>
      <w:r w:rsidR="009F41A5" w:rsidRPr="009F41A5">
        <w:rPr>
          <w:rFonts w:ascii="Times New Roman" w:hAnsi="Times New Roman" w:cs="Times New Roman"/>
          <w:noProof/>
          <w:color w:val="000000"/>
          <w:sz w:val="24"/>
          <w:szCs w:val="24"/>
          <w:lang w:val="en-US"/>
        </w:rPr>
        <w:t>(</w:t>
      </w:r>
      <w:r w:rsidR="009F41A5" w:rsidRPr="00B81F97">
        <w:rPr>
          <w:rFonts w:ascii="Times New Roman" w:hAnsi="Times New Roman" w:cs="Times New Roman"/>
          <w:noProof/>
          <w:color w:val="000000"/>
          <w:sz w:val="24"/>
          <w:szCs w:val="24"/>
          <w:highlight w:val="yellow"/>
          <w:lang w:val="en-US"/>
        </w:rPr>
        <w:t>1</w:t>
      </w:r>
      <w:r w:rsidR="00B64464" w:rsidRPr="00B81F97">
        <w:rPr>
          <w:rFonts w:ascii="Times New Roman" w:hAnsi="Times New Roman" w:cs="Times New Roman"/>
          <w:noProof/>
          <w:color w:val="000000"/>
          <w:sz w:val="24"/>
          <w:szCs w:val="24"/>
          <w:highlight w:val="yellow"/>
          <w:lang w:val="en-US"/>
        </w:rPr>
        <w:t>1</w:t>
      </w:r>
      <w:r w:rsidR="009F41A5" w:rsidRPr="00B81F97">
        <w:rPr>
          <w:rFonts w:ascii="Times New Roman" w:hAnsi="Times New Roman" w:cs="Times New Roman"/>
          <w:noProof/>
          <w:color w:val="000000"/>
          <w:sz w:val="24"/>
          <w:szCs w:val="24"/>
          <w:highlight w:val="yellow"/>
          <w:lang w:val="en-US"/>
        </w:rPr>
        <w:t>)</w:t>
      </w:r>
      <w:r w:rsidR="00923F05" w:rsidRPr="007632FC">
        <w:rPr>
          <w:rFonts w:ascii="Times New Roman" w:hAnsi="Times New Roman" w:cs="Times New Roman"/>
          <w:color w:val="000000"/>
          <w:sz w:val="24"/>
          <w:szCs w:val="24"/>
          <w:lang w:val="en-US"/>
        </w:rPr>
        <w:fldChar w:fldCharType="end"/>
      </w:r>
      <w:r w:rsidRPr="007632FC">
        <w:rPr>
          <w:rFonts w:ascii="Times New Roman" w:hAnsi="Times New Roman" w:cs="Times New Roman"/>
          <w:color w:val="000000"/>
          <w:sz w:val="24"/>
          <w:szCs w:val="24"/>
          <w:lang w:val="en-US"/>
        </w:rPr>
        <w:t xml:space="preserve">, adjusting p-values with the </w:t>
      </w:r>
      <w:proofErr w:type="spellStart"/>
      <w:r w:rsidRPr="007632FC">
        <w:rPr>
          <w:rFonts w:ascii="Times New Roman" w:hAnsi="Times New Roman" w:cs="Times New Roman"/>
          <w:color w:val="000000"/>
          <w:sz w:val="24"/>
          <w:szCs w:val="24"/>
          <w:lang w:val="en-US"/>
        </w:rPr>
        <w:t>Benjamini</w:t>
      </w:r>
      <w:proofErr w:type="spellEnd"/>
      <w:r w:rsidRPr="007632FC">
        <w:rPr>
          <w:rFonts w:ascii="Times New Roman" w:hAnsi="Times New Roman" w:cs="Times New Roman"/>
          <w:color w:val="000000"/>
          <w:sz w:val="24"/>
          <w:szCs w:val="24"/>
          <w:lang w:val="en-US"/>
        </w:rPr>
        <w:t xml:space="preserve">-Hochberg false discovery rate (FDR) method. Gene Set Enrichment Analysis (GSEA) </w:t>
      </w:r>
      <w:r w:rsidR="00923F05" w:rsidRPr="00B81F97">
        <w:rPr>
          <w:rFonts w:ascii="Times New Roman" w:hAnsi="Times New Roman" w:cs="Times New Roman"/>
          <w:color w:val="000000"/>
          <w:sz w:val="24"/>
          <w:szCs w:val="24"/>
          <w:highlight w:val="yellow"/>
          <w:lang w:val="en-US"/>
        </w:rPr>
        <w:fldChar w:fldCharType="begin" w:fldLock="1"/>
      </w:r>
      <w:r w:rsidR="009F41A5" w:rsidRPr="00B81F97">
        <w:rPr>
          <w:rFonts w:ascii="Times New Roman" w:hAnsi="Times New Roman" w:cs="Times New Roman"/>
          <w:color w:val="000000"/>
          <w:sz w:val="24"/>
          <w:szCs w:val="24"/>
          <w:highlight w:val="yellow"/>
          <w:lang w:val="en-US"/>
        </w:rPr>
        <w:instrText>ADDIN CSL_CITATION { "citationItems" : [ { "id" : "ITEM-1", "itemData" : { "DOI" : "10.1073/pnas.0506580102", "PMID" : "16199517", "abstract" : "Although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"author" : [ { "dropping-particle" : "", "family" : "Subramanian", "given" : "Aravind", "non-dropping-particle" : "", "parse-names" : false, "suffix" : "" }, { "dropping-particle" : "", "family" : "Tamayo", "given" : "Pablo", "non-dropping-particle" : "", "parse-names" : false, "suffix" : "" }, { "dropping-particle" : "", "family" : "Mootha", "given" : "Vamsi K", "non-dropping-particle" : "", "parse-names" : false, "suffix" : "" }, { "dropping-particle" : "", "family" : "Mukherjee", "given" : "Sayan", "non-dropping-particle" : "", "parse-names" : false, "suffix" : "" }, { "dropping-particle" : "", "family" : "Ebert", "given" : "Benjamin L", "non-dropping-particle" : "", "parse-names" : false, "suffix" : "" }, { "dropping-particle" : "", "family" : "Gillette", "given" : "Michael A", "non-dropping-particle" : "", "parse-names" : false, "suffix" : "" }, { "dropping-particle" : "", "family" : "Paulovich", "given" : "Amanda", "non-dropping-particle" : "", "parse-names" : false, "suffix" : "" }, { "dropping-particle" : "", "family" : "Pomeroy", "given" : "Scott L", "non-dropping-particle" : "", "parse-names" : false, "suffix" : "" }, { "dropping-particle" : "", "family" : "Golub", "given" : "Todd R", "non-dropping-particle" : "", "parse-names" : false, "suffix" : "" }, { "dropping-particle" : "", "family" : "Lander", "given" : "Eric S", "non-dropping-particle" : "", "parse-names" : false, "suffix" : "" }, { "dropping-particle" : "", "family" : "Mesirov", "given" : "Jill P", "non-dropping-particle" : "", "parse-names" : false, "suffix" : "" } ], "container-title" : "Proceedings of the National Academy of Sciences of the United States of America", "id" : "ITEM-1", "issue" : "43", "issued" : { "date-parts" : [ [ "2005", "10", "25" ] ] }, "page" : "15545-50", "title" : "Gene set enrichment analysis: a knowledge-based approach for interpreting genome-wide expression profiles.", "type" : "article-journal", "volume" : "102" }, "uris" : [ "http://www.mendeley.com/documents/?uuid=b8b19fcd-9f42-3d98-8d34-5df1a08504c4" ] } ], "mendeley" : { "formattedCitation" : "(13)", "plainTextFormattedCitation" : "(13)", "previouslyFormattedCitation" : "(13)" }, "properties" : {  }, "schema" : "https://github.com/citation-style-language/schema/raw/master/csl-citation.json" }</w:instrText>
      </w:r>
      <w:r w:rsidR="00923F05" w:rsidRPr="00B81F97">
        <w:rPr>
          <w:rFonts w:ascii="Times New Roman" w:hAnsi="Times New Roman" w:cs="Times New Roman"/>
          <w:color w:val="000000"/>
          <w:sz w:val="24"/>
          <w:szCs w:val="24"/>
          <w:highlight w:val="yellow"/>
          <w:lang w:val="en-US"/>
        </w:rPr>
        <w:fldChar w:fldCharType="separate"/>
      </w:r>
      <w:r w:rsidR="009F41A5" w:rsidRPr="00B81F97">
        <w:rPr>
          <w:rFonts w:ascii="Times New Roman" w:hAnsi="Times New Roman" w:cs="Times New Roman"/>
          <w:noProof/>
          <w:color w:val="000000"/>
          <w:sz w:val="24"/>
          <w:szCs w:val="24"/>
          <w:highlight w:val="yellow"/>
          <w:lang w:val="en-US"/>
        </w:rPr>
        <w:t>(1</w:t>
      </w:r>
      <w:r w:rsidR="00B64464" w:rsidRPr="00B81F97">
        <w:rPr>
          <w:rFonts w:ascii="Times New Roman" w:hAnsi="Times New Roman" w:cs="Times New Roman"/>
          <w:noProof/>
          <w:color w:val="000000"/>
          <w:sz w:val="24"/>
          <w:szCs w:val="24"/>
          <w:highlight w:val="yellow"/>
          <w:lang w:val="en-US"/>
        </w:rPr>
        <w:t>2</w:t>
      </w:r>
      <w:r w:rsidR="009F41A5" w:rsidRPr="00B81F97">
        <w:rPr>
          <w:rFonts w:ascii="Times New Roman" w:hAnsi="Times New Roman" w:cs="Times New Roman"/>
          <w:noProof/>
          <w:color w:val="000000"/>
          <w:sz w:val="24"/>
          <w:szCs w:val="24"/>
          <w:highlight w:val="yellow"/>
          <w:lang w:val="en-US"/>
        </w:rPr>
        <w:t>)</w:t>
      </w:r>
      <w:r w:rsidR="00923F05" w:rsidRPr="00B81F97">
        <w:rPr>
          <w:rFonts w:ascii="Times New Roman" w:hAnsi="Times New Roman" w:cs="Times New Roman"/>
          <w:color w:val="000000"/>
          <w:sz w:val="24"/>
          <w:szCs w:val="24"/>
          <w:highlight w:val="yellow"/>
          <w:lang w:val="en-US"/>
        </w:rPr>
        <w:fldChar w:fldCharType="end"/>
      </w:r>
      <w:r w:rsidRPr="007632FC">
        <w:rPr>
          <w:rFonts w:ascii="Times New Roman" w:hAnsi="Times New Roman" w:cs="Times New Roman"/>
          <w:color w:val="000000"/>
          <w:sz w:val="24"/>
          <w:szCs w:val="24"/>
          <w:lang w:val="en-US"/>
        </w:rPr>
        <w:t xml:space="preserve"> was run for the HALLMARK gene set collection in pre-ranked mode using the t-statistic from </w:t>
      </w:r>
      <w:proofErr w:type="spellStart"/>
      <w:r w:rsidRPr="007632FC">
        <w:rPr>
          <w:rFonts w:ascii="Times New Roman" w:hAnsi="Times New Roman" w:cs="Times New Roman"/>
          <w:i/>
          <w:iCs/>
          <w:color w:val="000000"/>
          <w:sz w:val="24"/>
          <w:szCs w:val="24"/>
          <w:lang w:val="en-US"/>
        </w:rPr>
        <w:t>limma</w:t>
      </w:r>
      <w:proofErr w:type="spellEnd"/>
      <w:r w:rsidRPr="007632FC">
        <w:rPr>
          <w:rFonts w:ascii="Times New Roman" w:hAnsi="Times New Roman" w:cs="Times New Roman"/>
          <w:color w:val="000000"/>
          <w:sz w:val="24"/>
          <w:szCs w:val="24"/>
          <w:lang w:val="en-US"/>
        </w:rPr>
        <w:t xml:space="preserve"> as ranking metric.</w:t>
      </w:r>
    </w:p>
    <w:p w:rsidR="00143868" w:rsidRPr="007632FC" w:rsidRDefault="005C7BBE" w:rsidP="007632FC">
      <w:pPr>
        <w:spacing w:line="480" w:lineRule="auto"/>
        <w:jc w:val="both"/>
        <w:rPr>
          <w:rFonts w:ascii="Times New Roman" w:hAnsi="Times New Roman" w:cs="Times New Roman"/>
          <w:sz w:val="24"/>
          <w:szCs w:val="24"/>
          <w:lang w:val="en-US"/>
        </w:rPr>
      </w:pPr>
      <w:r w:rsidRPr="007632FC">
        <w:rPr>
          <w:rFonts w:ascii="Times New Roman" w:hAnsi="Times New Roman" w:cs="Times New Roman"/>
          <w:sz w:val="24"/>
          <w:szCs w:val="24"/>
          <w:lang w:val="en-US"/>
        </w:rPr>
        <w:t>RT-</w:t>
      </w:r>
      <w:proofErr w:type="spellStart"/>
      <w:r w:rsidRPr="007632FC">
        <w:rPr>
          <w:rFonts w:ascii="Times New Roman" w:hAnsi="Times New Roman" w:cs="Times New Roman"/>
          <w:sz w:val="24"/>
          <w:szCs w:val="24"/>
          <w:lang w:val="en-US"/>
        </w:rPr>
        <w:t>qPCR</w:t>
      </w:r>
      <w:proofErr w:type="spellEnd"/>
      <w:r w:rsidRPr="007632FC">
        <w:rPr>
          <w:rFonts w:ascii="Times New Roman" w:hAnsi="Times New Roman" w:cs="Times New Roman"/>
          <w:sz w:val="24"/>
          <w:szCs w:val="24"/>
          <w:lang w:val="en-US"/>
        </w:rPr>
        <w:t xml:space="preserve"> for 10 selected immune-related genes </w:t>
      </w:r>
      <w:proofErr w:type="spellStart"/>
      <w:r w:rsidRPr="007632FC">
        <w:rPr>
          <w:rFonts w:ascii="Times New Roman" w:hAnsi="Times New Roman" w:cs="Times New Roman"/>
          <w:sz w:val="24"/>
          <w:szCs w:val="24"/>
          <w:lang w:val="en-US"/>
        </w:rPr>
        <w:t>analysed</w:t>
      </w:r>
      <w:proofErr w:type="spellEnd"/>
      <w:r w:rsidRPr="007632FC">
        <w:rPr>
          <w:rFonts w:ascii="Times New Roman" w:hAnsi="Times New Roman" w:cs="Times New Roman"/>
          <w:sz w:val="24"/>
          <w:szCs w:val="24"/>
          <w:lang w:val="en-US"/>
        </w:rPr>
        <w:t xml:space="preserve"> in duplicates was performed using the </w:t>
      </w:r>
      <w:proofErr w:type="spellStart"/>
      <w:r w:rsidRPr="007632FC">
        <w:rPr>
          <w:rFonts w:ascii="Times New Roman" w:hAnsi="Times New Roman" w:cs="Times New Roman"/>
          <w:sz w:val="24"/>
          <w:szCs w:val="24"/>
          <w:lang w:val="en-US"/>
        </w:rPr>
        <w:t>TaqMan</w:t>
      </w:r>
      <w:proofErr w:type="spellEnd"/>
      <w:r w:rsidRPr="007632FC">
        <w:rPr>
          <w:rFonts w:ascii="Times New Roman" w:hAnsi="Times New Roman" w:cs="Times New Roman"/>
          <w:sz w:val="24"/>
          <w:szCs w:val="24"/>
          <w:lang w:val="en-US"/>
        </w:rPr>
        <w:t xml:space="preserve"> </w:t>
      </w:r>
      <w:proofErr w:type="spellStart"/>
      <w:r w:rsidRPr="007632FC">
        <w:rPr>
          <w:rFonts w:ascii="Times New Roman" w:hAnsi="Times New Roman" w:cs="Times New Roman"/>
          <w:sz w:val="24"/>
          <w:szCs w:val="24"/>
          <w:lang w:val="en-US"/>
        </w:rPr>
        <w:t>PreAmp</w:t>
      </w:r>
      <w:proofErr w:type="spellEnd"/>
      <w:r w:rsidRPr="007632FC">
        <w:rPr>
          <w:rFonts w:ascii="Times New Roman" w:hAnsi="Times New Roman" w:cs="Times New Roman"/>
          <w:sz w:val="24"/>
          <w:szCs w:val="24"/>
          <w:lang w:val="en-US"/>
        </w:rPr>
        <w:t xml:space="preserve"> Master Mix Kit </w:t>
      </w:r>
      <w:r w:rsidRPr="007632FC">
        <w:rPr>
          <w:rFonts w:ascii="Times New Roman" w:hAnsi="Times New Roman" w:cs="Times New Roman"/>
          <w:color w:val="000000"/>
          <w:sz w:val="24"/>
          <w:szCs w:val="24"/>
          <w:lang w:val="en-US"/>
        </w:rPr>
        <w:t>(</w:t>
      </w:r>
      <w:proofErr w:type="spellStart"/>
      <w:r w:rsidRPr="007632FC">
        <w:rPr>
          <w:rFonts w:ascii="Times New Roman" w:hAnsi="Times New Roman" w:cs="Times New Roman"/>
          <w:color w:val="000000"/>
          <w:sz w:val="24"/>
          <w:szCs w:val="24"/>
          <w:lang w:val="en-US"/>
        </w:rPr>
        <w:t>ThermoFisher</w:t>
      </w:r>
      <w:proofErr w:type="spellEnd"/>
      <w:r w:rsidRPr="007632FC">
        <w:rPr>
          <w:rFonts w:ascii="Times New Roman" w:hAnsi="Times New Roman" w:cs="Times New Roman"/>
          <w:color w:val="000000"/>
          <w:sz w:val="24"/>
          <w:szCs w:val="24"/>
          <w:lang w:val="en-US"/>
        </w:rPr>
        <w:t xml:space="preserve">) </w:t>
      </w:r>
      <w:r w:rsidRPr="007632FC">
        <w:rPr>
          <w:rFonts w:ascii="Times New Roman" w:hAnsi="Times New Roman" w:cs="Times New Roman"/>
          <w:sz w:val="24"/>
          <w:szCs w:val="24"/>
          <w:lang w:val="en-US"/>
        </w:rPr>
        <w:t xml:space="preserve">as by protocol. After synthesis of </w:t>
      </w:r>
      <w:proofErr w:type="spellStart"/>
      <w:r w:rsidRPr="007632FC">
        <w:rPr>
          <w:rFonts w:ascii="Times New Roman" w:hAnsi="Times New Roman" w:cs="Times New Roman"/>
          <w:sz w:val="24"/>
          <w:szCs w:val="24"/>
          <w:lang w:val="en-US"/>
        </w:rPr>
        <w:t>cDNA</w:t>
      </w:r>
      <w:proofErr w:type="spellEnd"/>
      <w:r w:rsidRPr="007632FC">
        <w:rPr>
          <w:rFonts w:ascii="Times New Roman" w:hAnsi="Times New Roman" w:cs="Times New Roman"/>
          <w:sz w:val="24"/>
          <w:szCs w:val="24"/>
          <w:lang w:val="en-US"/>
        </w:rPr>
        <w:t xml:space="preserve"> by RT-PCR starting from 10</w:t>
      </w:r>
      <w:r w:rsidRPr="007632FC">
        <w:rPr>
          <w:rFonts w:ascii="Times New Roman" w:hAnsi="Times New Roman" w:cs="Times New Roman"/>
          <w:sz w:val="24"/>
          <w:szCs w:val="24"/>
        </w:rPr>
        <w:t>μ</w:t>
      </w:r>
      <w:r w:rsidRPr="007632FC">
        <w:rPr>
          <w:rFonts w:ascii="Times New Roman" w:hAnsi="Times New Roman" w:cs="Times New Roman"/>
          <w:sz w:val="24"/>
          <w:szCs w:val="24"/>
          <w:lang w:val="en-US"/>
        </w:rPr>
        <w:t xml:space="preserve">l of total RNA, 14 pre-amplification cycles were performed and the product diluted 1:5 on TE Buffer to run </w:t>
      </w:r>
      <w:proofErr w:type="spellStart"/>
      <w:r w:rsidRPr="007632FC">
        <w:rPr>
          <w:rFonts w:ascii="Times New Roman" w:hAnsi="Times New Roman" w:cs="Times New Roman"/>
          <w:sz w:val="24"/>
          <w:szCs w:val="24"/>
          <w:lang w:val="en-US"/>
        </w:rPr>
        <w:t>qPCR</w:t>
      </w:r>
      <w:proofErr w:type="spellEnd"/>
      <w:r w:rsidRPr="007632FC">
        <w:rPr>
          <w:rFonts w:ascii="Times New Roman" w:hAnsi="Times New Roman" w:cs="Times New Roman"/>
          <w:sz w:val="24"/>
          <w:szCs w:val="24"/>
          <w:lang w:val="en-US"/>
        </w:rPr>
        <w:t xml:space="preserve"> on </w:t>
      </w:r>
      <w:proofErr w:type="spellStart"/>
      <w:r w:rsidRPr="007632FC">
        <w:rPr>
          <w:rFonts w:ascii="Times New Roman" w:hAnsi="Times New Roman" w:cs="Times New Roman"/>
          <w:sz w:val="24"/>
          <w:szCs w:val="24"/>
          <w:lang w:val="en-US"/>
        </w:rPr>
        <w:t>QuantStudio</w:t>
      </w:r>
      <w:proofErr w:type="spellEnd"/>
      <w:r w:rsidRPr="007632FC">
        <w:rPr>
          <w:rFonts w:ascii="Times New Roman" w:hAnsi="Times New Roman" w:cs="Times New Roman"/>
          <w:sz w:val="24"/>
          <w:szCs w:val="24"/>
          <w:lang w:val="en-US"/>
        </w:rPr>
        <w:t xml:space="preserve"> 7 Flex </w:t>
      </w:r>
      <w:r w:rsidRPr="007632FC">
        <w:rPr>
          <w:rFonts w:ascii="Times New Roman" w:hAnsi="Times New Roman" w:cs="Times New Roman"/>
          <w:color w:val="000000"/>
          <w:sz w:val="24"/>
          <w:szCs w:val="24"/>
          <w:lang w:val="en-US"/>
        </w:rPr>
        <w:t>(</w:t>
      </w:r>
      <w:proofErr w:type="spellStart"/>
      <w:r w:rsidRPr="007632FC">
        <w:rPr>
          <w:rFonts w:ascii="Times New Roman" w:hAnsi="Times New Roman" w:cs="Times New Roman"/>
          <w:color w:val="000000"/>
          <w:sz w:val="24"/>
          <w:szCs w:val="24"/>
          <w:lang w:val="en-US"/>
        </w:rPr>
        <w:t>ThermoFisher</w:t>
      </w:r>
      <w:proofErr w:type="spellEnd"/>
      <w:r w:rsidRPr="007632FC">
        <w:rPr>
          <w:rFonts w:ascii="Times New Roman" w:hAnsi="Times New Roman" w:cs="Times New Roman"/>
          <w:color w:val="000000"/>
          <w:sz w:val="24"/>
          <w:szCs w:val="24"/>
          <w:lang w:val="en-US"/>
        </w:rPr>
        <w:t xml:space="preserve">). Data were elaborated using the </w:t>
      </w:r>
      <w:proofErr w:type="spellStart"/>
      <w:r w:rsidRPr="007632FC">
        <w:rPr>
          <w:rFonts w:ascii="Times New Roman" w:hAnsi="Times New Roman" w:cs="Times New Roman"/>
          <w:color w:val="000000"/>
          <w:sz w:val="24"/>
          <w:szCs w:val="24"/>
          <w:lang w:val="en-US"/>
        </w:rPr>
        <w:t>QuantStudio</w:t>
      </w:r>
      <w:proofErr w:type="spellEnd"/>
      <w:r w:rsidRPr="007632FC">
        <w:rPr>
          <w:rFonts w:ascii="Times New Roman" w:hAnsi="Times New Roman" w:cs="Times New Roman"/>
          <w:color w:val="000000"/>
          <w:sz w:val="24"/>
          <w:szCs w:val="24"/>
          <w:lang w:val="en-US"/>
        </w:rPr>
        <w:t xml:space="preserve"> Real-Time PCR software v 1.1 (</w:t>
      </w:r>
      <w:proofErr w:type="spellStart"/>
      <w:r w:rsidRPr="007632FC">
        <w:rPr>
          <w:rFonts w:ascii="Times New Roman" w:hAnsi="Times New Roman" w:cs="Times New Roman"/>
          <w:color w:val="000000"/>
          <w:sz w:val="24"/>
          <w:szCs w:val="24"/>
          <w:lang w:val="en-US"/>
        </w:rPr>
        <w:t>ThermoFisher</w:t>
      </w:r>
      <w:proofErr w:type="spellEnd"/>
      <w:r w:rsidRPr="007632FC">
        <w:rPr>
          <w:rFonts w:ascii="Times New Roman" w:hAnsi="Times New Roman" w:cs="Times New Roman"/>
          <w:color w:val="000000"/>
          <w:sz w:val="24"/>
          <w:szCs w:val="24"/>
          <w:lang w:val="en-US"/>
        </w:rPr>
        <w:t>) and the –</w:t>
      </w:r>
      <w:proofErr w:type="spellStart"/>
      <w:r w:rsidRPr="007632FC">
        <w:rPr>
          <w:rFonts w:ascii="Times New Roman" w:hAnsi="Times New Roman" w:cs="Times New Roman"/>
          <w:color w:val="000000"/>
          <w:sz w:val="24"/>
          <w:szCs w:val="24"/>
          <w:lang w:val="en-US"/>
        </w:rPr>
        <w:t>ΔΔCt</w:t>
      </w:r>
      <w:proofErr w:type="spellEnd"/>
      <w:r w:rsidRPr="007632FC">
        <w:rPr>
          <w:rFonts w:ascii="Times New Roman" w:hAnsi="Times New Roman" w:cs="Times New Roman"/>
          <w:color w:val="000000"/>
          <w:sz w:val="24"/>
          <w:szCs w:val="24"/>
          <w:lang w:val="en-US"/>
        </w:rPr>
        <w:t xml:space="preserve"> value was considered for further analysis considering only Ct&lt;35 and using ACTB63 as housekeeping gene and the minimum expression value as calibrator. Unpaired two-tailed t-test was used to compare gene expression among different classes and p-values&lt;0.05 were considered significant.</w:t>
      </w:r>
    </w:p>
    <w:p w:rsidR="001639CC" w:rsidRPr="007632FC" w:rsidRDefault="001639CC" w:rsidP="007632FC">
      <w:pPr>
        <w:spacing w:line="480" w:lineRule="auto"/>
        <w:jc w:val="both"/>
        <w:rPr>
          <w:rFonts w:ascii="Times New Roman" w:hAnsi="Times New Roman" w:cs="Times New Roman"/>
          <w:sz w:val="24"/>
          <w:szCs w:val="24"/>
          <w:lang w:val="en-US"/>
        </w:rPr>
      </w:pPr>
      <w:r w:rsidRPr="007632FC">
        <w:rPr>
          <w:rFonts w:ascii="Times New Roman" w:hAnsi="Times New Roman" w:cs="Times New Roman"/>
          <w:b/>
          <w:sz w:val="24"/>
          <w:szCs w:val="24"/>
          <w:u w:val="single"/>
          <w:lang w:val="en-US"/>
        </w:rPr>
        <w:t xml:space="preserve">Flow </w:t>
      </w:r>
      <w:proofErr w:type="spellStart"/>
      <w:r w:rsidRPr="007632FC">
        <w:rPr>
          <w:rFonts w:ascii="Times New Roman" w:hAnsi="Times New Roman" w:cs="Times New Roman"/>
          <w:b/>
          <w:sz w:val="24"/>
          <w:szCs w:val="24"/>
          <w:u w:val="single"/>
          <w:lang w:val="en-US"/>
        </w:rPr>
        <w:t>Cytometry</w:t>
      </w:r>
      <w:proofErr w:type="spellEnd"/>
    </w:p>
    <w:p w:rsidR="00B04669" w:rsidRDefault="00B04669" w:rsidP="007632FC">
      <w:pPr>
        <w:pStyle w:val="h-lead"/>
        <w:shd w:val="clear" w:color="auto" w:fill="FFFFFF"/>
        <w:spacing w:before="0" w:after="0" w:line="480" w:lineRule="auto"/>
        <w:jc w:val="both"/>
        <w:textAlignment w:val="baseline"/>
        <w:rPr>
          <w:bCs/>
          <w:lang w:val="en-IE" w:eastAsia="en-US"/>
        </w:rPr>
      </w:pPr>
      <w:r w:rsidRPr="007632FC">
        <w:rPr>
          <w:bCs/>
          <w:lang w:val="en-IE" w:eastAsia="en-US"/>
        </w:rPr>
        <w:t xml:space="preserve">Samples were dissociated with </w:t>
      </w:r>
      <w:proofErr w:type="spellStart"/>
      <w:r w:rsidRPr="007632FC">
        <w:rPr>
          <w:bCs/>
          <w:lang w:val="en-IE" w:eastAsia="en-US"/>
        </w:rPr>
        <w:t>Tumor</w:t>
      </w:r>
      <w:proofErr w:type="spellEnd"/>
      <w:r w:rsidRPr="007632FC">
        <w:rPr>
          <w:bCs/>
          <w:lang w:val="en-IE" w:eastAsia="en-US"/>
        </w:rPr>
        <w:t xml:space="preserve"> Dissociation kit (</w:t>
      </w:r>
      <w:proofErr w:type="spellStart"/>
      <w:r w:rsidRPr="007632FC">
        <w:rPr>
          <w:bCs/>
          <w:lang w:val="en-IE" w:eastAsia="en-US"/>
        </w:rPr>
        <w:t>Miltenyi</w:t>
      </w:r>
      <w:proofErr w:type="spellEnd"/>
      <w:r w:rsidRPr="007632FC">
        <w:rPr>
          <w:bCs/>
          <w:lang w:val="en-IE" w:eastAsia="en-US"/>
        </w:rPr>
        <w:t xml:space="preserve"> </w:t>
      </w:r>
      <w:proofErr w:type="spellStart"/>
      <w:r w:rsidRPr="007632FC">
        <w:rPr>
          <w:bCs/>
          <w:lang w:val="en-IE" w:eastAsia="en-US"/>
        </w:rPr>
        <w:t>biotec</w:t>
      </w:r>
      <w:proofErr w:type="spellEnd"/>
      <w:r w:rsidRPr="007632FC">
        <w:rPr>
          <w:bCs/>
          <w:lang w:val="en-IE" w:eastAsia="en-US"/>
        </w:rPr>
        <w:t xml:space="preserve">). </w:t>
      </w:r>
      <w:proofErr w:type="spellStart"/>
      <w:r w:rsidRPr="007632FC">
        <w:rPr>
          <w:bCs/>
          <w:lang w:val="en-IE" w:eastAsia="en-US"/>
        </w:rPr>
        <w:t>Murine</w:t>
      </w:r>
      <w:proofErr w:type="spellEnd"/>
      <w:r w:rsidRPr="007632FC">
        <w:rPr>
          <w:bCs/>
          <w:lang w:val="en-IE" w:eastAsia="en-US"/>
        </w:rPr>
        <w:t xml:space="preserve"> lungs single-cell suspensions (10</w:t>
      </w:r>
      <w:r w:rsidRPr="007632FC">
        <w:rPr>
          <w:bCs/>
          <w:vertAlign w:val="superscript"/>
          <w:lang w:val="en-IE" w:eastAsia="en-US"/>
        </w:rPr>
        <w:t>6</w:t>
      </w:r>
      <w:r w:rsidRPr="007632FC">
        <w:rPr>
          <w:bCs/>
          <w:lang w:val="en-IE" w:eastAsia="en-US"/>
        </w:rPr>
        <w:t xml:space="preserve"> cells) were incubated in staining solution containing 1% BSA, 2 </w:t>
      </w:r>
      <w:proofErr w:type="spellStart"/>
      <w:r w:rsidRPr="007632FC">
        <w:rPr>
          <w:bCs/>
          <w:lang w:val="en-IE" w:eastAsia="en-US"/>
        </w:rPr>
        <w:t>mM</w:t>
      </w:r>
      <w:proofErr w:type="spellEnd"/>
      <w:r w:rsidRPr="007632FC">
        <w:rPr>
          <w:bCs/>
          <w:lang w:val="en-IE" w:eastAsia="en-US"/>
        </w:rPr>
        <w:t xml:space="preserve"> EDTA, 7-aminoactinomycin D (7-aad) an</w:t>
      </w:r>
      <w:r w:rsidR="00B64464">
        <w:rPr>
          <w:bCs/>
          <w:lang w:val="en-IE" w:eastAsia="en-US"/>
        </w:rPr>
        <w:t>d</w:t>
      </w:r>
      <w:r w:rsidR="00851A45" w:rsidRPr="007632FC">
        <w:rPr>
          <w:bCs/>
          <w:lang w:val="en-IE" w:eastAsia="en-US"/>
        </w:rPr>
        <w:t xml:space="preserve"> </w:t>
      </w:r>
      <w:proofErr w:type="spellStart"/>
      <w:r w:rsidR="00851A45" w:rsidRPr="007632FC">
        <w:rPr>
          <w:bCs/>
          <w:lang w:val="en-IE" w:eastAsia="en-US"/>
        </w:rPr>
        <w:t>PreCP-eFluor</w:t>
      </w:r>
      <w:proofErr w:type="spellEnd"/>
      <w:r w:rsidR="00851A45" w:rsidRPr="007632FC">
        <w:rPr>
          <w:bCs/>
          <w:lang w:val="en-IE" w:eastAsia="en-US"/>
        </w:rPr>
        <w:t xml:space="preserve"> 710- conjugated</w:t>
      </w:r>
      <w:r w:rsidRPr="007632FC">
        <w:rPr>
          <w:bCs/>
          <w:lang w:val="en-IE" w:eastAsia="en-US"/>
        </w:rPr>
        <w:t xml:space="preserve"> anti </w:t>
      </w:r>
      <w:proofErr w:type="spellStart"/>
      <w:r w:rsidRPr="007632FC">
        <w:rPr>
          <w:bCs/>
          <w:lang w:val="en-IE" w:eastAsia="en-US"/>
        </w:rPr>
        <w:t>murine</w:t>
      </w:r>
      <w:proofErr w:type="spellEnd"/>
      <w:r w:rsidRPr="007632FC">
        <w:rPr>
          <w:bCs/>
          <w:lang w:val="en-IE" w:eastAsia="en-US"/>
        </w:rPr>
        <w:t xml:space="preserve"> MHC(H-2Kd) (</w:t>
      </w:r>
      <w:proofErr w:type="spellStart"/>
      <w:r w:rsidRPr="007632FC">
        <w:rPr>
          <w:bCs/>
          <w:lang w:val="en-IE" w:eastAsia="en-US"/>
        </w:rPr>
        <w:t>eBioscience</w:t>
      </w:r>
      <w:proofErr w:type="spellEnd"/>
      <w:r w:rsidRPr="007632FC">
        <w:rPr>
          <w:bCs/>
          <w:lang w:val="en-IE" w:eastAsia="en-US"/>
        </w:rPr>
        <w:t xml:space="preserve">). Samples were acquired by FACS </w:t>
      </w:r>
      <w:proofErr w:type="spellStart"/>
      <w:r w:rsidRPr="007632FC">
        <w:rPr>
          <w:bCs/>
          <w:lang w:val="en-IE" w:eastAsia="en-US"/>
        </w:rPr>
        <w:t>Calibur</w:t>
      </w:r>
      <w:proofErr w:type="spellEnd"/>
      <w:r w:rsidRPr="007632FC">
        <w:rPr>
          <w:bCs/>
          <w:lang w:val="en-IE" w:eastAsia="en-US"/>
        </w:rPr>
        <w:t xml:space="preserve"> and analysed with FlowJo_V10 software as described in </w:t>
      </w:r>
      <w:r w:rsidR="00923F05" w:rsidRPr="00B81F97">
        <w:rPr>
          <w:bCs/>
          <w:highlight w:val="yellow"/>
          <w:lang w:val="en-IE" w:eastAsia="en-US"/>
        </w:rPr>
        <w:fldChar w:fldCharType="begin" w:fldLock="1"/>
      </w:r>
      <w:r w:rsidR="009F41A5" w:rsidRPr="00B81F97">
        <w:rPr>
          <w:bCs/>
          <w:highlight w:val="yellow"/>
          <w:lang w:val="en-IE" w:eastAsia="en-US"/>
        </w:rPr>
        <w:instrText>ADDIN CSL_CITATION { "citationItems" : [ { "id" : "ITEM-1", "itemData" : { "DOI" : "10.1158/0008-5472.can-14-3781", "PMID" : "26141860", "author" : [ { "dropping-particle" : "", "family" : "Bertolini", "given" : "G", "non-dropping-particle" : "", "parse-names" : false, "suffix" : "" }, { "dropping-particle" : "", "family" : "D'Amico", "given" : "L", "non-dropping-particle" : "", "parse-names" : false, "suffix" : "" }, { "dropping-particle" : "", "family" : "Moro", "given" : "M", "non-dropping-particle" : "", "parse-names" : false, "suffix" : "" }, { "dropping-particle" : "", "family" : "Landoni", "given" : "E", "non-dropping-particle" : "", "parse-names" : false, "suffix" : "" }, { "dropping-particle" : "", "family" : "Perego", "given" : "P", "non-dropping-particle" : "", "parse-names" : false, "suffix" : "" }, { "dropping-particle" : "", "family" : "Miceli", "given" : "R", "non-dropping-particle" : "", "parse-names" : false, "suffix" : "" }, { "dropping-particle" : "", "family" : "Gatti", "given" : "L", "non-dropping-particle" : "", "parse-names" : false, "suffix" : "" }, { "dropping-particle" : "", "family" : "Andriani", "given" : "F", "non-dropping-particle" : "", "parse-names" : false, "suffix" : "" }, { "dropping-particle" : "", "family" : "Wong", "given" : "D", "non-dropping-particle" : "", "parse-names" : false, "suffix" : "" }, { "dropping-particle" : "", "family" : "Caserini", "given" : "R", "non-dropping-particle" : "", "parse-names" : false, "suffix" : "" }, { "dropping-particle" : "", "family" : "Tortoreto", "given" : "M", "non-dropping-particle" : "", "parse-names" : false, "suffix" : "" }, { "dropping-particle" : "", "family" : "Milione", "given" : "M", "non-dropping-particle" : "", "parse-names" : false, "suffix" : "" }, { "dropping-particle" : "", "family" : "Ferracini", "given" : "R", "non-dropping-particle" : "", "parse-names" : false, "suffix" : "" }, { "dropping-particle" : "", "family" : "Mariani", "given" : "L", "non-dropping-particle" : "", "parse-names" : false, "suffix" : "" }, { "dropping-particle" : "", "family" : "Pastorino", "given" : "U", "non-dropping-particle" : "", "parse-names" : false, "suffix" : "" }, { "dropping-particle" : "", "family" : "Roato", "given" : "I", "non-dropping-particle" : "", "parse-names" : false, "suffix" : "" }, { "dropping-particle" : "", "family" : "Sozzi", "given" : "G", "non-dropping-particle" : "", "parse-names" : false, "suffix" : "" }, { "dropping-particle" : "", "family" : "Roz", "given" : "L", "non-dropping-particle" : "", "parse-names" : false, "suffix" : "" } ], "id" : "ITEM-1", "issued" : { "date-parts" : [ [ "2015", "9" ] ] }, "title" : "Microenvironment-Modulated Metastatic CD133+/CXCR4+/EpCAM- Lung Cancer-Initiating Cells Sustain Tumor Dissemination and Correlate with Poor Prognosis.", "type" : "article-journal" }, "uris" : [ "http://www.mendeley.com/documents/?uuid=94a03802-c9b2-3de1-b184-23c2543a90df" ] } ], "mendeley" : { "formattedCitation" : "(14)", "plainTextFormattedCitation" : "(14)", "previouslyFormattedCitation" : "(14)" }, "properties" : {  }, "schema" : "https://github.com/citation-style-language/schema/raw/master/csl-citation.json" }</w:instrText>
      </w:r>
      <w:r w:rsidR="00923F05" w:rsidRPr="00B81F97">
        <w:rPr>
          <w:bCs/>
          <w:highlight w:val="yellow"/>
          <w:lang w:val="en-IE" w:eastAsia="en-US"/>
        </w:rPr>
        <w:fldChar w:fldCharType="separate"/>
      </w:r>
      <w:r w:rsidR="009F41A5" w:rsidRPr="00B81F97">
        <w:rPr>
          <w:bCs/>
          <w:noProof/>
          <w:highlight w:val="yellow"/>
          <w:lang w:val="en-IE" w:eastAsia="en-US"/>
        </w:rPr>
        <w:t>(1</w:t>
      </w:r>
      <w:r w:rsidR="00B64464" w:rsidRPr="00B81F97">
        <w:rPr>
          <w:bCs/>
          <w:noProof/>
          <w:highlight w:val="yellow"/>
          <w:lang w:val="en-IE" w:eastAsia="en-US"/>
        </w:rPr>
        <w:t>3</w:t>
      </w:r>
      <w:r w:rsidR="009F41A5" w:rsidRPr="00B81F97">
        <w:rPr>
          <w:bCs/>
          <w:noProof/>
          <w:highlight w:val="yellow"/>
          <w:lang w:val="en-IE" w:eastAsia="en-US"/>
        </w:rPr>
        <w:t>)</w:t>
      </w:r>
      <w:r w:rsidR="00923F05" w:rsidRPr="00B81F97">
        <w:rPr>
          <w:bCs/>
          <w:highlight w:val="yellow"/>
          <w:lang w:val="en-IE" w:eastAsia="en-US"/>
        </w:rPr>
        <w:fldChar w:fldCharType="end"/>
      </w:r>
      <w:r w:rsidRPr="00B81F97">
        <w:rPr>
          <w:bCs/>
          <w:highlight w:val="yellow"/>
          <w:lang w:val="en-IE" w:eastAsia="en-US"/>
        </w:rPr>
        <w:t>.</w:t>
      </w:r>
      <w:r w:rsidRPr="007632FC">
        <w:rPr>
          <w:bCs/>
          <w:lang w:val="en-IE" w:eastAsia="en-US"/>
        </w:rPr>
        <w:t xml:space="preserve"> </w:t>
      </w:r>
      <w:r w:rsidRPr="007632FC">
        <w:rPr>
          <w:lang w:val="en-IE"/>
        </w:rPr>
        <w:t>PDXs single cell suspensions (</w:t>
      </w:r>
      <w:r w:rsidRPr="007632FC">
        <w:rPr>
          <w:bCs/>
          <w:lang w:val="en-IE" w:eastAsia="en-US"/>
        </w:rPr>
        <w:t>10</w:t>
      </w:r>
      <w:r w:rsidRPr="007632FC">
        <w:rPr>
          <w:bCs/>
          <w:vertAlign w:val="superscript"/>
          <w:lang w:val="en-IE" w:eastAsia="en-US"/>
        </w:rPr>
        <w:t>6</w:t>
      </w:r>
      <w:r w:rsidRPr="007632FC">
        <w:rPr>
          <w:bCs/>
          <w:lang w:val="en-IE" w:eastAsia="en-US"/>
        </w:rPr>
        <w:t xml:space="preserve"> cells) were incubated in staining solution </w:t>
      </w:r>
      <w:r w:rsidRPr="007632FC">
        <w:rPr>
          <w:bCs/>
          <w:lang w:val="en-IE" w:eastAsia="en-US"/>
        </w:rPr>
        <w:lastRenderedPageBreak/>
        <w:t xml:space="preserve">containing 1% BSA, 2 </w:t>
      </w:r>
      <w:proofErr w:type="spellStart"/>
      <w:r w:rsidRPr="007632FC">
        <w:rPr>
          <w:bCs/>
          <w:lang w:val="en-IE" w:eastAsia="en-US"/>
        </w:rPr>
        <w:t>mM</w:t>
      </w:r>
      <w:proofErr w:type="spellEnd"/>
      <w:r w:rsidRPr="007632FC">
        <w:rPr>
          <w:bCs/>
          <w:lang w:val="en-IE" w:eastAsia="en-US"/>
        </w:rPr>
        <w:t xml:space="preserve"> EDTA, 7-aminoactinomycin D (7-aad)</w:t>
      </w:r>
      <w:r w:rsidRPr="007632FC">
        <w:rPr>
          <w:lang w:val="en-IE"/>
        </w:rPr>
        <w:t xml:space="preserve"> FITC-conjugated anti-PD1 antibody (BD Biosciences). For analysis of immune infiltrate, cell suspensions were </w:t>
      </w:r>
      <w:r w:rsidRPr="007632FC">
        <w:rPr>
          <w:bCs/>
          <w:lang w:val="en-IE" w:eastAsia="en-US"/>
        </w:rPr>
        <w:t xml:space="preserve">incubated in staining solution containing 1% BSA, 2 </w:t>
      </w:r>
      <w:proofErr w:type="spellStart"/>
      <w:r w:rsidRPr="007632FC">
        <w:rPr>
          <w:bCs/>
          <w:lang w:val="en-IE" w:eastAsia="en-US"/>
        </w:rPr>
        <w:t>mM</w:t>
      </w:r>
      <w:proofErr w:type="spellEnd"/>
      <w:r w:rsidRPr="007632FC">
        <w:rPr>
          <w:bCs/>
          <w:lang w:val="en-IE" w:eastAsia="en-US"/>
        </w:rPr>
        <w:t xml:space="preserve"> EDTA, and the corresponding antibodies described within reagents. For </w:t>
      </w:r>
      <w:proofErr w:type="spellStart"/>
      <w:r w:rsidRPr="007632FC">
        <w:rPr>
          <w:bCs/>
          <w:lang w:val="en-IE" w:eastAsia="en-US"/>
        </w:rPr>
        <w:t>Nivolumab</w:t>
      </w:r>
      <w:proofErr w:type="spellEnd"/>
      <w:r w:rsidRPr="007632FC">
        <w:rPr>
          <w:bCs/>
          <w:lang w:val="en-IE" w:eastAsia="en-US"/>
        </w:rPr>
        <w:t xml:space="preserve"> cross-reactivity analysis, cell suspensions were incubated in staining solution containing 1% BSA, 2 </w:t>
      </w:r>
      <w:proofErr w:type="spellStart"/>
      <w:r w:rsidRPr="007632FC">
        <w:rPr>
          <w:bCs/>
          <w:lang w:val="en-IE" w:eastAsia="en-US"/>
        </w:rPr>
        <w:t>mM</w:t>
      </w:r>
      <w:proofErr w:type="spellEnd"/>
      <w:r w:rsidRPr="007632FC">
        <w:rPr>
          <w:bCs/>
          <w:lang w:val="en-IE" w:eastAsia="en-US"/>
        </w:rPr>
        <w:t xml:space="preserve"> EDTA, 7-aminoactinomycin D (7-aad) and </w:t>
      </w:r>
      <w:proofErr w:type="spellStart"/>
      <w:r w:rsidRPr="007632FC">
        <w:rPr>
          <w:bCs/>
          <w:lang w:val="en-IE" w:eastAsia="en-US"/>
        </w:rPr>
        <w:t>Nivolumab</w:t>
      </w:r>
      <w:proofErr w:type="spellEnd"/>
      <w:r w:rsidRPr="007632FC">
        <w:rPr>
          <w:bCs/>
          <w:lang w:val="en-IE" w:eastAsia="en-US"/>
        </w:rPr>
        <w:t xml:space="preserve">, </w:t>
      </w:r>
      <w:proofErr w:type="spellStart"/>
      <w:r w:rsidRPr="007632FC">
        <w:rPr>
          <w:bCs/>
          <w:lang w:val="en-IE" w:eastAsia="en-US"/>
        </w:rPr>
        <w:t>biotinyilated-Nivolumab</w:t>
      </w:r>
      <w:proofErr w:type="spellEnd"/>
      <w:r w:rsidRPr="007632FC">
        <w:rPr>
          <w:bCs/>
          <w:lang w:val="en-IE" w:eastAsia="en-US"/>
        </w:rPr>
        <w:t xml:space="preserve"> or </w:t>
      </w:r>
      <w:r w:rsidR="00C971AB" w:rsidRPr="007632FC">
        <w:rPr>
          <w:bCs/>
          <w:lang w:val="en-IE" w:eastAsia="en-US"/>
        </w:rPr>
        <w:t xml:space="preserve">PE </w:t>
      </w:r>
      <w:proofErr w:type="spellStart"/>
      <w:r w:rsidRPr="007632FC">
        <w:rPr>
          <w:bCs/>
          <w:lang w:val="en-IE" w:eastAsia="en-US"/>
        </w:rPr>
        <w:t>murine</w:t>
      </w:r>
      <w:proofErr w:type="spellEnd"/>
      <w:r w:rsidRPr="007632FC">
        <w:rPr>
          <w:bCs/>
          <w:lang w:val="en-IE" w:eastAsia="en-US"/>
        </w:rPr>
        <w:t xml:space="preserve"> anti PD-1 antibody. Samples were acquired by FACS </w:t>
      </w:r>
      <w:proofErr w:type="spellStart"/>
      <w:r w:rsidRPr="007632FC">
        <w:rPr>
          <w:bCs/>
          <w:lang w:val="en-IE" w:eastAsia="en-US"/>
        </w:rPr>
        <w:t>Calibur</w:t>
      </w:r>
      <w:proofErr w:type="spellEnd"/>
      <w:r w:rsidRPr="007632FC">
        <w:rPr>
          <w:bCs/>
          <w:lang w:val="en-IE" w:eastAsia="en-US"/>
        </w:rPr>
        <w:t xml:space="preserve"> and analysed with FlowJo_V10 software. </w:t>
      </w:r>
    </w:p>
    <w:p w:rsidR="00820A87" w:rsidRPr="007632FC" w:rsidRDefault="00820A87" w:rsidP="007632FC">
      <w:pPr>
        <w:pStyle w:val="h-lead"/>
        <w:shd w:val="clear" w:color="auto" w:fill="FFFFFF"/>
        <w:spacing w:before="0" w:after="0" w:line="480" w:lineRule="auto"/>
        <w:jc w:val="both"/>
        <w:textAlignment w:val="baseline"/>
        <w:rPr>
          <w:bCs/>
          <w:lang w:val="en-IE" w:eastAsia="en-US"/>
        </w:rPr>
      </w:pPr>
    </w:p>
    <w:p w:rsidR="001639CC" w:rsidRPr="007632FC" w:rsidRDefault="001639CC" w:rsidP="007632FC">
      <w:pPr>
        <w:spacing w:after="0" w:line="480" w:lineRule="auto"/>
        <w:jc w:val="both"/>
        <w:rPr>
          <w:rFonts w:ascii="Times New Roman" w:hAnsi="Times New Roman" w:cs="Times New Roman"/>
          <w:b/>
          <w:sz w:val="24"/>
          <w:szCs w:val="24"/>
          <w:u w:val="single"/>
          <w:lang w:val="en-US"/>
        </w:rPr>
      </w:pPr>
      <w:r w:rsidRPr="007632FC">
        <w:rPr>
          <w:rFonts w:ascii="Times New Roman" w:hAnsi="Times New Roman" w:cs="Times New Roman"/>
          <w:b/>
          <w:sz w:val="24"/>
          <w:szCs w:val="24"/>
          <w:u w:val="single"/>
          <w:lang w:val="en-US"/>
        </w:rPr>
        <w:t>Statistical Analysis</w:t>
      </w:r>
    </w:p>
    <w:p w:rsidR="00820A87" w:rsidRDefault="004D182C" w:rsidP="007632FC">
      <w:pPr>
        <w:spacing w:after="0" w:line="480" w:lineRule="auto"/>
        <w:jc w:val="both"/>
        <w:rPr>
          <w:rFonts w:ascii="Times New Roman" w:hAnsi="Times New Roman" w:cs="Times New Roman"/>
          <w:sz w:val="24"/>
          <w:szCs w:val="24"/>
          <w:lang w:val="en-US"/>
        </w:rPr>
      </w:pPr>
      <w:r w:rsidRPr="007632FC">
        <w:rPr>
          <w:rFonts w:ascii="Times New Roman" w:hAnsi="Times New Roman" w:cs="Times New Roman"/>
          <w:sz w:val="24"/>
          <w:szCs w:val="24"/>
          <w:lang w:val="en-US"/>
        </w:rPr>
        <w:t xml:space="preserve">For in vivo experiments, differences between treatment groups were calculated using mixed models ANOVA as described in </w:t>
      </w:r>
      <w:r w:rsidR="00923F05" w:rsidRPr="007632FC">
        <w:rPr>
          <w:rFonts w:ascii="Times New Roman" w:hAnsi="Times New Roman" w:cs="Times New Roman"/>
          <w:sz w:val="24"/>
          <w:szCs w:val="24"/>
          <w:lang w:val="en-US"/>
        </w:rPr>
        <w:fldChar w:fldCharType="begin" w:fldLock="1"/>
      </w:r>
      <w:r w:rsidR="009F41A5">
        <w:rPr>
          <w:rFonts w:ascii="Times New Roman" w:hAnsi="Times New Roman" w:cs="Times New Roman"/>
          <w:sz w:val="24"/>
          <w:szCs w:val="24"/>
          <w:lang w:val="en-US"/>
        </w:rPr>
        <w:instrText>ADDIN CSL_CITATION { "citationItems" : [ { "id" : "ITEM-1", "itemData" : { "DOI" : "10.1038/mt.2010.127", "ISBN" : "1525-0024; 1525-0016", "ISSN" : "15250016", "PMID" : "20588256", "abstract" : "Longitudinally collected outcomes are increasingly common in cell biology and gene therapy research. In this article, we review the current practice of statistical analysis of longitudinal data in these fields, and recommend the \"best performing\" statistical method among those available in most statistical packages. A survey of papers published in Molecular Therapy indicates that longitudinal data are only properly analyzed in a small fraction of articles, and the most popular approach was analyzing each measurement time point data separately using an analysis of variance (ANOVA) model with Tukey's post hoc tests. We show that first, such cross-sectional ANOVA approach does not utilize all the power that the longitudinal design of a study provides, and second, Tukey's post hoc tests applied at each measurement time separately could result in a false positivity rate as high as 30% using a simulation study. We recommend mixed effects model analysis instead. We also discuss the complexities of multiple comparison adjustment in the post hoc testing that result from within experimental unit correlation existing in longitudinal data. We recommend resampling as a method that readily adjusts the post hoc testing to be limited to only interesting comparisons and thereby avoids unduly sacrificing the power.", "author" : [ { "dropping-particle" : "", "family" : "Liu", "given" : "Chunyan", "non-dropping-particle" : "", "parse-names" : false, "suffix" : "" }, { "dropping-particle" : "", "family" : "Cripe", "given" : "Timothy P", "non-dropping-particle" : "", "parse-names" : false, "suffix" : "" }, { "dropping-particle" : "", "family" : "Kim", "given" : "Mi-Ok", "non-dropping-particle" : "", "parse-names" : false, "suffix" : "" } ], "container-title" : "Molecular Therapy", "id" : "ITEM-1", "issue" : "9", "issued" : { "date-parts" : [ [ "2010" ] ] }, "page" : "1724-1730", "publisher" : "The American Society of Gene &amp; Cell Therapy", "title" : "Statistical Issues in Longitudinal Data Analysis for Treatment Efficacy Studies in the Biomedical Sciences", "type" : "article-journal", "volume" : "18" }, "uris" : [ "http://www.mendeley.com/documents/?uuid=de729f3e-e5a3-4a3b-aace-f50a7a05b057" ] } ], "mendeley" : { "formattedCitation" : "(15)", "plainTextFormattedCitation" : "(15)", "previouslyFormattedCitation" : "(15)" }, "properties" : {  }, "schema" : "https://github.com/citation-style-language/schema/raw/master/csl-citation.json" }</w:instrText>
      </w:r>
      <w:r w:rsidR="00923F05" w:rsidRPr="007632FC">
        <w:rPr>
          <w:rFonts w:ascii="Times New Roman" w:hAnsi="Times New Roman" w:cs="Times New Roman"/>
          <w:sz w:val="24"/>
          <w:szCs w:val="24"/>
          <w:lang w:val="en-US"/>
        </w:rPr>
        <w:fldChar w:fldCharType="separate"/>
      </w:r>
      <w:r w:rsidR="009F41A5" w:rsidRPr="009F41A5">
        <w:rPr>
          <w:rFonts w:ascii="Times New Roman" w:hAnsi="Times New Roman" w:cs="Times New Roman"/>
          <w:noProof/>
          <w:sz w:val="24"/>
          <w:szCs w:val="24"/>
          <w:lang w:val="en-US"/>
        </w:rPr>
        <w:t>(</w:t>
      </w:r>
      <w:r w:rsidR="009F41A5" w:rsidRPr="00B81F97">
        <w:rPr>
          <w:rFonts w:ascii="Times New Roman" w:hAnsi="Times New Roman" w:cs="Times New Roman"/>
          <w:noProof/>
          <w:sz w:val="24"/>
          <w:szCs w:val="24"/>
          <w:highlight w:val="yellow"/>
          <w:lang w:val="en-US"/>
        </w:rPr>
        <w:t>1</w:t>
      </w:r>
      <w:r w:rsidR="00B64464" w:rsidRPr="00B81F97">
        <w:rPr>
          <w:rFonts w:ascii="Times New Roman" w:hAnsi="Times New Roman" w:cs="Times New Roman"/>
          <w:noProof/>
          <w:sz w:val="24"/>
          <w:szCs w:val="24"/>
          <w:highlight w:val="yellow"/>
          <w:lang w:val="en-US"/>
        </w:rPr>
        <w:t>4</w:t>
      </w:r>
      <w:r w:rsidR="009F41A5" w:rsidRPr="00B81F97">
        <w:rPr>
          <w:rFonts w:ascii="Times New Roman" w:hAnsi="Times New Roman" w:cs="Times New Roman"/>
          <w:noProof/>
          <w:sz w:val="24"/>
          <w:szCs w:val="24"/>
          <w:highlight w:val="yellow"/>
          <w:lang w:val="en-US"/>
        </w:rPr>
        <w:t>)</w:t>
      </w:r>
      <w:r w:rsidR="00923F05" w:rsidRPr="007632FC">
        <w:rPr>
          <w:rFonts w:ascii="Times New Roman" w:hAnsi="Times New Roman" w:cs="Times New Roman"/>
          <w:sz w:val="24"/>
          <w:szCs w:val="24"/>
          <w:lang w:val="en-US"/>
        </w:rPr>
        <w:fldChar w:fldCharType="end"/>
      </w:r>
      <w:r w:rsidRPr="007632FC">
        <w:rPr>
          <w:rFonts w:ascii="Times New Roman" w:hAnsi="Times New Roman" w:cs="Times New Roman"/>
          <w:sz w:val="24"/>
          <w:szCs w:val="24"/>
          <w:lang w:val="en-US"/>
        </w:rPr>
        <w:t xml:space="preserve">. </w:t>
      </w:r>
      <w:r w:rsidR="001639CC" w:rsidRPr="007632FC">
        <w:rPr>
          <w:rFonts w:ascii="Times New Roman" w:hAnsi="Times New Roman" w:cs="Times New Roman"/>
          <w:sz w:val="24"/>
          <w:szCs w:val="24"/>
          <w:lang w:val="en-US"/>
        </w:rPr>
        <w:t>Data were analyzed using Graph Pad Prism version 7.0 (</w:t>
      </w:r>
      <w:proofErr w:type="spellStart"/>
      <w:r w:rsidR="001639CC" w:rsidRPr="007632FC">
        <w:rPr>
          <w:rFonts w:ascii="Times New Roman" w:hAnsi="Times New Roman" w:cs="Times New Roman"/>
          <w:sz w:val="24"/>
          <w:szCs w:val="24"/>
          <w:lang w:val="en-US"/>
        </w:rPr>
        <w:t>GraphPad</w:t>
      </w:r>
      <w:proofErr w:type="spellEnd"/>
      <w:r w:rsidR="001639CC" w:rsidRPr="007632FC">
        <w:rPr>
          <w:rFonts w:ascii="Times New Roman" w:hAnsi="Times New Roman" w:cs="Times New Roman"/>
          <w:sz w:val="24"/>
          <w:szCs w:val="24"/>
          <w:lang w:val="en-US"/>
        </w:rPr>
        <w:t xml:space="preserve"> Software, San Diego, CA, USA). Statistical analyses of the results were performed using either unpaired T test or Mann-Whitney U test depending on data distribution (parametric or nonparametric). p-values &lt; 0.05 were considered statistically significant.</w:t>
      </w:r>
    </w:p>
    <w:p w:rsidR="00820A87" w:rsidRDefault="00820A8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F41A5" w:rsidRDefault="00DF555E" w:rsidP="007632FC">
      <w:pPr>
        <w:spacing w:after="0" w:line="480" w:lineRule="auto"/>
        <w:jc w:val="both"/>
        <w:rPr>
          <w:rFonts w:ascii="Times New Roman" w:hAnsi="Times New Roman" w:cs="Times New Roman"/>
          <w:b/>
          <w:sz w:val="24"/>
          <w:szCs w:val="24"/>
          <w:u w:val="single"/>
          <w:lang w:val="en-US"/>
        </w:rPr>
      </w:pPr>
      <w:r w:rsidRPr="00DF555E">
        <w:rPr>
          <w:rFonts w:ascii="Times New Roman" w:hAnsi="Times New Roman" w:cs="Times New Roman"/>
          <w:b/>
          <w:sz w:val="24"/>
          <w:szCs w:val="24"/>
          <w:u w:val="single"/>
          <w:lang w:val="en-US"/>
        </w:rPr>
        <w:lastRenderedPageBreak/>
        <w:t>SUPPLEMENTARY FIGURE LEGENDS</w:t>
      </w:r>
    </w:p>
    <w:p w:rsidR="00DF555E" w:rsidRPr="00DF555E" w:rsidRDefault="00DF555E" w:rsidP="00F875E1">
      <w:pPr>
        <w:spacing w:after="0" w:line="480" w:lineRule="auto"/>
        <w:jc w:val="both"/>
        <w:rPr>
          <w:rFonts w:ascii="Times New Roman" w:hAnsi="Times New Roman" w:cs="Times New Roman"/>
          <w:sz w:val="24"/>
          <w:szCs w:val="24"/>
          <w:lang w:val="en-US"/>
        </w:rPr>
      </w:pPr>
      <w:r w:rsidRPr="00DF555E">
        <w:rPr>
          <w:rFonts w:ascii="Times New Roman" w:hAnsi="Times New Roman" w:cs="Times New Roman"/>
          <w:b/>
          <w:sz w:val="24"/>
          <w:szCs w:val="24"/>
          <w:lang w:val="en-US"/>
        </w:rPr>
        <w:t>Supplementary Figure S1. Analysis of gene expression and RT-</w:t>
      </w:r>
      <w:proofErr w:type="spellStart"/>
      <w:r w:rsidRPr="00DF555E">
        <w:rPr>
          <w:rFonts w:ascii="Times New Roman" w:hAnsi="Times New Roman" w:cs="Times New Roman"/>
          <w:b/>
          <w:sz w:val="24"/>
          <w:szCs w:val="24"/>
          <w:lang w:val="en-US"/>
        </w:rPr>
        <w:t>qPCR</w:t>
      </w:r>
      <w:proofErr w:type="spellEnd"/>
      <w:r w:rsidRPr="00DF555E">
        <w:rPr>
          <w:rFonts w:ascii="Times New Roman" w:hAnsi="Times New Roman" w:cs="Times New Roman"/>
          <w:b/>
          <w:sz w:val="24"/>
          <w:szCs w:val="24"/>
          <w:lang w:val="en-US"/>
        </w:rPr>
        <w:t xml:space="preserve"> data in strata of class of response: </w:t>
      </w:r>
      <w:proofErr w:type="spellStart"/>
      <w:r w:rsidRPr="00DF555E">
        <w:rPr>
          <w:rFonts w:ascii="Times New Roman" w:hAnsi="Times New Roman" w:cs="Times New Roman"/>
          <w:b/>
          <w:sz w:val="24"/>
          <w:szCs w:val="24"/>
          <w:lang w:val="en-US"/>
        </w:rPr>
        <w:t>hyperprogressors</w:t>
      </w:r>
      <w:proofErr w:type="spellEnd"/>
      <w:r w:rsidRPr="00DF555E">
        <w:rPr>
          <w:rFonts w:ascii="Times New Roman" w:hAnsi="Times New Roman" w:cs="Times New Roman"/>
          <w:b/>
          <w:sz w:val="24"/>
          <w:szCs w:val="24"/>
          <w:lang w:val="en-US"/>
        </w:rPr>
        <w:t xml:space="preserve"> (HP), </w:t>
      </w:r>
      <w:proofErr w:type="spellStart"/>
      <w:r w:rsidRPr="00DF555E">
        <w:rPr>
          <w:rFonts w:ascii="Times New Roman" w:hAnsi="Times New Roman" w:cs="Times New Roman"/>
          <w:b/>
          <w:sz w:val="24"/>
          <w:szCs w:val="24"/>
          <w:lang w:val="en-US"/>
        </w:rPr>
        <w:t>progressors</w:t>
      </w:r>
      <w:proofErr w:type="spellEnd"/>
      <w:r w:rsidRPr="00DF555E">
        <w:rPr>
          <w:rFonts w:ascii="Times New Roman" w:hAnsi="Times New Roman" w:cs="Times New Roman"/>
          <w:b/>
          <w:sz w:val="24"/>
          <w:szCs w:val="24"/>
          <w:lang w:val="en-US"/>
        </w:rPr>
        <w:t xml:space="preserve"> (P), stable disease (SD) and </w:t>
      </w:r>
      <w:proofErr w:type="spellStart"/>
      <w:r w:rsidRPr="00DF555E">
        <w:rPr>
          <w:rFonts w:ascii="Times New Roman" w:hAnsi="Times New Roman" w:cs="Times New Roman"/>
          <w:b/>
          <w:sz w:val="24"/>
          <w:szCs w:val="24"/>
          <w:lang w:val="en-US"/>
        </w:rPr>
        <w:t>reponders</w:t>
      </w:r>
      <w:proofErr w:type="spellEnd"/>
      <w:r w:rsidRPr="00DF555E">
        <w:rPr>
          <w:rFonts w:ascii="Times New Roman" w:hAnsi="Times New Roman" w:cs="Times New Roman"/>
          <w:b/>
          <w:sz w:val="24"/>
          <w:szCs w:val="24"/>
          <w:lang w:val="en-US"/>
        </w:rPr>
        <w:t xml:space="preserve"> (R)</w:t>
      </w:r>
      <w:r w:rsidRPr="00DF555E">
        <w:rPr>
          <w:rFonts w:ascii="Times New Roman" w:hAnsi="Times New Roman" w:cs="Times New Roman"/>
          <w:sz w:val="24"/>
          <w:szCs w:val="24"/>
          <w:lang w:val="en-US"/>
        </w:rPr>
        <w:t xml:space="preserve">. </w:t>
      </w:r>
    </w:p>
    <w:p w:rsidR="00DF555E" w:rsidRDefault="00DF555E" w:rsidP="00F875E1">
      <w:pPr>
        <w:spacing w:after="0" w:line="480" w:lineRule="auto"/>
        <w:jc w:val="both"/>
        <w:rPr>
          <w:rFonts w:ascii="Times New Roman" w:hAnsi="Times New Roman" w:cs="Times New Roman"/>
          <w:sz w:val="24"/>
          <w:szCs w:val="24"/>
          <w:lang w:val="en-US"/>
        </w:rPr>
      </w:pPr>
      <w:r w:rsidRPr="00DF555E">
        <w:rPr>
          <w:rFonts w:ascii="Times New Roman" w:hAnsi="Times New Roman" w:cs="Times New Roman"/>
          <w:sz w:val="24"/>
          <w:szCs w:val="24"/>
          <w:lang w:val="en-US"/>
        </w:rPr>
        <w:t>(</w:t>
      </w:r>
      <w:r w:rsidRPr="00DF555E">
        <w:rPr>
          <w:rFonts w:ascii="Times New Roman" w:hAnsi="Times New Roman" w:cs="Times New Roman"/>
          <w:b/>
          <w:sz w:val="24"/>
          <w:szCs w:val="24"/>
          <w:lang w:val="en-US"/>
        </w:rPr>
        <w:t>A</w:t>
      </w:r>
      <w:r w:rsidRPr="00DF555E">
        <w:rPr>
          <w:rFonts w:ascii="Times New Roman" w:hAnsi="Times New Roman" w:cs="Times New Roman"/>
          <w:sz w:val="24"/>
          <w:szCs w:val="24"/>
          <w:lang w:val="en-US"/>
        </w:rPr>
        <w:t xml:space="preserve">) </w:t>
      </w:r>
      <w:proofErr w:type="spellStart"/>
      <w:r w:rsidRPr="00DF555E">
        <w:rPr>
          <w:rFonts w:ascii="Times New Roman" w:hAnsi="Times New Roman" w:cs="Times New Roman"/>
          <w:sz w:val="24"/>
          <w:szCs w:val="24"/>
          <w:lang w:val="en-US"/>
        </w:rPr>
        <w:t>Heatmap</w:t>
      </w:r>
      <w:proofErr w:type="spellEnd"/>
      <w:r w:rsidRPr="00DF555E">
        <w:rPr>
          <w:rFonts w:ascii="Times New Roman" w:hAnsi="Times New Roman" w:cs="Times New Roman"/>
          <w:sz w:val="24"/>
          <w:szCs w:val="24"/>
          <w:lang w:val="en-US"/>
        </w:rPr>
        <w:t xml:space="preserve"> of genes differentially expressed (p&lt;0.01) comparing HP </w:t>
      </w:r>
      <w:proofErr w:type="spellStart"/>
      <w:r w:rsidRPr="00DF555E">
        <w:rPr>
          <w:rFonts w:ascii="Times New Roman" w:hAnsi="Times New Roman" w:cs="Times New Roman"/>
          <w:sz w:val="24"/>
          <w:szCs w:val="24"/>
          <w:lang w:val="en-US"/>
        </w:rPr>
        <w:t>vs</w:t>
      </w:r>
      <w:proofErr w:type="spellEnd"/>
      <w:r w:rsidRPr="00DF555E">
        <w:rPr>
          <w:rFonts w:ascii="Times New Roman" w:hAnsi="Times New Roman" w:cs="Times New Roman"/>
          <w:sz w:val="24"/>
          <w:szCs w:val="24"/>
          <w:lang w:val="en-US"/>
        </w:rPr>
        <w:t xml:space="preserve"> P+SD+R. (</w:t>
      </w:r>
      <w:r w:rsidRPr="00DF555E">
        <w:rPr>
          <w:rFonts w:ascii="Times New Roman" w:hAnsi="Times New Roman" w:cs="Times New Roman"/>
          <w:b/>
          <w:sz w:val="24"/>
          <w:szCs w:val="24"/>
          <w:lang w:val="en-US"/>
        </w:rPr>
        <w:t>B</w:t>
      </w:r>
      <w:r w:rsidRPr="00DF555E">
        <w:rPr>
          <w:rFonts w:ascii="Times New Roman" w:hAnsi="Times New Roman" w:cs="Times New Roman"/>
          <w:sz w:val="24"/>
          <w:szCs w:val="24"/>
          <w:lang w:val="en-US"/>
        </w:rPr>
        <w:t xml:space="preserve">) </w:t>
      </w:r>
      <w:proofErr w:type="spellStart"/>
      <w:r w:rsidRPr="00DF555E">
        <w:rPr>
          <w:rFonts w:ascii="Times New Roman" w:hAnsi="Times New Roman" w:cs="Times New Roman"/>
          <w:sz w:val="24"/>
          <w:szCs w:val="24"/>
          <w:lang w:val="en-US"/>
        </w:rPr>
        <w:t>Barplot</w:t>
      </w:r>
      <w:proofErr w:type="spellEnd"/>
      <w:r w:rsidRPr="00DF555E">
        <w:rPr>
          <w:rFonts w:ascii="Times New Roman" w:hAnsi="Times New Roman" w:cs="Times New Roman"/>
          <w:sz w:val="24"/>
          <w:szCs w:val="24"/>
          <w:lang w:val="en-US"/>
        </w:rPr>
        <w:t xml:space="preserve"> of the Normalized Enrichment Score (NES) for significant pathways (NES≥1.5, p&lt;0.01, FDR&lt;0.15) identified by </w:t>
      </w:r>
      <w:proofErr w:type="spellStart"/>
      <w:r w:rsidRPr="00DF555E">
        <w:rPr>
          <w:rFonts w:ascii="Times New Roman" w:hAnsi="Times New Roman" w:cs="Times New Roman"/>
          <w:sz w:val="24"/>
          <w:szCs w:val="24"/>
          <w:lang w:val="en-US"/>
        </w:rPr>
        <w:t>GeneSet</w:t>
      </w:r>
      <w:proofErr w:type="spellEnd"/>
      <w:r w:rsidRPr="00DF555E">
        <w:rPr>
          <w:rFonts w:ascii="Times New Roman" w:hAnsi="Times New Roman" w:cs="Times New Roman"/>
          <w:sz w:val="24"/>
          <w:szCs w:val="24"/>
          <w:lang w:val="en-US"/>
        </w:rPr>
        <w:t xml:space="preserve"> Enrichment Analysis (GSEA) comparing HP </w:t>
      </w:r>
      <w:proofErr w:type="spellStart"/>
      <w:r w:rsidRPr="00DF555E">
        <w:rPr>
          <w:rFonts w:ascii="Times New Roman" w:hAnsi="Times New Roman" w:cs="Times New Roman"/>
          <w:sz w:val="24"/>
          <w:szCs w:val="24"/>
          <w:lang w:val="en-US"/>
        </w:rPr>
        <w:t>vs</w:t>
      </w:r>
      <w:proofErr w:type="spellEnd"/>
      <w:r w:rsidRPr="00DF555E">
        <w:rPr>
          <w:rFonts w:ascii="Times New Roman" w:hAnsi="Times New Roman" w:cs="Times New Roman"/>
          <w:sz w:val="24"/>
          <w:szCs w:val="24"/>
          <w:lang w:val="en-US"/>
        </w:rPr>
        <w:t xml:space="preserve"> P+SD+R. (</w:t>
      </w:r>
      <w:r w:rsidRPr="00DF555E">
        <w:rPr>
          <w:rFonts w:ascii="Times New Roman" w:hAnsi="Times New Roman" w:cs="Times New Roman"/>
          <w:b/>
          <w:sz w:val="24"/>
          <w:szCs w:val="24"/>
          <w:lang w:val="en-US"/>
        </w:rPr>
        <w:t>C</w:t>
      </w:r>
      <w:r w:rsidRPr="00DF555E">
        <w:rPr>
          <w:rFonts w:ascii="Times New Roman" w:hAnsi="Times New Roman" w:cs="Times New Roman"/>
          <w:sz w:val="24"/>
          <w:szCs w:val="24"/>
          <w:lang w:val="en-US"/>
        </w:rPr>
        <w:t>) Histograms of the –</w:t>
      </w:r>
      <w:r w:rsidRPr="00B03937">
        <w:rPr>
          <w:rFonts w:ascii="Symbol" w:hAnsi="Symbol" w:cs="Times New Roman"/>
          <w:sz w:val="24"/>
          <w:szCs w:val="24"/>
        </w:rPr>
        <w:t></w:t>
      </w:r>
      <w:r w:rsidRPr="00B03937">
        <w:rPr>
          <w:rFonts w:ascii="Symbol" w:hAnsi="Symbol" w:cs="Times New Roman"/>
          <w:sz w:val="24"/>
          <w:szCs w:val="24"/>
        </w:rPr>
        <w:t></w:t>
      </w:r>
      <w:r w:rsidRPr="00DF555E">
        <w:rPr>
          <w:rFonts w:ascii="Times New Roman" w:hAnsi="Times New Roman" w:cs="Times New Roman"/>
          <w:sz w:val="24"/>
          <w:szCs w:val="24"/>
          <w:lang w:val="en-US"/>
        </w:rPr>
        <w:t>Ct value of genes representative of immune subsets measured by RT-</w:t>
      </w:r>
      <w:proofErr w:type="spellStart"/>
      <w:r w:rsidRPr="00DF555E">
        <w:rPr>
          <w:rFonts w:ascii="Times New Roman" w:hAnsi="Times New Roman" w:cs="Times New Roman"/>
          <w:sz w:val="24"/>
          <w:szCs w:val="24"/>
          <w:lang w:val="en-US"/>
        </w:rPr>
        <w:t>qPCR</w:t>
      </w:r>
      <w:proofErr w:type="spellEnd"/>
      <w:r w:rsidRPr="00DF555E">
        <w:rPr>
          <w:rFonts w:ascii="Times New Roman" w:hAnsi="Times New Roman" w:cs="Times New Roman"/>
          <w:sz w:val="24"/>
          <w:szCs w:val="24"/>
          <w:lang w:val="en-US"/>
        </w:rPr>
        <w:t xml:space="preserve"> using ACTB as housekeeping gene and the maximum expression value as calibrator (*p&lt;0.05). </w:t>
      </w:r>
    </w:p>
    <w:p w:rsidR="00DF555E" w:rsidRPr="00DF555E" w:rsidRDefault="00DF555E" w:rsidP="00F875E1">
      <w:pPr>
        <w:spacing w:after="0" w:line="480" w:lineRule="auto"/>
        <w:jc w:val="both"/>
        <w:rPr>
          <w:rFonts w:ascii="Times New Roman" w:hAnsi="Times New Roman" w:cs="Times New Roman"/>
          <w:sz w:val="24"/>
          <w:szCs w:val="24"/>
          <w:lang w:val="en-US"/>
        </w:rPr>
      </w:pPr>
    </w:p>
    <w:p w:rsidR="00DF555E" w:rsidRPr="00DF555E" w:rsidRDefault="00DF555E" w:rsidP="00F875E1">
      <w:pPr>
        <w:spacing w:line="480" w:lineRule="auto"/>
        <w:jc w:val="both"/>
        <w:rPr>
          <w:rFonts w:ascii="Times New Roman" w:hAnsi="Times New Roman" w:cs="Times New Roman"/>
          <w:sz w:val="24"/>
          <w:szCs w:val="24"/>
          <w:lang w:val="en-US"/>
        </w:rPr>
      </w:pPr>
      <w:r w:rsidRPr="00DF555E">
        <w:rPr>
          <w:rFonts w:ascii="Times New Roman" w:hAnsi="Times New Roman" w:cs="Times New Roman"/>
          <w:b/>
          <w:sz w:val="24"/>
          <w:szCs w:val="24"/>
          <w:lang w:val="en-US"/>
        </w:rPr>
        <w:t>Supplementary Figure S2</w:t>
      </w:r>
      <w:r w:rsidRPr="00DF555E">
        <w:rPr>
          <w:rFonts w:ascii="Times New Roman" w:hAnsi="Times New Roman" w:cs="Times New Roman"/>
          <w:sz w:val="24"/>
          <w:szCs w:val="24"/>
          <w:lang w:val="en-US"/>
        </w:rPr>
        <w:t xml:space="preserve">: </w:t>
      </w:r>
      <w:r w:rsidRPr="00DF555E">
        <w:rPr>
          <w:rFonts w:ascii="Times New Roman" w:hAnsi="Times New Roman" w:cs="Times New Roman"/>
          <w:b/>
          <w:sz w:val="24"/>
          <w:szCs w:val="24"/>
          <w:lang w:val="en-US"/>
        </w:rPr>
        <w:t>Fluorescence in situ hybridization (FISH)</w:t>
      </w:r>
      <w:r w:rsidRPr="00DF555E">
        <w:rPr>
          <w:rFonts w:ascii="Times New Roman" w:hAnsi="Times New Roman" w:cs="Times New Roman"/>
          <w:sz w:val="24"/>
          <w:szCs w:val="24"/>
          <w:lang w:val="en-US"/>
        </w:rPr>
        <w:t xml:space="preserve">. Amplification of MDM2/4 was assessed in a cohort of 28 FFPE NSCLC tissue by FISH analysis. Figure shows representative pictures of </w:t>
      </w:r>
      <w:r w:rsidRPr="00DF555E">
        <w:rPr>
          <w:rFonts w:ascii="Times New Roman" w:hAnsi="Times New Roman" w:cs="Times New Roman"/>
          <w:b/>
          <w:sz w:val="24"/>
          <w:szCs w:val="24"/>
          <w:lang w:val="en-US"/>
        </w:rPr>
        <w:t xml:space="preserve">(A) </w:t>
      </w:r>
      <w:r w:rsidRPr="00DF555E">
        <w:rPr>
          <w:rFonts w:ascii="Times New Roman" w:hAnsi="Times New Roman" w:cs="Times New Roman"/>
          <w:sz w:val="24"/>
          <w:szCs w:val="24"/>
          <w:lang w:val="en-US"/>
        </w:rPr>
        <w:t>MDM2/4 amplified tumors of patients with HP and</w:t>
      </w:r>
      <w:r w:rsidRPr="00DF555E">
        <w:rPr>
          <w:rFonts w:ascii="Times New Roman" w:hAnsi="Times New Roman" w:cs="Times New Roman"/>
          <w:b/>
          <w:sz w:val="24"/>
          <w:szCs w:val="24"/>
          <w:lang w:val="en-US"/>
        </w:rPr>
        <w:t xml:space="preserve"> (B) </w:t>
      </w:r>
      <w:r w:rsidRPr="00DF555E">
        <w:rPr>
          <w:rFonts w:ascii="Times New Roman" w:hAnsi="Times New Roman" w:cs="Times New Roman"/>
          <w:sz w:val="24"/>
          <w:szCs w:val="24"/>
          <w:lang w:val="en-US"/>
        </w:rPr>
        <w:t>MDM2/4 amplified tumors of patients without HP</w:t>
      </w:r>
    </w:p>
    <w:p w:rsidR="00B40FA8" w:rsidRPr="00310893" w:rsidRDefault="00B40FA8" w:rsidP="00B40FA8">
      <w:pPr>
        <w:spacing w:after="0" w:line="480" w:lineRule="auto"/>
        <w:jc w:val="both"/>
        <w:rPr>
          <w:rFonts w:ascii="Times New Roman" w:hAnsi="Times New Roman" w:cs="Times New Roman"/>
          <w:sz w:val="24"/>
          <w:szCs w:val="24"/>
          <w:lang w:val="en-US"/>
        </w:rPr>
      </w:pPr>
      <w:r w:rsidRPr="00B40FA8">
        <w:rPr>
          <w:rFonts w:ascii="Times New Roman" w:hAnsi="Times New Roman" w:cs="Times New Roman"/>
          <w:b/>
          <w:sz w:val="24"/>
          <w:szCs w:val="24"/>
          <w:lang w:val="en-US"/>
        </w:rPr>
        <w:t>Supplementary Figure S3</w:t>
      </w:r>
      <w:r w:rsidRPr="00B40FA8">
        <w:rPr>
          <w:rFonts w:ascii="Times New Roman" w:hAnsi="Times New Roman" w:cs="Times New Roman"/>
          <w:sz w:val="24"/>
          <w:szCs w:val="24"/>
          <w:lang w:val="en-US"/>
        </w:rPr>
        <w:t>. (</w:t>
      </w:r>
      <w:r w:rsidRPr="00B40FA8">
        <w:rPr>
          <w:rFonts w:ascii="Times New Roman" w:hAnsi="Times New Roman" w:cs="Times New Roman"/>
          <w:b/>
          <w:sz w:val="24"/>
          <w:szCs w:val="24"/>
          <w:lang w:val="en-US"/>
        </w:rPr>
        <w:t>A</w:t>
      </w:r>
      <w:r w:rsidRPr="00B40FA8">
        <w:rPr>
          <w:rFonts w:ascii="Times New Roman" w:hAnsi="Times New Roman" w:cs="Times New Roman"/>
          <w:sz w:val="24"/>
          <w:szCs w:val="24"/>
          <w:lang w:val="en-US"/>
        </w:rPr>
        <w:t>) Absence of cross-reactivity between Nicolumab and PD-1 epitopes on murine cells. We checked human and-PD-1 expression in PD-1-expressing A20 murine reticulum cell sarcoma B lymphocytes, EL-4 murine lymphoma cells, and F1-PD-1 murine fibroblasts stably expressing PD-1 transgene by FACS. No positivity was detected using Nivolumab (red line), or biotinylated Nicolumab (blue line), whereas 99% of the cells were positive with the mouse anti-PD-1 antibody (green line). (</w:t>
      </w:r>
      <w:r w:rsidRPr="00B40FA8">
        <w:rPr>
          <w:rFonts w:ascii="Times New Roman" w:hAnsi="Times New Roman" w:cs="Times New Roman"/>
          <w:b/>
          <w:sz w:val="24"/>
          <w:szCs w:val="24"/>
          <w:lang w:val="en-US"/>
        </w:rPr>
        <w:t>B</w:t>
      </w:r>
      <w:r w:rsidRPr="00B40FA8">
        <w:rPr>
          <w:rFonts w:ascii="Times New Roman" w:hAnsi="Times New Roman" w:cs="Times New Roman"/>
          <w:sz w:val="24"/>
          <w:szCs w:val="24"/>
          <w:lang w:val="en-US"/>
        </w:rPr>
        <w:t>) PD-1 expression on tumor cells in PDXs and xenografts. Low percentage od PD-1</w:t>
      </w:r>
      <w:r w:rsidRPr="00B40FA8">
        <w:rPr>
          <w:rFonts w:ascii="Times New Roman" w:hAnsi="Times New Roman" w:cs="Times New Roman"/>
          <w:sz w:val="24"/>
          <w:szCs w:val="24"/>
          <w:vertAlign w:val="superscript"/>
          <w:lang w:val="en-US"/>
        </w:rPr>
        <w:t>+</w:t>
      </w:r>
      <w:r w:rsidRPr="00B40FA8">
        <w:rPr>
          <w:rFonts w:ascii="Times New Roman" w:hAnsi="Times New Roman" w:cs="Times New Roman"/>
          <w:sz w:val="24"/>
          <w:szCs w:val="24"/>
          <w:lang w:val="en-US"/>
        </w:rPr>
        <w:t xml:space="preserve"> cells were observed in all tested murine models by FACS analysis. Graph shows results of n02 for PDX111 and xenograft PC9; n=3 for PDX305; n= 4 for H460 xenograft and n=6 for PDX302 FACS analysis performed on naive tumors. (</w:t>
      </w:r>
      <w:r w:rsidRPr="00B40FA8">
        <w:rPr>
          <w:rFonts w:ascii="Times New Roman" w:hAnsi="Times New Roman" w:cs="Times New Roman"/>
          <w:b/>
          <w:sz w:val="24"/>
          <w:szCs w:val="24"/>
          <w:lang w:val="en-US"/>
        </w:rPr>
        <w:t>C</w:t>
      </w:r>
      <w:r w:rsidRPr="00B40FA8">
        <w:rPr>
          <w:rFonts w:ascii="Times New Roman" w:hAnsi="Times New Roman" w:cs="Times New Roman"/>
          <w:sz w:val="24"/>
          <w:szCs w:val="24"/>
          <w:lang w:val="en-US"/>
        </w:rPr>
        <w:t>) F4/80 immunostaining on PDXs. Representative images show that epithelioid/monocytoid F4/80</w:t>
      </w:r>
      <w:r w:rsidRPr="00B40FA8">
        <w:rPr>
          <w:rFonts w:ascii="Times New Roman" w:hAnsi="Times New Roman" w:cs="Times New Roman"/>
          <w:sz w:val="24"/>
          <w:szCs w:val="24"/>
          <w:vertAlign w:val="superscript"/>
          <w:lang w:val="en-US"/>
        </w:rPr>
        <w:t>+</w:t>
      </w:r>
      <w:r w:rsidRPr="00B40FA8">
        <w:rPr>
          <w:rFonts w:ascii="Times New Roman" w:hAnsi="Times New Roman" w:cs="Times New Roman"/>
          <w:sz w:val="24"/>
          <w:szCs w:val="24"/>
          <w:lang w:val="en-US"/>
        </w:rPr>
        <w:t xml:space="preserve"> myeloid cells are detected in PDX302 (HP) but not in PDX305 (NR) and PDX220 (NR). PDX111 (NR but with variable response to Nivolumab treatment) samples were characterized by foci with an </w:t>
      </w:r>
      <w:r w:rsidRPr="00B40FA8">
        <w:rPr>
          <w:rFonts w:ascii="Times New Roman" w:hAnsi="Times New Roman" w:cs="Times New Roman"/>
          <w:sz w:val="24"/>
          <w:szCs w:val="24"/>
          <w:lang w:val="en-US"/>
        </w:rPr>
        <w:lastRenderedPageBreak/>
        <w:t>elevated number oof F4/80</w:t>
      </w:r>
      <w:r w:rsidRPr="00B40FA8">
        <w:rPr>
          <w:rFonts w:ascii="Times New Roman" w:hAnsi="Times New Roman" w:cs="Times New Roman"/>
          <w:sz w:val="24"/>
          <w:szCs w:val="24"/>
          <w:vertAlign w:val="superscript"/>
          <w:lang w:val="en-US"/>
        </w:rPr>
        <w:t>+</w:t>
      </w:r>
      <w:r w:rsidRPr="00B40FA8">
        <w:rPr>
          <w:rFonts w:ascii="Times New Roman" w:hAnsi="Times New Roman" w:cs="Times New Roman"/>
          <w:sz w:val="24"/>
          <w:szCs w:val="24"/>
          <w:lang w:val="en-US"/>
        </w:rPr>
        <w:t xml:space="preserve"> cells that lacked epitheliod/monocytoid morphology (right hal panel at 20x magnification) alternated with myeloid infiltrate-free areas (left half-panel at 20x magnification). (</w:t>
      </w:r>
      <w:r w:rsidRPr="00B40FA8">
        <w:rPr>
          <w:rFonts w:ascii="Times New Roman" w:hAnsi="Times New Roman" w:cs="Times New Roman"/>
          <w:b/>
          <w:sz w:val="24"/>
          <w:szCs w:val="24"/>
          <w:lang w:val="en-US"/>
        </w:rPr>
        <w:t>D</w:t>
      </w:r>
      <w:r w:rsidRPr="00B40FA8">
        <w:rPr>
          <w:rFonts w:ascii="Times New Roman" w:hAnsi="Times New Roman" w:cs="Times New Roman"/>
          <w:sz w:val="24"/>
          <w:szCs w:val="24"/>
          <w:lang w:val="en-US"/>
        </w:rPr>
        <w:t>) FACS analysis performed on primary PDX302 tumors, untreated or Nivolumab treated, for characterization of myeloid (CD11b, Ly6G, Ly6C, F4/80) and NK cells (CD49b). (</w:t>
      </w:r>
      <w:r w:rsidRPr="00B40FA8">
        <w:rPr>
          <w:rFonts w:ascii="Times New Roman" w:hAnsi="Times New Roman" w:cs="Times New Roman"/>
          <w:b/>
          <w:sz w:val="24"/>
          <w:szCs w:val="24"/>
          <w:lang w:val="en-US"/>
        </w:rPr>
        <w:t>E</w:t>
      </w:r>
      <w:r w:rsidRPr="00B40FA8">
        <w:rPr>
          <w:rFonts w:ascii="Times New Roman" w:hAnsi="Times New Roman" w:cs="Times New Roman"/>
          <w:sz w:val="24"/>
          <w:szCs w:val="24"/>
          <w:lang w:val="en-US"/>
        </w:rPr>
        <w:t>) Representative images of Arginase staining of PDX302 and PDX 305 samples. Quantification, shown in the graph as average of 5 distinct counts for each slide, confirms an increase in Arg</w:t>
      </w:r>
      <w:r w:rsidRPr="00B40FA8">
        <w:rPr>
          <w:rFonts w:ascii="Times New Roman" w:hAnsi="Times New Roman" w:cs="Times New Roman"/>
          <w:sz w:val="24"/>
          <w:szCs w:val="24"/>
          <w:vertAlign w:val="superscript"/>
          <w:lang w:val="en-US"/>
        </w:rPr>
        <w:t>+</w:t>
      </w:r>
      <w:r w:rsidRPr="00B40FA8">
        <w:rPr>
          <w:rFonts w:ascii="Times New Roman" w:hAnsi="Times New Roman" w:cs="Times New Roman"/>
          <w:sz w:val="24"/>
          <w:szCs w:val="24"/>
          <w:lang w:val="en-US"/>
        </w:rPr>
        <w:t xml:space="preserve"> in PDX302 model. (</w:t>
      </w:r>
      <w:r w:rsidRPr="00B40FA8">
        <w:rPr>
          <w:rFonts w:ascii="Times New Roman" w:hAnsi="Times New Roman" w:cs="Times New Roman"/>
          <w:b/>
          <w:sz w:val="24"/>
          <w:szCs w:val="24"/>
          <w:lang w:val="en-US"/>
        </w:rPr>
        <w:t>F</w:t>
      </w:r>
      <w:r w:rsidRPr="00B40FA8">
        <w:rPr>
          <w:rFonts w:ascii="Times New Roman" w:hAnsi="Times New Roman" w:cs="Times New Roman"/>
          <w:sz w:val="24"/>
          <w:szCs w:val="24"/>
          <w:lang w:val="en-US"/>
        </w:rPr>
        <w:t>) Flow cytometry analysis to test if anti-mouse-PD-1 F(ab)</w:t>
      </w:r>
      <w:r w:rsidRPr="00B40FA8">
        <w:rPr>
          <w:rFonts w:ascii="Times New Roman" w:hAnsi="Times New Roman" w:cs="Times New Roman"/>
          <w:sz w:val="24"/>
          <w:szCs w:val="24"/>
          <w:vertAlign w:val="subscript"/>
          <w:lang w:val="en-US"/>
        </w:rPr>
        <w:t>2</w:t>
      </w:r>
      <w:r w:rsidRPr="00B40FA8">
        <w:rPr>
          <w:rFonts w:ascii="Times New Roman" w:hAnsi="Times New Roman" w:cs="Times New Roman"/>
          <w:sz w:val="24"/>
          <w:szCs w:val="24"/>
          <w:lang w:val="en-US"/>
        </w:rPr>
        <w:t xml:space="preserve"> is still able to bind mouse PD-1. EL-4 cells, expressing high level of PD-1, were stained with the whole antibody (red line) or with F(ab)</w:t>
      </w:r>
      <w:r w:rsidRPr="00B40FA8">
        <w:rPr>
          <w:rFonts w:ascii="Times New Roman" w:hAnsi="Times New Roman" w:cs="Times New Roman"/>
          <w:sz w:val="24"/>
          <w:szCs w:val="24"/>
          <w:vertAlign w:val="subscript"/>
          <w:lang w:val="en-US"/>
        </w:rPr>
        <w:t>2</w:t>
      </w:r>
      <w:r w:rsidRPr="00B40FA8">
        <w:rPr>
          <w:rFonts w:ascii="Times New Roman" w:hAnsi="Times New Roman" w:cs="Times New Roman"/>
          <w:sz w:val="24"/>
          <w:szCs w:val="24"/>
          <w:lang w:val="en-US"/>
        </w:rPr>
        <w:t xml:space="preserve"> (blue line) anti-mouse PD-1. Rat IgG2a served as isotype control (black line). Our results show that F(ab)</w:t>
      </w:r>
      <w:r w:rsidRPr="00B40FA8">
        <w:rPr>
          <w:rFonts w:ascii="Times New Roman" w:hAnsi="Times New Roman" w:cs="Times New Roman"/>
          <w:sz w:val="24"/>
          <w:szCs w:val="24"/>
          <w:vertAlign w:val="subscript"/>
          <w:lang w:val="en-US"/>
        </w:rPr>
        <w:t xml:space="preserve">2 </w:t>
      </w:r>
      <w:r w:rsidRPr="00B40FA8">
        <w:rPr>
          <w:rFonts w:ascii="Times New Roman" w:hAnsi="Times New Roman" w:cs="Times New Roman"/>
          <w:sz w:val="24"/>
          <w:szCs w:val="24"/>
          <w:lang w:val="en-US"/>
        </w:rPr>
        <w:t>fragment can efficiently bind mouse PD-1. (</w:t>
      </w:r>
      <w:r w:rsidRPr="00B40FA8">
        <w:rPr>
          <w:rFonts w:ascii="Times New Roman" w:hAnsi="Times New Roman" w:cs="Times New Roman"/>
          <w:b/>
          <w:sz w:val="24"/>
          <w:szCs w:val="24"/>
          <w:lang w:val="en-US"/>
        </w:rPr>
        <w:t>G</w:t>
      </w:r>
      <w:r w:rsidRPr="00B40FA8">
        <w:rPr>
          <w:rFonts w:ascii="Times New Roman" w:hAnsi="Times New Roman" w:cs="Times New Roman"/>
          <w:sz w:val="24"/>
          <w:szCs w:val="24"/>
          <w:lang w:val="en-US"/>
        </w:rPr>
        <w:t>) F(ab)</w:t>
      </w:r>
      <w:r w:rsidRPr="00B40FA8">
        <w:rPr>
          <w:rFonts w:ascii="Times New Roman" w:hAnsi="Times New Roman" w:cs="Times New Roman"/>
          <w:sz w:val="24"/>
          <w:szCs w:val="24"/>
          <w:vertAlign w:val="subscript"/>
          <w:lang w:val="en-US"/>
        </w:rPr>
        <w:t xml:space="preserve">2 </w:t>
      </w:r>
      <w:r w:rsidRPr="00B40FA8">
        <w:rPr>
          <w:rFonts w:ascii="Times New Roman" w:hAnsi="Times New Roman" w:cs="Times New Roman"/>
          <w:sz w:val="24"/>
          <w:szCs w:val="24"/>
          <w:lang w:val="en-US"/>
        </w:rPr>
        <w:t>Nicolumab antagonizes PD-1 staining by biotinylated Nivolumab on PD-1 expressing T cells and latex beads. Left panel: CD3</w:t>
      </w:r>
      <w:r w:rsidRPr="00B40FA8">
        <w:rPr>
          <w:rFonts w:ascii="Times New Roman" w:hAnsi="Times New Roman" w:cs="Times New Roman"/>
          <w:sz w:val="24"/>
          <w:szCs w:val="24"/>
          <w:vertAlign w:val="superscript"/>
          <w:lang w:val="en-US"/>
        </w:rPr>
        <w:t>+</w:t>
      </w:r>
      <w:r w:rsidRPr="00B40FA8">
        <w:rPr>
          <w:rFonts w:ascii="Times New Roman" w:hAnsi="Times New Roman" w:cs="Times New Roman"/>
          <w:sz w:val="24"/>
          <w:szCs w:val="24"/>
          <w:lang w:val="en-US"/>
        </w:rPr>
        <w:t xml:space="preserve"> T cells immunosorted from PBMCs of healthy donors  were activated with OKT3 (1</w:t>
      </w:r>
      <w:r w:rsidRPr="00780E12">
        <w:rPr>
          <w:rFonts w:ascii="Symbol" w:hAnsi="Symbol" w:cs="Times New Roman"/>
          <w:sz w:val="24"/>
          <w:szCs w:val="24"/>
        </w:rPr>
        <w:t></w:t>
      </w:r>
      <w:r w:rsidRPr="00B40FA8">
        <w:rPr>
          <w:rFonts w:ascii="Times New Roman" w:hAnsi="Times New Roman" w:cs="Times New Roman"/>
          <w:sz w:val="24"/>
          <w:szCs w:val="24"/>
          <w:lang w:val="en-US"/>
        </w:rPr>
        <w:t>g/ml) and cultured for 5 days. Cells were stained with biotinylated Nivolumab + PE-streptavidin with or without pre-incubation (30 min at 4°C) with F(ab)</w:t>
      </w:r>
      <w:r w:rsidRPr="00B40FA8">
        <w:rPr>
          <w:rFonts w:ascii="Times New Roman" w:hAnsi="Times New Roman" w:cs="Times New Roman"/>
          <w:sz w:val="24"/>
          <w:szCs w:val="24"/>
          <w:vertAlign w:val="subscript"/>
          <w:lang w:val="en-US"/>
        </w:rPr>
        <w:t xml:space="preserve">2 </w:t>
      </w:r>
      <w:r w:rsidRPr="00B40FA8">
        <w:rPr>
          <w:rFonts w:ascii="Times New Roman" w:hAnsi="Times New Roman" w:cs="Times New Roman"/>
          <w:sz w:val="24"/>
          <w:szCs w:val="24"/>
          <w:lang w:val="en-US"/>
        </w:rPr>
        <w:t>Nivolumab. Right pane: latex beads (5</w:t>
      </w:r>
      <w:r w:rsidRPr="00946F57">
        <w:rPr>
          <w:rFonts w:ascii="Symbol" w:hAnsi="Symbol" w:cs="Times New Roman"/>
          <w:sz w:val="24"/>
          <w:szCs w:val="24"/>
        </w:rPr>
        <w:t></w:t>
      </w:r>
      <w:r w:rsidRPr="00B40FA8">
        <w:rPr>
          <w:rFonts w:ascii="Times New Roman" w:hAnsi="Times New Roman" w:cs="Times New Roman"/>
          <w:sz w:val="24"/>
          <w:szCs w:val="24"/>
          <w:lang w:val="en-US"/>
        </w:rPr>
        <w:t>m diameter, Invitrogen) pre-coated with human recombinant PD-1 (1</w:t>
      </w:r>
      <w:r w:rsidRPr="009E6C51">
        <w:rPr>
          <w:rFonts w:ascii="Symbol" w:hAnsi="Symbol" w:cs="Times New Roman"/>
          <w:sz w:val="24"/>
          <w:szCs w:val="24"/>
        </w:rPr>
        <w:t></w:t>
      </w:r>
      <w:r w:rsidRPr="00B40FA8">
        <w:rPr>
          <w:rFonts w:ascii="Times New Roman" w:hAnsi="Times New Roman" w:cs="Times New Roman"/>
          <w:sz w:val="24"/>
          <w:szCs w:val="24"/>
          <w:lang w:val="en-US"/>
        </w:rPr>
        <w:t>g/200</w:t>
      </w:r>
      <w:r w:rsidRPr="009E6C51">
        <w:rPr>
          <w:rFonts w:ascii="Symbol" w:hAnsi="Symbol" w:cs="Times New Roman"/>
          <w:sz w:val="24"/>
          <w:szCs w:val="24"/>
        </w:rPr>
        <w:t></w:t>
      </w:r>
      <w:r w:rsidRPr="00B40FA8">
        <w:rPr>
          <w:rFonts w:ascii="Times New Roman" w:hAnsi="Times New Roman" w:cs="Times New Roman"/>
          <w:sz w:val="24"/>
          <w:szCs w:val="24"/>
          <w:lang w:val="en-US"/>
        </w:rPr>
        <w:t>g beads, R&amp;D System) were sdtained with biotinylated Nivolumab + PE-streptavidin with or without pre-incubation (30 min at 4°C) with F(ab)</w:t>
      </w:r>
      <w:r w:rsidRPr="00B40FA8">
        <w:rPr>
          <w:rFonts w:ascii="Times New Roman" w:hAnsi="Times New Roman" w:cs="Times New Roman"/>
          <w:sz w:val="24"/>
          <w:szCs w:val="24"/>
          <w:vertAlign w:val="subscript"/>
          <w:lang w:val="en-US"/>
        </w:rPr>
        <w:t xml:space="preserve">2 </w:t>
      </w:r>
      <w:r w:rsidRPr="00B40FA8">
        <w:rPr>
          <w:rFonts w:ascii="Times New Roman" w:hAnsi="Times New Roman" w:cs="Times New Roman"/>
          <w:sz w:val="24"/>
          <w:szCs w:val="24"/>
          <w:lang w:val="en-US"/>
        </w:rPr>
        <w:t xml:space="preserve">Nivolumab. </w:t>
      </w:r>
      <w:r w:rsidRPr="00310893">
        <w:rPr>
          <w:rFonts w:ascii="Times New Roman" w:hAnsi="Times New Roman" w:cs="Times New Roman"/>
          <w:sz w:val="24"/>
          <w:szCs w:val="24"/>
          <w:lang w:val="en-US"/>
        </w:rPr>
        <w:t xml:space="preserve">Samples were acquired by FACSCalibur and analyzed by Kaluza2.0. </w:t>
      </w:r>
    </w:p>
    <w:p w:rsidR="00DF555E" w:rsidRDefault="00DF555E" w:rsidP="007632FC">
      <w:pPr>
        <w:spacing w:after="0" w:line="480" w:lineRule="auto"/>
        <w:jc w:val="both"/>
        <w:rPr>
          <w:rFonts w:ascii="Times New Roman" w:hAnsi="Times New Roman" w:cs="Times New Roman"/>
          <w:b/>
          <w:sz w:val="24"/>
          <w:szCs w:val="24"/>
          <w:u w:val="single"/>
          <w:lang w:val="en-US"/>
        </w:rPr>
      </w:pPr>
    </w:p>
    <w:p w:rsidR="00310893" w:rsidRDefault="00310893" w:rsidP="007632FC">
      <w:pPr>
        <w:spacing w:after="0" w:line="480" w:lineRule="auto"/>
        <w:jc w:val="both"/>
        <w:rPr>
          <w:rFonts w:ascii="Times New Roman" w:hAnsi="Times New Roman" w:cs="Times New Roman"/>
          <w:b/>
          <w:sz w:val="24"/>
          <w:szCs w:val="24"/>
          <w:u w:val="single"/>
          <w:lang w:val="en-US"/>
        </w:rPr>
      </w:pPr>
    </w:p>
    <w:p w:rsidR="00310893" w:rsidRDefault="00310893" w:rsidP="007632FC">
      <w:pPr>
        <w:spacing w:after="0" w:line="480" w:lineRule="auto"/>
        <w:jc w:val="both"/>
        <w:rPr>
          <w:rFonts w:ascii="Times New Roman" w:hAnsi="Times New Roman" w:cs="Times New Roman"/>
          <w:b/>
          <w:sz w:val="24"/>
          <w:szCs w:val="24"/>
          <w:u w:val="single"/>
          <w:lang w:val="en-US"/>
        </w:rPr>
      </w:pPr>
    </w:p>
    <w:p w:rsidR="00310893" w:rsidRDefault="00310893" w:rsidP="007632FC">
      <w:pPr>
        <w:spacing w:after="0" w:line="480" w:lineRule="auto"/>
        <w:jc w:val="both"/>
        <w:rPr>
          <w:rFonts w:ascii="Times New Roman" w:hAnsi="Times New Roman" w:cs="Times New Roman"/>
          <w:b/>
          <w:sz w:val="24"/>
          <w:szCs w:val="24"/>
          <w:u w:val="single"/>
          <w:lang w:val="en-US"/>
        </w:rPr>
      </w:pPr>
    </w:p>
    <w:p w:rsidR="00310893" w:rsidRDefault="00310893" w:rsidP="007632FC">
      <w:pPr>
        <w:spacing w:after="0" w:line="480" w:lineRule="auto"/>
        <w:jc w:val="both"/>
        <w:rPr>
          <w:rFonts w:ascii="Times New Roman" w:hAnsi="Times New Roman" w:cs="Times New Roman"/>
          <w:b/>
          <w:sz w:val="24"/>
          <w:szCs w:val="24"/>
          <w:u w:val="single"/>
          <w:lang w:val="en-US"/>
        </w:rPr>
      </w:pPr>
    </w:p>
    <w:p w:rsidR="00310893" w:rsidRDefault="00310893" w:rsidP="007632FC">
      <w:pPr>
        <w:spacing w:after="0" w:line="480" w:lineRule="auto"/>
        <w:jc w:val="both"/>
        <w:rPr>
          <w:rFonts w:ascii="Times New Roman" w:hAnsi="Times New Roman" w:cs="Times New Roman"/>
          <w:b/>
          <w:sz w:val="24"/>
          <w:szCs w:val="24"/>
          <w:u w:val="single"/>
          <w:lang w:val="en-US"/>
        </w:rPr>
      </w:pPr>
    </w:p>
    <w:p w:rsidR="00310893" w:rsidRDefault="00310893" w:rsidP="007632FC">
      <w:pPr>
        <w:spacing w:after="0" w:line="480" w:lineRule="auto"/>
        <w:jc w:val="both"/>
        <w:rPr>
          <w:rFonts w:ascii="Times New Roman" w:hAnsi="Times New Roman" w:cs="Times New Roman"/>
          <w:b/>
          <w:sz w:val="24"/>
          <w:szCs w:val="24"/>
          <w:u w:val="single"/>
          <w:lang w:val="en-US"/>
        </w:rPr>
      </w:pPr>
    </w:p>
    <w:p w:rsidR="00310893" w:rsidRPr="00DF555E" w:rsidRDefault="00310893" w:rsidP="007632FC">
      <w:pPr>
        <w:spacing w:after="0" w:line="480" w:lineRule="auto"/>
        <w:jc w:val="both"/>
        <w:rPr>
          <w:rFonts w:ascii="Times New Roman" w:hAnsi="Times New Roman" w:cs="Times New Roman"/>
          <w:b/>
          <w:sz w:val="24"/>
          <w:szCs w:val="24"/>
          <w:u w:val="single"/>
          <w:lang w:val="en-US"/>
        </w:rPr>
      </w:pPr>
    </w:p>
    <w:p w:rsidR="003761A9" w:rsidRPr="00606B48" w:rsidRDefault="003761A9" w:rsidP="007632FC">
      <w:pPr>
        <w:spacing w:after="0" w:line="480" w:lineRule="auto"/>
        <w:jc w:val="both"/>
        <w:rPr>
          <w:rFonts w:ascii="Times New Roman" w:hAnsi="Times New Roman" w:cs="Times New Roman"/>
          <w:b/>
          <w:sz w:val="24"/>
          <w:szCs w:val="24"/>
          <w:u w:val="single"/>
          <w:lang w:val="en-US"/>
        </w:rPr>
      </w:pPr>
      <w:r w:rsidRPr="00606B48">
        <w:rPr>
          <w:rFonts w:ascii="Times New Roman" w:hAnsi="Times New Roman" w:cs="Times New Roman"/>
          <w:b/>
          <w:sz w:val="24"/>
          <w:szCs w:val="24"/>
          <w:u w:val="single"/>
          <w:lang w:val="en-US"/>
        </w:rPr>
        <w:lastRenderedPageBreak/>
        <w:t>SUPPLEMENTARY REFERENCES</w:t>
      </w:r>
    </w:p>
    <w:p w:rsidR="009F41A5" w:rsidRPr="009F41A5" w:rsidRDefault="00923F05"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9F41A5" w:rsidRPr="00310893">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F41A5" w:rsidRPr="00310893">
        <w:rPr>
          <w:rFonts w:ascii="Times New Roman" w:hAnsi="Times New Roman" w:cs="Times New Roman"/>
          <w:noProof/>
          <w:sz w:val="24"/>
          <w:szCs w:val="24"/>
        </w:rPr>
        <w:t xml:space="preserve">1. </w:t>
      </w:r>
      <w:r w:rsidR="009F41A5" w:rsidRPr="00310893">
        <w:rPr>
          <w:rFonts w:ascii="Times New Roman" w:hAnsi="Times New Roman" w:cs="Times New Roman"/>
          <w:noProof/>
          <w:sz w:val="24"/>
          <w:szCs w:val="24"/>
        </w:rPr>
        <w:tab/>
        <w:t xml:space="preserve">Cappuzzo F, Hirsch FR, Rossi E, Bartolini S, Ceresoli GL, Bemis L, et al. </w:t>
      </w:r>
      <w:r w:rsidR="009F41A5" w:rsidRPr="00606B48">
        <w:rPr>
          <w:rFonts w:ascii="Times New Roman" w:hAnsi="Times New Roman" w:cs="Times New Roman"/>
          <w:noProof/>
          <w:sz w:val="24"/>
          <w:szCs w:val="24"/>
          <w:lang w:val="en-US"/>
        </w:rPr>
        <w:t xml:space="preserve">Epidermal growth factor receptor gene and protein and gefitinib sensitivity in non-small-cell lung cancer. </w:t>
      </w:r>
      <w:r w:rsidR="009F41A5" w:rsidRPr="009F41A5">
        <w:rPr>
          <w:rFonts w:ascii="Times New Roman" w:hAnsi="Times New Roman" w:cs="Times New Roman"/>
          <w:noProof/>
          <w:sz w:val="24"/>
          <w:szCs w:val="24"/>
        </w:rPr>
        <w:t xml:space="preserve">J Natl Cancer Inst. 2005;97:643–55. </w:t>
      </w:r>
    </w:p>
    <w:p w:rsidR="009F41A5" w:rsidRPr="00606B48"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F41A5">
        <w:rPr>
          <w:rFonts w:ascii="Times New Roman" w:hAnsi="Times New Roman" w:cs="Times New Roman"/>
          <w:noProof/>
          <w:sz w:val="24"/>
          <w:szCs w:val="24"/>
        </w:rPr>
        <w:t xml:space="preserve">2. </w:t>
      </w:r>
      <w:r w:rsidRPr="009F41A5">
        <w:rPr>
          <w:rFonts w:ascii="Times New Roman" w:hAnsi="Times New Roman" w:cs="Times New Roman"/>
          <w:noProof/>
          <w:sz w:val="24"/>
          <w:szCs w:val="24"/>
        </w:rPr>
        <w:tab/>
        <w:t xml:space="preserve">Castagnoli L, Iezzi M, Ghedini GC, Ciravolo V, Marzano G, Lamolinara A, et al. </w:t>
      </w:r>
      <w:r w:rsidRPr="00606B48">
        <w:rPr>
          <w:rFonts w:ascii="Times New Roman" w:hAnsi="Times New Roman" w:cs="Times New Roman"/>
          <w:noProof/>
          <w:sz w:val="24"/>
          <w:szCs w:val="24"/>
          <w:lang w:val="en-US"/>
        </w:rPr>
        <w:t xml:space="preserve">Activated d16HER2 homodimers and SRC kinase mediate optimal efficacy for trastuzumab. Cancer Res. American Association for Cancer Research; 2014;74:6248–59. </w:t>
      </w:r>
    </w:p>
    <w:p w:rsidR="009F41A5" w:rsidRPr="00606B48"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606B48">
        <w:rPr>
          <w:rFonts w:ascii="Times New Roman" w:hAnsi="Times New Roman" w:cs="Times New Roman"/>
          <w:noProof/>
          <w:sz w:val="24"/>
          <w:szCs w:val="24"/>
          <w:lang w:val="en-US"/>
        </w:rPr>
        <w:t xml:space="preserve">3. </w:t>
      </w:r>
      <w:r w:rsidRPr="00606B48">
        <w:rPr>
          <w:rFonts w:ascii="Times New Roman" w:hAnsi="Times New Roman" w:cs="Times New Roman"/>
          <w:noProof/>
          <w:sz w:val="24"/>
          <w:szCs w:val="24"/>
          <w:lang w:val="en-US"/>
        </w:rPr>
        <w:tab/>
        <w:t xml:space="preserve">Oestreich KJ, Yoon H, Ahmed R, Boss JM. NFATc1 regulates PD-1 expression upon T cell activation. J Immunol. 2008;181:4832–9. </w:t>
      </w:r>
    </w:p>
    <w:p w:rsidR="009F41A5" w:rsidRPr="009F41A5"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606B48">
        <w:rPr>
          <w:rFonts w:ascii="Times New Roman" w:hAnsi="Times New Roman" w:cs="Times New Roman"/>
          <w:noProof/>
          <w:sz w:val="24"/>
          <w:szCs w:val="24"/>
          <w:lang w:val="en-US"/>
        </w:rPr>
        <w:t xml:space="preserve">4. </w:t>
      </w:r>
      <w:r w:rsidRPr="00606B48">
        <w:rPr>
          <w:rFonts w:ascii="Times New Roman" w:hAnsi="Times New Roman" w:cs="Times New Roman"/>
          <w:noProof/>
          <w:sz w:val="24"/>
          <w:szCs w:val="24"/>
          <w:lang w:val="en-US"/>
        </w:rPr>
        <w:tab/>
        <w:t xml:space="preserve">Moro M, Bertolini G, Tortoreto M, Pastorino U, Sozzi G, Roz L. Patient-derived xenografts of non small cell lung cancer: Resurgence of an old model for investigation of modern concepts of tailored therapy and cancer stem cells. </w:t>
      </w:r>
      <w:r w:rsidRPr="009F41A5">
        <w:rPr>
          <w:rFonts w:ascii="Times New Roman" w:hAnsi="Times New Roman" w:cs="Times New Roman"/>
          <w:noProof/>
          <w:sz w:val="24"/>
          <w:szCs w:val="24"/>
        </w:rPr>
        <w:t xml:space="preserve">J Biomed Biotechnol. 2012;2012. </w:t>
      </w:r>
    </w:p>
    <w:p w:rsidR="009F41A5" w:rsidRPr="00606B48"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9F41A5">
        <w:rPr>
          <w:rFonts w:ascii="Times New Roman" w:hAnsi="Times New Roman" w:cs="Times New Roman"/>
          <w:noProof/>
          <w:sz w:val="24"/>
          <w:szCs w:val="24"/>
        </w:rPr>
        <w:t xml:space="preserve">5. </w:t>
      </w:r>
      <w:r w:rsidRPr="009F41A5">
        <w:rPr>
          <w:rFonts w:ascii="Times New Roman" w:hAnsi="Times New Roman" w:cs="Times New Roman"/>
          <w:noProof/>
          <w:sz w:val="24"/>
          <w:szCs w:val="24"/>
        </w:rPr>
        <w:tab/>
        <w:t xml:space="preserve">Moro M, Bertolini G, Caserini R, Borzi C, Boeri M, Fabbri A, et al. </w:t>
      </w:r>
      <w:r w:rsidRPr="00606B48">
        <w:rPr>
          <w:rFonts w:ascii="Times New Roman" w:hAnsi="Times New Roman" w:cs="Times New Roman"/>
          <w:noProof/>
          <w:sz w:val="24"/>
          <w:szCs w:val="24"/>
          <w:lang w:val="en-US"/>
        </w:rPr>
        <w:t xml:space="preserve">Establishment of patient derived xenografts as functional testing of lung cancer aggressiveness. Sci Rep. 2017; </w:t>
      </w:r>
    </w:p>
    <w:p w:rsidR="009F41A5" w:rsidRPr="00B64464" w:rsidRDefault="009F41A5" w:rsidP="009F41A5">
      <w:pPr>
        <w:widowControl w:val="0"/>
        <w:autoSpaceDE w:val="0"/>
        <w:autoSpaceDN w:val="0"/>
        <w:adjustRightInd w:val="0"/>
        <w:spacing w:after="0" w:line="480" w:lineRule="auto"/>
        <w:ind w:left="640" w:hanging="640"/>
        <w:rPr>
          <w:rFonts w:ascii="Times New Roman" w:hAnsi="Times New Roman" w:cs="Times New Roman"/>
          <w:strike/>
          <w:noProof/>
          <w:sz w:val="24"/>
          <w:szCs w:val="24"/>
        </w:rPr>
      </w:pPr>
      <w:r w:rsidRPr="00B64464">
        <w:rPr>
          <w:rFonts w:ascii="Times New Roman" w:hAnsi="Times New Roman" w:cs="Times New Roman"/>
          <w:strike/>
          <w:noProof/>
          <w:sz w:val="24"/>
          <w:szCs w:val="24"/>
          <w:highlight w:val="yellow"/>
          <w:lang w:val="en-US"/>
        </w:rPr>
        <w:t xml:space="preserve">6. </w:t>
      </w:r>
      <w:r w:rsidRPr="00B64464">
        <w:rPr>
          <w:rFonts w:ascii="Times New Roman" w:hAnsi="Times New Roman" w:cs="Times New Roman"/>
          <w:strike/>
          <w:noProof/>
          <w:sz w:val="24"/>
          <w:szCs w:val="24"/>
          <w:highlight w:val="yellow"/>
          <w:lang w:val="en-US"/>
        </w:rPr>
        <w:tab/>
        <w:t xml:space="preserve">Workman P, Aboagye EO, Balkwill F, Balmain A, Bruder G, Chaplin DJ, et al. Guidelines for the welfare and use of animals in cancer research. </w:t>
      </w:r>
      <w:r w:rsidRPr="00B64464">
        <w:rPr>
          <w:rFonts w:ascii="Times New Roman" w:hAnsi="Times New Roman" w:cs="Times New Roman"/>
          <w:strike/>
          <w:noProof/>
          <w:sz w:val="24"/>
          <w:szCs w:val="24"/>
          <w:highlight w:val="yellow"/>
        </w:rPr>
        <w:t>Br J Cancer. 2010;102:1555–77.</w:t>
      </w:r>
      <w:r w:rsidRPr="00B64464">
        <w:rPr>
          <w:rFonts w:ascii="Times New Roman" w:hAnsi="Times New Roman" w:cs="Times New Roman"/>
          <w:strike/>
          <w:noProof/>
          <w:sz w:val="24"/>
          <w:szCs w:val="24"/>
        </w:rPr>
        <w:t xml:space="preserve"> </w:t>
      </w:r>
    </w:p>
    <w:p w:rsidR="009F41A5" w:rsidRPr="00B64464" w:rsidRDefault="00B64464"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lang w:val="en-US"/>
        </w:rPr>
      </w:pPr>
      <w:r w:rsidRPr="00B64464">
        <w:rPr>
          <w:rFonts w:ascii="Times New Roman" w:hAnsi="Times New Roman" w:cs="Times New Roman"/>
          <w:noProof/>
          <w:sz w:val="24"/>
          <w:szCs w:val="24"/>
          <w:highlight w:val="yellow"/>
        </w:rPr>
        <w:t>6</w:t>
      </w:r>
      <w:r w:rsidR="009F41A5" w:rsidRPr="00B64464">
        <w:rPr>
          <w:rFonts w:ascii="Times New Roman" w:hAnsi="Times New Roman" w:cs="Times New Roman"/>
          <w:noProof/>
          <w:sz w:val="24"/>
          <w:szCs w:val="24"/>
          <w:highlight w:val="yellow"/>
        </w:rPr>
        <w:t xml:space="preserve">. </w:t>
      </w:r>
      <w:r w:rsidR="009F41A5" w:rsidRPr="00B64464">
        <w:rPr>
          <w:rFonts w:ascii="Times New Roman" w:hAnsi="Times New Roman" w:cs="Times New Roman"/>
          <w:noProof/>
          <w:sz w:val="24"/>
          <w:szCs w:val="24"/>
          <w:highlight w:val="yellow"/>
        </w:rPr>
        <w:tab/>
        <w:t xml:space="preserve">Grazia G, Vegetti C, Benigni F, Penna I, Perotti V, Tassi E, et al. </w:t>
      </w:r>
      <w:r w:rsidR="009F41A5" w:rsidRPr="00B64464">
        <w:rPr>
          <w:rFonts w:ascii="Times New Roman" w:hAnsi="Times New Roman" w:cs="Times New Roman"/>
          <w:noProof/>
          <w:sz w:val="24"/>
          <w:szCs w:val="24"/>
          <w:highlight w:val="yellow"/>
          <w:lang w:val="en-US"/>
        </w:rPr>
        <w:t xml:space="preserve">Synergistic anti-tumor activity and inhibition of angiogenesis by cotargeting of oncogenic and death receptor pathways in human melanoma. Cell Death Dis. 2014;5:e1434. </w:t>
      </w:r>
    </w:p>
    <w:p w:rsidR="009F41A5" w:rsidRPr="00B64464" w:rsidRDefault="00B64464"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rPr>
      </w:pPr>
      <w:r w:rsidRPr="00B64464">
        <w:rPr>
          <w:rFonts w:ascii="Times New Roman" w:hAnsi="Times New Roman" w:cs="Times New Roman"/>
          <w:noProof/>
          <w:sz w:val="24"/>
          <w:szCs w:val="24"/>
          <w:highlight w:val="yellow"/>
          <w:lang w:val="en-US"/>
        </w:rPr>
        <w:t>7</w:t>
      </w:r>
      <w:r w:rsidR="009F41A5" w:rsidRPr="00B64464">
        <w:rPr>
          <w:rFonts w:ascii="Times New Roman" w:hAnsi="Times New Roman" w:cs="Times New Roman"/>
          <w:noProof/>
          <w:sz w:val="24"/>
          <w:szCs w:val="24"/>
          <w:highlight w:val="yellow"/>
          <w:lang w:val="en-US"/>
        </w:rPr>
        <w:t xml:space="preserve">. </w:t>
      </w:r>
      <w:r w:rsidR="009F41A5" w:rsidRPr="00B64464">
        <w:rPr>
          <w:rFonts w:ascii="Times New Roman" w:hAnsi="Times New Roman" w:cs="Times New Roman"/>
          <w:noProof/>
          <w:sz w:val="24"/>
          <w:szCs w:val="24"/>
          <w:highlight w:val="yellow"/>
          <w:lang w:val="en-US"/>
        </w:rPr>
        <w:tab/>
        <w:t xml:space="preserve">Wilson NS, Yang A, Yang B, Couto S, Stern H, Gogineni A, et al. Proapoptotic activation of death receptor 5 on tumor endothelial cells disrupts the vasculature and reduces tumor growth. </w:t>
      </w:r>
      <w:r w:rsidR="009F41A5" w:rsidRPr="00B64464">
        <w:rPr>
          <w:rFonts w:ascii="Times New Roman" w:hAnsi="Times New Roman" w:cs="Times New Roman"/>
          <w:noProof/>
          <w:sz w:val="24"/>
          <w:szCs w:val="24"/>
          <w:highlight w:val="yellow"/>
        </w:rPr>
        <w:t xml:space="preserve">Cancer Cell. 2012;22:80–90. </w:t>
      </w:r>
    </w:p>
    <w:p w:rsidR="009F41A5" w:rsidRPr="00B64464" w:rsidRDefault="00B64464"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lang w:val="en-US"/>
        </w:rPr>
      </w:pPr>
      <w:r w:rsidRPr="00B64464">
        <w:rPr>
          <w:rFonts w:ascii="Times New Roman" w:hAnsi="Times New Roman" w:cs="Times New Roman"/>
          <w:noProof/>
          <w:sz w:val="24"/>
          <w:szCs w:val="24"/>
          <w:highlight w:val="yellow"/>
        </w:rPr>
        <w:t>8</w:t>
      </w:r>
      <w:r w:rsidR="009F41A5" w:rsidRPr="00B64464">
        <w:rPr>
          <w:rFonts w:ascii="Times New Roman" w:hAnsi="Times New Roman" w:cs="Times New Roman"/>
          <w:noProof/>
          <w:sz w:val="24"/>
          <w:szCs w:val="24"/>
          <w:highlight w:val="yellow"/>
        </w:rPr>
        <w:t xml:space="preserve">. </w:t>
      </w:r>
      <w:r w:rsidR="009F41A5" w:rsidRPr="00B64464">
        <w:rPr>
          <w:rFonts w:ascii="Times New Roman" w:hAnsi="Times New Roman" w:cs="Times New Roman"/>
          <w:noProof/>
          <w:sz w:val="24"/>
          <w:szCs w:val="24"/>
          <w:highlight w:val="yellow"/>
        </w:rPr>
        <w:tab/>
        <w:t xml:space="preserve">Le Noci V, Tortoreto M, Gulino A, Storti C, Bianchi F, Zaffaroni N, et al. </w:t>
      </w:r>
      <w:r w:rsidR="009F41A5" w:rsidRPr="00B64464">
        <w:rPr>
          <w:rFonts w:ascii="Times New Roman" w:hAnsi="Times New Roman" w:cs="Times New Roman"/>
          <w:noProof/>
          <w:sz w:val="24"/>
          <w:szCs w:val="24"/>
          <w:highlight w:val="yellow"/>
          <w:lang w:val="en-US"/>
        </w:rPr>
        <w:t xml:space="preserve">Poly(I:C) and CpG-ODN combined aerosolization to treat lung metastases and counter the immunosuppressive microenvironment. Oncoimmunology. 2015;4:e1040214. </w:t>
      </w:r>
    </w:p>
    <w:p w:rsidR="009F41A5" w:rsidRPr="00B64464" w:rsidRDefault="00B64464"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lang w:val="en-US"/>
        </w:rPr>
      </w:pPr>
      <w:r w:rsidRPr="00B64464">
        <w:rPr>
          <w:rFonts w:ascii="Times New Roman" w:hAnsi="Times New Roman" w:cs="Times New Roman"/>
          <w:noProof/>
          <w:sz w:val="24"/>
          <w:szCs w:val="24"/>
          <w:highlight w:val="yellow"/>
          <w:lang w:val="en-US"/>
        </w:rPr>
        <w:t>9</w:t>
      </w:r>
      <w:r w:rsidR="009F41A5" w:rsidRPr="00B64464">
        <w:rPr>
          <w:rFonts w:ascii="Times New Roman" w:hAnsi="Times New Roman" w:cs="Times New Roman"/>
          <w:noProof/>
          <w:sz w:val="24"/>
          <w:szCs w:val="24"/>
          <w:highlight w:val="yellow"/>
          <w:lang w:val="en-US"/>
        </w:rPr>
        <w:t xml:space="preserve">. </w:t>
      </w:r>
      <w:r w:rsidR="009F41A5" w:rsidRPr="00B64464">
        <w:rPr>
          <w:rFonts w:ascii="Times New Roman" w:hAnsi="Times New Roman" w:cs="Times New Roman"/>
          <w:noProof/>
          <w:sz w:val="24"/>
          <w:szCs w:val="24"/>
          <w:highlight w:val="yellow"/>
          <w:lang w:val="en-US"/>
        </w:rPr>
        <w:tab/>
        <w:t xml:space="preserve">Irizarry RA, Hobbs B, Collin F, Beazer-Barclay YD, Antonellis KJ, Scherf U, et al. </w:t>
      </w:r>
      <w:r w:rsidR="009F41A5" w:rsidRPr="00B64464">
        <w:rPr>
          <w:rFonts w:ascii="Times New Roman" w:hAnsi="Times New Roman" w:cs="Times New Roman"/>
          <w:noProof/>
          <w:sz w:val="24"/>
          <w:szCs w:val="24"/>
          <w:highlight w:val="yellow"/>
          <w:lang w:val="en-US"/>
        </w:rPr>
        <w:lastRenderedPageBreak/>
        <w:t xml:space="preserve">Exploration, normalization, and summaries of high density oligonucleotide array probe level data. Biostatistics. 2003;4:249–64. </w:t>
      </w:r>
    </w:p>
    <w:p w:rsidR="009F41A5" w:rsidRPr="00B64464"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lang w:val="en-US"/>
        </w:rPr>
      </w:pPr>
      <w:r w:rsidRPr="00B64464">
        <w:rPr>
          <w:rFonts w:ascii="Times New Roman" w:hAnsi="Times New Roman" w:cs="Times New Roman"/>
          <w:noProof/>
          <w:sz w:val="24"/>
          <w:szCs w:val="24"/>
          <w:highlight w:val="yellow"/>
          <w:lang w:val="en-US"/>
        </w:rPr>
        <w:t>1</w:t>
      </w:r>
      <w:r w:rsidR="00B64464" w:rsidRPr="00B64464">
        <w:rPr>
          <w:rFonts w:ascii="Times New Roman" w:hAnsi="Times New Roman" w:cs="Times New Roman"/>
          <w:noProof/>
          <w:sz w:val="24"/>
          <w:szCs w:val="24"/>
          <w:highlight w:val="yellow"/>
          <w:lang w:val="en-US"/>
        </w:rPr>
        <w:t>0</w:t>
      </w:r>
      <w:r w:rsidRPr="00B64464">
        <w:rPr>
          <w:rFonts w:ascii="Times New Roman" w:hAnsi="Times New Roman" w:cs="Times New Roman"/>
          <w:noProof/>
          <w:sz w:val="24"/>
          <w:szCs w:val="24"/>
          <w:highlight w:val="yellow"/>
          <w:lang w:val="en-US"/>
        </w:rPr>
        <w:t xml:space="preserve">. </w:t>
      </w:r>
      <w:r w:rsidRPr="00B64464">
        <w:rPr>
          <w:rFonts w:ascii="Times New Roman" w:hAnsi="Times New Roman" w:cs="Times New Roman"/>
          <w:noProof/>
          <w:sz w:val="24"/>
          <w:szCs w:val="24"/>
          <w:highlight w:val="yellow"/>
          <w:lang w:val="en-US"/>
        </w:rPr>
        <w:tab/>
        <w:t xml:space="preserve">Johnson WE, Li C, Rabinovic A. Adjusting batch effects in microarray expression data using empirical Bayes methods. Biostatistics. 2007;8:118–27. </w:t>
      </w:r>
    </w:p>
    <w:p w:rsidR="009F41A5" w:rsidRPr="00B64464"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lang w:val="en-US"/>
        </w:rPr>
      </w:pPr>
      <w:r w:rsidRPr="00B64464">
        <w:rPr>
          <w:rFonts w:ascii="Times New Roman" w:hAnsi="Times New Roman" w:cs="Times New Roman"/>
          <w:noProof/>
          <w:sz w:val="24"/>
          <w:szCs w:val="24"/>
          <w:highlight w:val="yellow"/>
          <w:lang w:val="en-US"/>
        </w:rPr>
        <w:t>1</w:t>
      </w:r>
      <w:r w:rsidR="00B64464" w:rsidRPr="00B64464">
        <w:rPr>
          <w:rFonts w:ascii="Times New Roman" w:hAnsi="Times New Roman" w:cs="Times New Roman"/>
          <w:noProof/>
          <w:sz w:val="24"/>
          <w:szCs w:val="24"/>
          <w:highlight w:val="yellow"/>
          <w:lang w:val="en-US"/>
        </w:rPr>
        <w:t>1</w:t>
      </w:r>
      <w:r w:rsidRPr="00B64464">
        <w:rPr>
          <w:rFonts w:ascii="Times New Roman" w:hAnsi="Times New Roman" w:cs="Times New Roman"/>
          <w:noProof/>
          <w:sz w:val="24"/>
          <w:szCs w:val="24"/>
          <w:highlight w:val="yellow"/>
          <w:lang w:val="en-US"/>
        </w:rPr>
        <w:t xml:space="preserve">. </w:t>
      </w:r>
      <w:r w:rsidRPr="00B64464">
        <w:rPr>
          <w:rFonts w:ascii="Times New Roman" w:hAnsi="Times New Roman" w:cs="Times New Roman"/>
          <w:noProof/>
          <w:sz w:val="24"/>
          <w:szCs w:val="24"/>
          <w:highlight w:val="yellow"/>
          <w:lang w:val="en-US"/>
        </w:rPr>
        <w:tab/>
        <w:t xml:space="preserve">Phipson B, Lee S, Majewski IJ, Alexander WS, Smyth GK. ROBUST HYPERPARAMETER ESTIMATION PROTECTS AGAINST HYPERVARIABLE GENES AND IMPROVES POWER TO DETECT DIFFERENTIAL EXPRESSION. Ann Appl Stat. 2016;10:946–63. </w:t>
      </w:r>
    </w:p>
    <w:p w:rsidR="009F41A5" w:rsidRPr="00B64464"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rPr>
      </w:pPr>
      <w:r w:rsidRPr="00B64464">
        <w:rPr>
          <w:rFonts w:ascii="Times New Roman" w:hAnsi="Times New Roman" w:cs="Times New Roman"/>
          <w:noProof/>
          <w:sz w:val="24"/>
          <w:szCs w:val="24"/>
          <w:highlight w:val="yellow"/>
          <w:lang w:val="en-US"/>
        </w:rPr>
        <w:t>1</w:t>
      </w:r>
      <w:r w:rsidR="00B64464" w:rsidRPr="00B64464">
        <w:rPr>
          <w:rFonts w:ascii="Times New Roman" w:hAnsi="Times New Roman" w:cs="Times New Roman"/>
          <w:noProof/>
          <w:sz w:val="24"/>
          <w:szCs w:val="24"/>
          <w:highlight w:val="yellow"/>
          <w:lang w:val="en-US"/>
        </w:rPr>
        <w:t>2</w:t>
      </w:r>
      <w:r w:rsidRPr="00B64464">
        <w:rPr>
          <w:rFonts w:ascii="Times New Roman" w:hAnsi="Times New Roman" w:cs="Times New Roman"/>
          <w:noProof/>
          <w:sz w:val="24"/>
          <w:szCs w:val="24"/>
          <w:highlight w:val="yellow"/>
          <w:lang w:val="en-US"/>
        </w:rPr>
        <w:t xml:space="preserve">. </w:t>
      </w:r>
      <w:r w:rsidRPr="00B64464">
        <w:rPr>
          <w:rFonts w:ascii="Times New Roman" w:hAnsi="Times New Roman" w:cs="Times New Roman"/>
          <w:noProof/>
          <w:sz w:val="24"/>
          <w:szCs w:val="24"/>
          <w:highlight w:val="yellow"/>
          <w:lang w:val="en-US"/>
        </w:rPr>
        <w:tab/>
        <w:t xml:space="preserve">Subramanian A, Tamayo P, Mootha VK, Mukherjee S, Ebert BL, Gillette MA, et al. Gene set enrichment analysis: a knowledge-based approach for interpreting genome-wide expression profiles. </w:t>
      </w:r>
      <w:r w:rsidRPr="00B64464">
        <w:rPr>
          <w:rFonts w:ascii="Times New Roman" w:hAnsi="Times New Roman" w:cs="Times New Roman"/>
          <w:noProof/>
          <w:sz w:val="24"/>
          <w:szCs w:val="24"/>
          <w:highlight w:val="yellow"/>
        </w:rPr>
        <w:t xml:space="preserve">Proc Natl Acad Sci U S A. 2005;102:15545–50. </w:t>
      </w:r>
    </w:p>
    <w:p w:rsidR="009F41A5" w:rsidRPr="00B64464"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highlight w:val="yellow"/>
          <w:lang w:val="en-US"/>
        </w:rPr>
      </w:pPr>
      <w:r w:rsidRPr="00B64464">
        <w:rPr>
          <w:rFonts w:ascii="Times New Roman" w:hAnsi="Times New Roman" w:cs="Times New Roman"/>
          <w:noProof/>
          <w:sz w:val="24"/>
          <w:szCs w:val="24"/>
          <w:highlight w:val="yellow"/>
        </w:rPr>
        <w:t>1</w:t>
      </w:r>
      <w:r w:rsidR="00B64464" w:rsidRPr="00B64464">
        <w:rPr>
          <w:rFonts w:ascii="Times New Roman" w:hAnsi="Times New Roman" w:cs="Times New Roman"/>
          <w:noProof/>
          <w:sz w:val="24"/>
          <w:szCs w:val="24"/>
          <w:highlight w:val="yellow"/>
        </w:rPr>
        <w:t>3</w:t>
      </w:r>
      <w:r w:rsidRPr="00B64464">
        <w:rPr>
          <w:rFonts w:ascii="Times New Roman" w:hAnsi="Times New Roman" w:cs="Times New Roman"/>
          <w:noProof/>
          <w:sz w:val="24"/>
          <w:szCs w:val="24"/>
          <w:highlight w:val="yellow"/>
        </w:rPr>
        <w:t xml:space="preserve">. </w:t>
      </w:r>
      <w:r w:rsidRPr="00B64464">
        <w:rPr>
          <w:rFonts w:ascii="Times New Roman" w:hAnsi="Times New Roman" w:cs="Times New Roman"/>
          <w:noProof/>
          <w:sz w:val="24"/>
          <w:szCs w:val="24"/>
          <w:highlight w:val="yellow"/>
        </w:rPr>
        <w:tab/>
        <w:t xml:space="preserve">Bertolini G, D’Amico L, Moro M, Landoni E, Perego P, Miceli R, et al. </w:t>
      </w:r>
      <w:r w:rsidRPr="00B64464">
        <w:rPr>
          <w:rFonts w:ascii="Times New Roman" w:hAnsi="Times New Roman" w:cs="Times New Roman"/>
          <w:noProof/>
          <w:sz w:val="24"/>
          <w:szCs w:val="24"/>
          <w:highlight w:val="yellow"/>
          <w:lang w:val="en-US"/>
        </w:rPr>
        <w:t xml:space="preserve">Microenvironment-Modulated Metastatic CD133+/CXCR4+/EpCAM- Lung Cancer-Initiating Cells Sustain Tumor Dissemination and Correlate with Poor Prognosis. 2015; </w:t>
      </w:r>
    </w:p>
    <w:p w:rsidR="009F41A5" w:rsidRPr="009F41A5"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rPr>
      </w:pPr>
      <w:r w:rsidRPr="00B64464">
        <w:rPr>
          <w:rFonts w:ascii="Times New Roman" w:hAnsi="Times New Roman" w:cs="Times New Roman"/>
          <w:noProof/>
          <w:sz w:val="24"/>
          <w:szCs w:val="24"/>
          <w:highlight w:val="yellow"/>
          <w:lang w:val="en-US"/>
        </w:rPr>
        <w:t>1</w:t>
      </w:r>
      <w:r w:rsidR="00B64464" w:rsidRPr="00B64464">
        <w:rPr>
          <w:rFonts w:ascii="Times New Roman" w:hAnsi="Times New Roman" w:cs="Times New Roman"/>
          <w:noProof/>
          <w:sz w:val="24"/>
          <w:szCs w:val="24"/>
          <w:highlight w:val="yellow"/>
          <w:lang w:val="en-US"/>
        </w:rPr>
        <w:t>4</w:t>
      </w:r>
      <w:r w:rsidRPr="00B64464">
        <w:rPr>
          <w:rFonts w:ascii="Times New Roman" w:hAnsi="Times New Roman" w:cs="Times New Roman"/>
          <w:noProof/>
          <w:sz w:val="24"/>
          <w:szCs w:val="24"/>
          <w:highlight w:val="yellow"/>
          <w:lang w:val="en-US"/>
        </w:rPr>
        <w:t xml:space="preserve">. </w:t>
      </w:r>
      <w:r w:rsidRPr="00B64464">
        <w:rPr>
          <w:rFonts w:ascii="Times New Roman" w:hAnsi="Times New Roman" w:cs="Times New Roman"/>
          <w:noProof/>
          <w:sz w:val="24"/>
          <w:szCs w:val="24"/>
          <w:highlight w:val="yellow"/>
          <w:lang w:val="en-US"/>
        </w:rPr>
        <w:tab/>
        <w:t xml:space="preserve">Liu C, Cripe TP, Kim M-O. Statistical Issues in Longitudinal Data Analysis for Treatment Efficacy Studies in the Biomedical Sciences. </w:t>
      </w:r>
      <w:r w:rsidRPr="00B64464">
        <w:rPr>
          <w:rFonts w:ascii="Times New Roman" w:hAnsi="Times New Roman" w:cs="Times New Roman"/>
          <w:noProof/>
          <w:sz w:val="24"/>
          <w:szCs w:val="24"/>
          <w:highlight w:val="yellow"/>
        </w:rPr>
        <w:t>Mol Ther. The American Society of Gene &amp; Cell Therapy; 2010;18:1724–30.</w:t>
      </w:r>
      <w:r w:rsidRPr="009F41A5">
        <w:rPr>
          <w:rFonts w:ascii="Times New Roman" w:hAnsi="Times New Roman" w:cs="Times New Roman"/>
          <w:noProof/>
          <w:sz w:val="24"/>
          <w:szCs w:val="24"/>
        </w:rPr>
        <w:t xml:space="preserve"> </w:t>
      </w:r>
    </w:p>
    <w:p w:rsidR="009F41A5" w:rsidRPr="007632FC" w:rsidRDefault="00923F05" w:rsidP="009F41A5">
      <w:pPr>
        <w:widowControl w:val="0"/>
        <w:autoSpaceDE w:val="0"/>
        <w:autoSpaceDN w:val="0"/>
        <w:adjustRightInd w:val="0"/>
        <w:spacing w:after="0" w:line="48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sectPr w:rsidR="009F41A5" w:rsidRPr="007632FC" w:rsidSect="00F767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F58FE"/>
    <w:rsid w:val="000307F0"/>
    <w:rsid w:val="000658D7"/>
    <w:rsid w:val="000D12C2"/>
    <w:rsid w:val="000F62BB"/>
    <w:rsid w:val="001235B5"/>
    <w:rsid w:val="00143868"/>
    <w:rsid w:val="00145451"/>
    <w:rsid w:val="001639CC"/>
    <w:rsid w:val="001D1BA2"/>
    <w:rsid w:val="001E2B1E"/>
    <w:rsid w:val="00205B0B"/>
    <w:rsid w:val="0029725B"/>
    <w:rsid w:val="002C73EC"/>
    <w:rsid w:val="002F7637"/>
    <w:rsid w:val="00306E57"/>
    <w:rsid w:val="00310893"/>
    <w:rsid w:val="003761A9"/>
    <w:rsid w:val="003A3BC2"/>
    <w:rsid w:val="003A66B0"/>
    <w:rsid w:val="003E477B"/>
    <w:rsid w:val="00412D4D"/>
    <w:rsid w:val="00442A55"/>
    <w:rsid w:val="00477B59"/>
    <w:rsid w:val="004D182C"/>
    <w:rsid w:val="004D7B4D"/>
    <w:rsid w:val="004E4070"/>
    <w:rsid w:val="00535F4F"/>
    <w:rsid w:val="005579B0"/>
    <w:rsid w:val="005C7BBE"/>
    <w:rsid w:val="005F0F5A"/>
    <w:rsid w:val="00606B48"/>
    <w:rsid w:val="00632131"/>
    <w:rsid w:val="0065632C"/>
    <w:rsid w:val="006B03BF"/>
    <w:rsid w:val="006B16A9"/>
    <w:rsid w:val="006F426B"/>
    <w:rsid w:val="007338DD"/>
    <w:rsid w:val="00742FC9"/>
    <w:rsid w:val="007632FC"/>
    <w:rsid w:val="007C3D22"/>
    <w:rsid w:val="00820A87"/>
    <w:rsid w:val="00851A45"/>
    <w:rsid w:val="00887D72"/>
    <w:rsid w:val="008911AB"/>
    <w:rsid w:val="008B67F7"/>
    <w:rsid w:val="008D2748"/>
    <w:rsid w:val="0091025A"/>
    <w:rsid w:val="00923F05"/>
    <w:rsid w:val="00933DBD"/>
    <w:rsid w:val="00940D7E"/>
    <w:rsid w:val="009B1990"/>
    <w:rsid w:val="009C1687"/>
    <w:rsid w:val="009F05BE"/>
    <w:rsid w:val="009F41A5"/>
    <w:rsid w:val="00A00C62"/>
    <w:rsid w:val="00A35CF3"/>
    <w:rsid w:val="00A45CC0"/>
    <w:rsid w:val="00A65A25"/>
    <w:rsid w:val="00A95305"/>
    <w:rsid w:val="00AB33E2"/>
    <w:rsid w:val="00B04669"/>
    <w:rsid w:val="00B40FA8"/>
    <w:rsid w:val="00B42B68"/>
    <w:rsid w:val="00B64464"/>
    <w:rsid w:val="00B81F97"/>
    <w:rsid w:val="00B92AEE"/>
    <w:rsid w:val="00BF58FE"/>
    <w:rsid w:val="00C54649"/>
    <w:rsid w:val="00C74A20"/>
    <w:rsid w:val="00C971AB"/>
    <w:rsid w:val="00CA64ED"/>
    <w:rsid w:val="00CC59D3"/>
    <w:rsid w:val="00D06FDE"/>
    <w:rsid w:val="00D12BB8"/>
    <w:rsid w:val="00D2372F"/>
    <w:rsid w:val="00DD2481"/>
    <w:rsid w:val="00DF555E"/>
    <w:rsid w:val="00E010F9"/>
    <w:rsid w:val="00E8765C"/>
    <w:rsid w:val="00EF0405"/>
    <w:rsid w:val="00F24A6C"/>
    <w:rsid w:val="00F327DF"/>
    <w:rsid w:val="00F47E32"/>
    <w:rsid w:val="00F767CA"/>
    <w:rsid w:val="00F875E1"/>
    <w:rsid w:val="00F91F0E"/>
    <w:rsid w:val="00F96F33"/>
    <w:rsid w:val="00FB0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8FE"/>
  </w:style>
  <w:style w:type="paragraph" w:styleId="Titolo3">
    <w:name w:val="heading 3"/>
    <w:basedOn w:val="Normale"/>
    <w:link w:val="Titolo3Carattere"/>
    <w:uiPriority w:val="9"/>
    <w:qFormat/>
    <w:rsid w:val="00CC59D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BF58FE"/>
    <w:pPr>
      <w:spacing w:beforeAutospacing="1" w:afterAutospacing="1" w:line="240" w:lineRule="auto"/>
      <w:outlineLvl w:val="0"/>
    </w:pPr>
    <w:rPr>
      <w:rFonts w:ascii="Times New Roman" w:eastAsia="Times New Roman" w:hAnsi="Times New Roman" w:cs="Times New Roman"/>
      <w:b/>
      <w:bCs/>
      <w:sz w:val="48"/>
      <w:szCs w:val="48"/>
      <w:lang w:eastAsia="it-IT"/>
    </w:rPr>
  </w:style>
  <w:style w:type="character" w:customStyle="1" w:styleId="Titolo1Carattere">
    <w:name w:val="Titolo 1 Carattere"/>
    <w:basedOn w:val="Carpredefinitoparagrafo"/>
    <w:link w:val="Titolo11"/>
    <w:uiPriority w:val="9"/>
    <w:qFormat/>
    <w:rsid w:val="00BF58FE"/>
    <w:rPr>
      <w:rFonts w:ascii="Times New Roman" w:eastAsia="Times New Roman" w:hAnsi="Times New Roman" w:cs="Times New Roman"/>
      <w:b/>
      <w:bCs/>
      <w:sz w:val="48"/>
      <w:szCs w:val="48"/>
      <w:lang w:eastAsia="it-IT"/>
    </w:rPr>
  </w:style>
  <w:style w:type="character" w:customStyle="1" w:styleId="xbe">
    <w:name w:val="_xbe"/>
    <w:basedOn w:val="Carpredefinitoparagrafo"/>
    <w:rsid w:val="00BF58FE"/>
  </w:style>
  <w:style w:type="paragraph" w:customStyle="1" w:styleId="h-lead">
    <w:name w:val="h-lead"/>
    <w:basedOn w:val="Normale"/>
    <w:rsid w:val="001639C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1639CC"/>
    <w:pPr>
      <w:autoSpaceDE w:val="0"/>
      <w:autoSpaceDN w:val="0"/>
      <w:adjustRightInd w:val="0"/>
      <w:spacing w:after="0" w:line="240" w:lineRule="auto"/>
    </w:pPr>
    <w:rPr>
      <w:rFonts w:ascii="Arial" w:hAnsi="Arial" w:cs="Arial"/>
      <w:color w:val="000000"/>
      <w:sz w:val="24"/>
      <w:szCs w:val="24"/>
    </w:rPr>
  </w:style>
  <w:style w:type="character" w:customStyle="1" w:styleId="locality">
    <w:name w:val="locality"/>
    <w:basedOn w:val="Carpredefinitoparagrafo"/>
    <w:rsid w:val="001639CC"/>
  </w:style>
  <w:style w:type="character" w:customStyle="1" w:styleId="postal-code">
    <w:name w:val="postal-code"/>
    <w:basedOn w:val="Carpredefinitoparagrafo"/>
    <w:rsid w:val="001639CC"/>
  </w:style>
  <w:style w:type="character" w:styleId="Rimandocommento">
    <w:name w:val="annotation reference"/>
    <w:basedOn w:val="Carpredefinitoparagrafo"/>
    <w:uiPriority w:val="99"/>
    <w:semiHidden/>
    <w:unhideWhenUsed/>
    <w:rsid w:val="001639CC"/>
    <w:rPr>
      <w:sz w:val="16"/>
      <w:szCs w:val="16"/>
    </w:rPr>
  </w:style>
  <w:style w:type="paragraph" w:styleId="Testocommento">
    <w:name w:val="annotation text"/>
    <w:basedOn w:val="Normale"/>
    <w:link w:val="TestocommentoCarattere"/>
    <w:uiPriority w:val="99"/>
    <w:semiHidden/>
    <w:unhideWhenUsed/>
    <w:rsid w:val="001639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39CC"/>
    <w:rPr>
      <w:sz w:val="20"/>
      <w:szCs w:val="20"/>
    </w:rPr>
  </w:style>
  <w:style w:type="paragraph" w:styleId="Testofumetto">
    <w:name w:val="Balloon Text"/>
    <w:basedOn w:val="Normale"/>
    <w:link w:val="TestofumettoCarattere"/>
    <w:uiPriority w:val="99"/>
    <w:semiHidden/>
    <w:unhideWhenUsed/>
    <w:rsid w:val="001639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9CC"/>
    <w:rPr>
      <w:rFonts w:ascii="Tahoma" w:hAnsi="Tahoma" w:cs="Tahoma"/>
      <w:sz w:val="16"/>
      <w:szCs w:val="16"/>
    </w:rPr>
  </w:style>
  <w:style w:type="paragraph" w:customStyle="1" w:styleId="Titolo1">
    <w:name w:val="Titolo1"/>
    <w:basedOn w:val="Normale"/>
    <w:rsid w:val="000658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658D7"/>
    <w:rPr>
      <w:color w:val="0000FF"/>
      <w:u w:val="single"/>
    </w:rPr>
  </w:style>
  <w:style w:type="paragraph" w:customStyle="1" w:styleId="desc">
    <w:name w:val="desc"/>
    <w:basedOn w:val="Normale"/>
    <w:rsid w:val="000658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e"/>
    <w:rsid w:val="000658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Carpredefinitoparagrafo"/>
    <w:rsid w:val="000658D7"/>
  </w:style>
  <w:style w:type="paragraph" w:customStyle="1" w:styleId="PhDnormal">
    <w:name w:val="PhD normal"/>
    <w:basedOn w:val="Normale"/>
    <w:qFormat/>
    <w:rsid w:val="00205B0B"/>
    <w:pPr>
      <w:spacing w:after="0" w:line="480" w:lineRule="auto"/>
      <w:jc w:val="both"/>
    </w:pPr>
    <w:rPr>
      <w:rFonts w:ascii="Helvetica" w:eastAsiaTheme="minorEastAsia" w:hAnsi="Helvetica" w:cs="Times New Roman"/>
      <w:sz w:val="24"/>
      <w:szCs w:val="24"/>
      <w:lang w:val="en-US"/>
    </w:rPr>
  </w:style>
  <w:style w:type="character" w:customStyle="1" w:styleId="apple-converted-space">
    <w:name w:val="apple-converted-space"/>
    <w:rsid w:val="00205B0B"/>
    <w:rPr>
      <w:lang w:val="en-US"/>
    </w:rPr>
  </w:style>
  <w:style w:type="character" w:customStyle="1" w:styleId="Titolo3Carattere">
    <w:name w:val="Titolo 3 Carattere"/>
    <w:basedOn w:val="Carpredefinitoparagrafo"/>
    <w:link w:val="Titolo3"/>
    <w:uiPriority w:val="9"/>
    <w:rsid w:val="00CC59D3"/>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CC59D3"/>
    <w:rPr>
      <w:b/>
      <w:bCs/>
    </w:rPr>
  </w:style>
  <w:style w:type="paragraph" w:customStyle="1" w:styleId="xmsoplaintext">
    <w:name w:val="x_msoplaintext"/>
    <w:basedOn w:val="Normale"/>
    <w:rsid w:val="00D237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e"/>
    <w:rsid w:val="00D237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corsivo">
    <w:name w:val="Emphasis"/>
    <w:basedOn w:val="Carpredefinitoparagrafo"/>
    <w:uiPriority w:val="20"/>
    <w:qFormat/>
    <w:rsid w:val="00606B48"/>
    <w:rPr>
      <w:i/>
      <w:iCs/>
    </w:rPr>
  </w:style>
  <w:style w:type="paragraph" w:styleId="Paragrafoelenco">
    <w:name w:val="List Paragraph"/>
    <w:basedOn w:val="Normale"/>
    <w:uiPriority w:val="34"/>
    <w:qFormat/>
    <w:rsid w:val="00DF5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3288">
      <w:bodyDiv w:val="1"/>
      <w:marLeft w:val="0"/>
      <w:marRight w:val="0"/>
      <w:marTop w:val="0"/>
      <w:marBottom w:val="0"/>
      <w:divBdr>
        <w:top w:val="none" w:sz="0" w:space="0" w:color="auto"/>
        <w:left w:val="none" w:sz="0" w:space="0" w:color="auto"/>
        <w:bottom w:val="none" w:sz="0" w:space="0" w:color="auto"/>
        <w:right w:val="none" w:sz="0" w:space="0" w:color="auto"/>
      </w:divBdr>
      <w:divsChild>
        <w:div w:id="1450666782">
          <w:marLeft w:val="0"/>
          <w:marRight w:val="0"/>
          <w:marTop w:val="0"/>
          <w:marBottom w:val="0"/>
          <w:divBdr>
            <w:top w:val="none" w:sz="0" w:space="0" w:color="auto"/>
            <w:left w:val="none" w:sz="0" w:space="0" w:color="auto"/>
            <w:bottom w:val="none" w:sz="0" w:space="0" w:color="auto"/>
            <w:right w:val="none" w:sz="0" w:space="0" w:color="auto"/>
          </w:divBdr>
        </w:div>
      </w:divsChild>
    </w:div>
    <w:div w:id="79834862">
      <w:bodyDiv w:val="1"/>
      <w:marLeft w:val="0"/>
      <w:marRight w:val="0"/>
      <w:marTop w:val="0"/>
      <w:marBottom w:val="0"/>
      <w:divBdr>
        <w:top w:val="none" w:sz="0" w:space="0" w:color="auto"/>
        <w:left w:val="none" w:sz="0" w:space="0" w:color="auto"/>
        <w:bottom w:val="none" w:sz="0" w:space="0" w:color="auto"/>
        <w:right w:val="none" w:sz="0" w:space="0" w:color="auto"/>
      </w:divBdr>
      <w:divsChild>
        <w:div w:id="12155229">
          <w:marLeft w:val="0"/>
          <w:marRight w:val="0"/>
          <w:marTop w:val="0"/>
          <w:marBottom w:val="0"/>
          <w:divBdr>
            <w:top w:val="none" w:sz="0" w:space="0" w:color="auto"/>
            <w:left w:val="none" w:sz="0" w:space="0" w:color="auto"/>
            <w:bottom w:val="none" w:sz="0" w:space="0" w:color="auto"/>
            <w:right w:val="none" w:sz="0" w:space="0" w:color="auto"/>
          </w:divBdr>
        </w:div>
      </w:divsChild>
    </w:div>
    <w:div w:id="220482444">
      <w:bodyDiv w:val="1"/>
      <w:marLeft w:val="0"/>
      <w:marRight w:val="0"/>
      <w:marTop w:val="0"/>
      <w:marBottom w:val="0"/>
      <w:divBdr>
        <w:top w:val="none" w:sz="0" w:space="0" w:color="auto"/>
        <w:left w:val="none" w:sz="0" w:space="0" w:color="auto"/>
        <w:bottom w:val="none" w:sz="0" w:space="0" w:color="auto"/>
        <w:right w:val="none" w:sz="0" w:space="0" w:color="auto"/>
      </w:divBdr>
      <w:divsChild>
        <w:div w:id="1641618187">
          <w:marLeft w:val="0"/>
          <w:marRight w:val="0"/>
          <w:marTop w:val="0"/>
          <w:marBottom w:val="0"/>
          <w:divBdr>
            <w:top w:val="none" w:sz="0" w:space="0" w:color="auto"/>
            <w:left w:val="none" w:sz="0" w:space="0" w:color="auto"/>
            <w:bottom w:val="none" w:sz="0" w:space="0" w:color="auto"/>
            <w:right w:val="none" w:sz="0" w:space="0" w:color="auto"/>
          </w:divBdr>
          <w:divsChild>
            <w:div w:id="10078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7178">
      <w:bodyDiv w:val="1"/>
      <w:marLeft w:val="0"/>
      <w:marRight w:val="0"/>
      <w:marTop w:val="0"/>
      <w:marBottom w:val="0"/>
      <w:divBdr>
        <w:top w:val="none" w:sz="0" w:space="0" w:color="auto"/>
        <w:left w:val="none" w:sz="0" w:space="0" w:color="auto"/>
        <w:bottom w:val="none" w:sz="0" w:space="0" w:color="auto"/>
        <w:right w:val="none" w:sz="0" w:space="0" w:color="auto"/>
      </w:divBdr>
      <w:divsChild>
        <w:div w:id="1416628755">
          <w:marLeft w:val="0"/>
          <w:marRight w:val="0"/>
          <w:marTop w:val="0"/>
          <w:marBottom w:val="0"/>
          <w:divBdr>
            <w:top w:val="none" w:sz="0" w:space="0" w:color="auto"/>
            <w:left w:val="none" w:sz="0" w:space="0" w:color="auto"/>
            <w:bottom w:val="none" w:sz="0" w:space="0" w:color="auto"/>
            <w:right w:val="none" w:sz="0" w:space="0" w:color="auto"/>
          </w:divBdr>
        </w:div>
      </w:divsChild>
    </w:div>
    <w:div w:id="420415070">
      <w:bodyDiv w:val="1"/>
      <w:marLeft w:val="0"/>
      <w:marRight w:val="0"/>
      <w:marTop w:val="0"/>
      <w:marBottom w:val="0"/>
      <w:divBdr>
        <w:top w:val="none" w:sz="0" w:space="0" w:color="auto"/>
        <w:left w:val="none" w:sz="0" w:space="0" w:color="auto"/>
        <w:bottom w:val="none" w:sz="0" w:space="0" w:color="auto"/>
        <w:right w:val="none" w:sz="0" w:space="0" w:color="auto"/>
      </w:divBdr>
      <w:divsChild>
        <w:div w:id="394622581">
          <w:marLeft w:val="0"/>
          <w:marRight w:val="0"/>
          <w:marTop w:val="0"/>
          <w:marBottom w:val="0"/>
          <w:divBdr>
            <w:top w:val="none" w:sz="0" w:space="0" w:color="auto"/>
            <w:left w:val="none" w:sz="0" w:space="0" w:color="auto"/>
            <w:bottom w:val="none" w:sz="0" w:space="0" w:color="auto"/>
            <w:right w:val="none" w:sz="0" w:space="0" w:color="auto"/>
          </w:divBdr>
        </w:div>
      </w:divsChild>
    </w:div>
    <w:div w:id="551427302">
      <w:bodyDiv w:val="1"/>
      <w:marLeft w:val="0"/>
      <w:marRight w:val="0"/>
      <w:marTop w:val="0"/>
      <w:marBottom w:val="0"/>
      <w:divBdr>
        <w:top w:val="none" w:sz="0" w:space="0" w:color="auto"/>
        <w:left w:val="none" w:sz="0" w:space="0" w:color="auto"/>
        <w:bottom w:val="none" w:sz="0" w:space="0" w:color="auto"/>
        <w:right w:val="none" w:sz="0" w:space="0" w:color="auto"/>
      </w:divBdr>
      <w:divsChild>
        <w:div w:id="170293290">
          <w:marLeft w:val="0"/>
          <w:marRight w:val="0"/>
          <w:marTop w:val="0"/>
          <w:marBottom w:val="0"/>
          <w:divBdr>
            <w:top w:val="none" w:sz="0" w:space="0" w:color="auto"/>
            <w:left w:val="none" w:sz="0" w:space="0" w:color="auto"/>
            <w:bottom w:val="none" w:sz="0" w:space="0" w:color="auto"/>
            <w:right w:val="none" w:sz="0" w:space="0" w:color="auto"/>
          </w:divBdr>
        </w:div>
      </w:divsChild>
    </w:div>
    <w:div w:id="579681703">
      <w:bodyDiv w:val="1"/>
      <w:marLeft w:val="0"/>
      <w:marRight w:val="0"/>
      <w:marTop w:val="0"/>
      <w:marBottom w:val="0"/>
      <w:divBdr>
        <w:top w:val="none" w:sz="0" w:space="0" w:color="auto"/>
        <w:left w:val="none" w:sz="0" w:space="0" w:color="auto"/>
        <w:bottom w:val="none" w:sz="0" w:space="0" w:color="auto"/>
        <w:right w:val="none" w:sz="0" w:space="0" w:color="auto"/>
      </w:divBdr>
      <w:divsChild>
        <w:div w:id="1191801938">
          <w:marLeft w:val="0"/>
          <w:marRight w:val="0"/>
          <w:marTop w:val="0"/>
          <w:marBottom w:val="0"/>
          <w:divBdr>
            <w:top w:val="none" w:sz="0" w:space="0" w:color="auto"/>
            <w:left w:val="none" w:sz="0" w:space="0" w:color="auto"/>
            <w:bottom w:val="none" w:sz="0" w:space="0" w:color="auto"/>
            <w:right w:val="none" w:sz="0" w:space="0" w:color="auto"/>
          </w:divBdr>
        </w:div>
      </w:divsChild>
    </w:div>
    <w:div w:id="584148713">
      <w:bodyDiv w:val="1"/>
      <w:marLeft w:val="0"/>
      <w:marRight w:val="0"/>
      <w:marTop w:val="0"/>
      <w:marBottom w:val="0"/>
      <w:divBdr>
        <w:top w:val="none" w:sz="0" w:space="0" w:color="auto"/>
        <w:left w:val="none" w:sz="0" w:space="0" w:color="auto"/>
        <w:bottom w:val="none" w:sz="0" w:space="0" w:color="auto"/>
        <w:right w:val="none" w:sz="0" w:space="0" w:color="auto"/>
      </w:divBdr>
      <w:divsChild>
        <w:div w:id="1219166903">
          <w:marLeft w:val="0"/>
          <w:marRight w:val="0"/>
          <w:marTop w:val="0"/>
          <w:marBottom w:val="0"/>
          <w:divBdr>
            <w:top w:val="none" w:sz="0" w:space="0" w:color="auto"/>
            <w:left w:val="none" w:sz="0" w:space="0" w:color="auto"/>
            <w:bottom w:val="none" w:sz="0" w:space="0" w:color="auto"/>
            <w:right w:val="none" w:sz="0" w:space="0" w:color="auto"/>
          </w:divBdr>
        </w:div>
      </w:divsChild>
    </w:div>
    <w:div w:id="755826859">
      <w:bodyDiv w:val="1"/>
      <w:marLeft w:val="0"/>
      <w:marRight w:val="0"/>
      <w:marTop w:val="0"/>
      <w:marBottom w:val="0"/>
      <w:divBdr>
        <w:top w:val="none" w:sz="0" w:space="0" w:color="auto"/>
        <w:left w:val="none" w:sz="0" w:space="0" w:color="auto"/>
        <w:bottom w:val="none" w:sz="0" w:space="0" w:color="auto"/>
        <w:right w:val="none" w:sz="0" w:space="0" w:color="auto"/>
      </w:divBdr>
      <w:divsChild>
        <w:div w:id="538057324">
          <w:marLeft w:val="0"/>
          <w:marRight w:val="0"/>
          <w:marTop w:val="0"/>
          <w:marBottom w:val="0"/>
          <w:divBdr>
            <w:top w:val="none" w:sz="0" w:space="0" w:color="auto"/>
            <w:left w:val="none" w:sz="0" w:space="0" w:color="auto"/>
            <w:bottom w:val="none" w:sz="0" w:space="0" w:color="auto"/>
            <w:right w:val="none" w:sz="0" w:space="0" w:color="auto"/>
          </w:divBdr>
        </w:div>
      </w:divsChild>
    </w:div>
    <w:div w:id="780226747">
      <w:bodyDiv w:val="1"/>
      <w:marLeft w:val="0"/>
      <w:marRight w:val="0"/>
      <w:marTop w:val="0"/>
      <w:marBottom w:val="0"/>
      <w:divBdr>
        <w:top w:val="none" w:sz="0" w:space="0" w:color="auto"/>
        <w:left w:val="none" w:sz="0" w:space="0" w:color="auto"/>
        <w:bottom w:val="none" w:sz="0" w:space="0" w:color="auto"/>
        <w:right w:val="none" w:sz="0" w:space="0" w:color="auto"/>
      </w:divBdr>
      <w:divsChild>
        <w:div w:id="2025472089">
          <w:marLeft w:val="0"/>
          <w:marRight w:val="0"/>
          <w:marTop w:val="0"/>
          <w:marBottom w:val="0"/>
          <w:divBdr>
            <w:top w:val="none" w:sz="0" w:space="0" w:color="auto"/>
            <w:left w:val="none" w:sz="0" w:space="0" w:color="auto"/>
            <w:bottom w:val="none" w:sz="0" w:space="0" w:color="auto"/>
            <w:right w:val="none" w:sz="0" w:space="0" w:color="auto"/>
          </w:divBdr>
        </w:div>
      </w:divsChild>
    </w:div>
    <w:div w:id="787772108">
      <w:bodyDiv w:val="1"/>
      <w:marLeft w:val="0"/>
      <w:marRight w:val="0"/>
      <w:marTop w:val="0"/>
      <w:marBottom w:val="0"/>
      <w:divBdr>
        <w:top w:val="none" w:sz="0" w:space="0" w:color="auto"/>
        <w:left w:val="none" w:sz="0" w:space="0" w:color="auto"/>
        <w:bottom w:val="none" w:sz="0" w:space="0" w:color="auto"/>
        <w:right w:val="none" w:sz="0" w:space="0" w:color="auto"/>
      </w:divBdr>
      <w:divsChild>
        <w:div w:id="1732117838">
          <w:marLeft w:val="0"/>
          <w:marRight w:val="0"/>
          <w:marTop w:val="0"/>
          <w:marBottom w:val="0"/>
          <w:divBdr>
            <w:top w:val="none" w:sz="0" w:space="0" w:color="auto"/>
            <w:left w:val="none" w:sz="0" w:space="0" w:color="auto"/>
            <w:bottom w:val="none" w:sz="0" w:space="0" w:color="auto"/>
            <w:right w:val="none" w:sz="0" w:space="0" w:color="auto"/>
          </w:divBdr>
        </w:div>
        <w:div w:id="433399213">
          <w:marLeft w:val="0"/>
          <w:marRight w:val="0"/>
          <w:marTop w:val="0"/>
          <w:marBottom w:val="0"/>
          <w:divBdr>
            <w:top w:val="none" w:sz="0" w:space="0" w:color="auto"/>
            <w:left w:val="none" w:sz="0" w:space="0" w:color="auto"/>
            <w:bottom w:val="none" w:sz="0" w:space="0" w:color="auto"/>
            <w:right w:val="none" w:sz="0" w:space="0" w:color="auto"/>
          </w:divBdr>
        </w:div>
        <w:div w:id="1595743349">
          <w:marLeft w:val="0"/>
          <w:marRight w:val="0"/>
          <w:marTop w:val="0"/>
          <w:marBottom w:val="0"/>
          <w:divBdr>
            <w:top w:val="none" w:sz="0" w:space="0" w:color="auto"/>
            <w:left w:val="none" w:sz="0" w:space="0" w:color="auto"/>
            <w:bottom w:val="none" w:sz="0" w:space="0" w:color="auto"/>
            <w:right w:val="none" w:sz="0" w:space="0" w:color="auto"/>
          </w:divBdr>
        </w:div>
        <w:div w:id="902981470">
          <w:marLeft w:val="0"/>
          <w:marRight w:val="0"/>
          <w:marTop w:val="0"/>
          <w:marBottom w:val="0"/>
          <w:divBdr>
            <w:top w:val="none" w:sz="0" w:space="0" w:color="auto"/>
            <w:left w:val="none" w:sz="0" w:space="0" w:color="auto"/>
            <w:bottom w:val="none" w:sz="0" w:space="0" w:color="auto"/>
            <w:right w:val="none" w:sz="0" w:space="0" w:color="auto"/>
          </w:divBdr>
        </w:div>
      </w:divsChild>
    </w:div>
    <w:div w:id="946039002">
      <w:bodyDiv w:val="1"/>
      <w:marLeft w:val="0"/>
      <w:marRight w:val="0"/>
      <w:marTop w:val="0"/>
      <w:marBottom w:val="0"/>
      <w:divBdr>
        <w:top w:val="none" w:sz="0" w:space="0" w:color="auto"/>
        <w:left w:val="none" w:sz="0" w:space="0" w:color="auto"/>
        <w:bottom w:val="none" w:sz="0" w:space="0" w:color="auto"/>
        <w:right w:val="none" w:sz="0" w:space="0" w:color="auto"/>
      </w:divBdr>
      <w:divsChild>
        <w:div w:id="56976809">
          <w:marLeft w:val="0"/>
          <w:marRight w:val="0"/>
          <w:marTop w:val="0"/>
          <w:marBottom w:val="0"/>
          <w:divBdr>
            <w:top w:val="none" w:sz="0" w:space="0" w:color="auto"/>
            <w:left w:val="none" w:sz="0" w:space="0" w:color="auto"/>
            <w:bottom w:val="none" w:sz="0" w:space="0" w:color="auto"/>
            <w:right w:val="none" w:sz="0" w:space="0" w:color="auto"/>
          </w:divBdr>
        </w:div>
      </w:divsChild>
    </w:div>
    <w:div w:id="1024556326">
      <w:bodyDiv w:val="1"/>
      <w:marLeft w:val="0"/>
      <w:marRight w:val="0"/>
      <w:marTop w:val="0"/>
      <w:marBottom w:val="0"/>
      <w:divBdr>
        <w:top w:val="none" w:sz="0" w:space="0" w:color="auto"/>
        <w:left w:val="none" w:sz="0" w:space="0" w:color="auto"/>
        <w:bottom w:val="none" w:sz="0" w:space="0" w:color="auto"/>
        <w:right w:val="none" w:sz="0" w:space="0" w:color="auto"/>
      </w:divBdr>
    </w:div>
    <w:div w:id="1105809168">
      <w:bodyDiv w:val="1"/>
      <w:marLeft w:val="0"/>
      <w:marRight w:val="0"/>
      <w:marTop w:val="0"/>
      <w:marBottom w:val="0"/>
      <w:divBdr>
        <w:top w:val="none" w:sz="0" w:space="0" w:color="auto"/>
        <w:left w:val="none" w:sz="0" w:space="0" w:color="auto"/>
        <w:bottom w:val="none" w:sz="0" w:space="0" w:color="auto"/>
        <w:right w:val="none" w:sz="0" w:space="0" w:color="auto"/>
      </w:divBdr>
      <w:divsChild>
        <w:div w:id="91440144">
          <w:marLeft w:val="0"/>
          <w:marRight w:val="0"/>
          <w:marTop w:val="0"/>
          <w:marBottom w:val="0"/>
          <w:divBdr>
            <w:top w:val="none" w:sz="0" w:space="0" w:color="auto"/>
            <w:left w:val="none" w:sz="0" w:space="0" w:color="auto"/>
            <w:bottom w:val="none" w:sz="0" w:space="0" w:color="auto"/>
            <w:right w:val="none" w:sz="0" w:space="0" w:color="auto"/>
          </w:divBdr>
        </w:div>
      </w:divsChild>
    </w:div>
    <w:div w:id="1339188176">
      <w:bodyDiv w:val="1"/>
      <w:marLeft w:val="0"/>
      <w:marRight w:val="0"/>
      <w:marTop w:val="0"/>
      <w:marBottom w:val="0"/>
      <w:divBdr>
        <w:top w:val="none" w:sz="0" w:space="0" w:color="auto"/>
        <w:left w:val="none" w:sz="0" w:space="0" w:color="auto"/>
        <w:bottom w:val="none" w:sz="0" w:space="0" w:color="auto"/>
        <w:right w:val="none" w:sz="0" w:space="0" w:color="auto"/>
      </w:divBdr>
      <w:divsChild>
        <w:div w:id="1874731049">
          <w:marLeft w:val="0"/>
          <w:marRight w:val="0"/>
          <w:marTop w:val="0"/>
          <w:marBottom w:val="0"/>
          <w:divBdr>
            <w:top w:val="none" w:sz="0" w:space="0" w:color="auto"/>
            <w:left w:val="none" w:sz="0" w:space="0" w:color="auto"/>
            <w:bottom w:val="none" w:sz="0" w:space="0" w:color="auto"/>
            <w:right w:val="none" w:sz="0" w:space="0" w:color="auto"/>
          </w:divBdr>
        </w:div>
      </w:divsChild>
    </w:div>
    <w:div w:id="1484814125">
      <w:bodyDiv w:val="1"/>
      <w:marLeft w:val="0"/>
      <w:marRight w:val="0"/>
      <w:marTop w:val="0"/>
      <w:marBottom w:val="0"/>
      <w:divBdr>
        <w:top w:val="none" w:sz="0" w:space="0" w:color="auto"/>
        <w:left w:val="none" w:sz="0" w:space="0" w:color="auto"/>
        <w:bottom w:val="none" w:sz="0" w:space="0" w:color="auto"/>
        <w:right w:val="none" w:sz="0" w:space="0" w:color="auto"/>
      </w:divBdr>
      <w:divsChild>
        <w:div w:id="602957436">
          <w:marLeft w:val="0"/>
          <w:marRight w:val="0"/>
          <w:marTop w:val="0"/>
          <w:marBottom w:val="0"/>
          <w:divBdr>
            <w:top w:val="none" w:sz="0" w:space="0" w:color="auto"/>
            <w:left w:val="none" w:sz="0" w:space="0" w:color="auto"/>
            <w:bottom w:val="none" w:sz="0" w:space="0" w:color="auto"/>
            <w:right w:val="none" w:sz="0" w:space="0" w:color="auto"/>
          </w:divBdr>
        </w:div>
      </w:divsChild>
    </w:div>
    <w:div w:id="1667510089">
      <w:bodyDiv w:val="1"/>
      <w:marLeft w:val="0"/>
      <w:marRight w:val="0"/>
      <w:marTop w:val="0"/>
      <w:marBottom w:val="0"/>
      <w:divBdr>
        <w:top w:val="none" w:sz="0" w:space="0" w:color="auto"/>
        <w:left w:val="none" w:sz="0" w:space="0" w:color="auto"/>
        <w:bottom w:val="none" w:sz="0" w:space="0" w:color="auto"/>
        <w:right w:val="none" w:sz="0" w:space="0" w:color="auto"/>
      </w:divBdr>
    </w:div>
    <w:div w:id="2052531731">
      <w:bodyDiv w:val="1"/>
      <w:marLeft w:val="0"/>
      <w:marRight w:val="0"/>
      <w:marTop w:val="0"/>
      <w:marBottom w:val="0"/>
      <w:divBdr>
        <w:top w:val="none" w:sz="0" w:space="0" w:color="auto"/>
        <w:left w:val="none" w:sz="0" w:space="0" w:color="auto"/>
        <w:bottom w:val="none" w:sz="0" w:space="0" w:color="auto"/>
        <w:right w:val="none" w:sz="0" w:space="0" w:color="auto"/>
      </w:divBdr>
      <w:divsChild>
        <w:div w:id="176907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CB92-42E4-4CD8-A8AC-34B1AE58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11480</Words>
  <Characters>65442</Characters>
  <Application>Microsoft Office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sommarivamichele</dc:creator>
  <cp:lastModifiedBy>mennittoroberta</cp:lastModifiedBy>
  <cp:revision>5</cp:revision>
  <cp:lastPrinted>2018-08-22T13:31:00Z</cp:lastPrinted>
  <dcterms:created xsi:type="dcterms:W3CDTF">2018-08-22T14:46:00Z</dcterms:created>
  <dcterms:modified xsi:type="dcterms:W3CDTF">2018-08-22T14:53:00Z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http://www.zotero.org/styles/cancer-discovery</vt:lpwstr>
  </property>
  <property fmtid="{D5CDD505-2E9C-101B-9397-08002B2CF9AE}" pid="7" name="Mendeley Recent Style Name 2_1">
    <vt:lpwstr>Cancer Discovery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http://www.zotero.org/styles/clinical-cancer-research</vt:lpwstr>
  </property>
  <property fmtid="{D5CDD505-2E9C-101B-9397-08002B2CF9AE}" pid="13" name="Mendeley Recent Style Name 5_1">
    <vt:lpwstr>Clinical Cancer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31c01d9b-f134-33e2-945d-aa0208cd9852</vt:lpwstr>
  </property>
  <property fmtid="{D5CDD505-2E9C-101B-9397-08002B2CF9AE}" pid="24" name="Mendeley Citation Style_1">
    <vt:lpwstr>http://www.zotero.org/styles/clinical-cancer-research</vt:lpwstr>
  </property>
</Properties>
</file>