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D0" w:rsidRDefault="00312AD0" w:rsidP="00312AD0">
      <w:pPr>
        <w:spacing w:line="480" w:lineRule="auto"/>
        <w:rPr>
          <w:rFonts w:ascii="Arial" w:hAnsi="Arial" w:cs="Arial"/>
          <w:b/>
          <w:lang w:val="en-US"/>
        </w:rPr>
      </w:pPr>
      <w:r>
        <w:rPr>
          <w:rFonts w:ascii="Arial" w:hAnsi="Arial" w:cs="Arial"/>
          <w:b/>
          <w:lang w:val="en-US"/>
        </w:rPr>
        <w:t>SUPPLEMENTARY METHODS</w:t>
      </w:r>
    </w:p>
    <w:p w:rsidR="00312AD0" w:rsidRDefault="00312AD0" w:rsidP="00312AD0">
      <w:pPr>
        <w:spacing w:line="480" w:lineRule="auto"/>
        <w:rPr>
          <w:rFonts w:ascii="Arial" w:hAnsi="Arial" w:cs="Arial"/>
          <w:b/>
          <w:lang w:val="en-US"/>
        </w:rPr>
      </w:pPr>
    </w:p>
    <w:p w:rsidR="000A0F84" w:rsidRPr="00463744" w:rsidRDefault="00463744" w:rsidP="00312AD0">
      <w:pPr>
        <w:spacing w:line="480" w:lineRule="auto"/>
        <w:rPr>
          <w:rFonts w:ascii="Arial" w:hAnsi="Arial" w:cs="Arial"/>
          <w:b/>
          <w:lang w:val="en-US"/>
        </w:rPr>
      </w:pPr>
      <w:r w:rsidRPr="00463744">
        <w:rPr>
          <w:rFonts w:ascii="Arial" w:hAnsi="Arial" w:cs="Arial"/>
          <w:b/>
          <w:lang w:val="en-US"/>
        </w:rPr>
        <w:t>Eligibility criteria</w:t>
      </w:r>
    </w:p>
    <w:p w:rsidR="00463744" w:rsidRDefault="00463744" w:rsidP="00312AD0">
      <w:pPr>
        <w:spacing w:line="480" w:lineRule="auto"/>
        <w:rPr>
          <w:rFonts w:ascii="Arial" w:hAnsi="Arial" w:cs="Arial"/>
          <w:lang w:val="en-US"/>
        </w:rPr>
      </w:pP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1.</w:t>
      </w:r>
      <w:r>
        <w:rPr>
          <w:rFonts w:ascii="Arial" w:hAnsi="Arial" w:cs="Arial"/>
          <w:lang w:val="en-US"/>
        </w:rPr>
        <w:t xml:space="preserve"> </w:t>
      </w:r>
      <w:r w:rsidRPr="000103D3">
        <w:rPr>
          <w:rFonts w:ascii="Arial" w:hAnsi="Arial" w:cs="Arial"/>
          <w:u w:val="single"/>
          <w:lang w:val="en-US"/>
        </w:rPr>
        <w:t>Inclusion Criteria</w:t>
      </w:r>
    </w:p>
    <w:p w:rsidR="000103D3" w:rsidRPr="000103D3" w:rsidRDefault="000103D3" w:rsidP="00312AD0">
      <w:pPr>
        <w:spacing w:line="480" w:lineRule="auto"/>
        <w:jc w:val="both"/>
        <w:rPr>
          <w:rFonts w:ascii="Arial" w:hAnsi="Arial" w:cs="Arial"/>
          <w:lang w:val="en-US"/>
        </w:rPr>
      </w:pP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1.1. </w:t>
      </w:r>
      <w:r w:rsidRPr="000103D3">
        <w:rPr>
          <w:rFonts w:ascii="Arial" w:hAnsi="Arial" w:cs="Arial"/>
          <w:lang w:val="en-US"/>
        </w:rPr>
        <w:t>At least 18 years of age at the time of study entry.</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1.2</w:t>
      </w:r>
      <w:r>
        <w:rPr>
          <w:rFonts w:ascii="Arial" w:hAnsi="Arial" w:cs="Arial"/>
          <w:lang w:val="en-US"/>
        </w:rPr>
        <w:t xml:space="preserve">. </w:t>
      </w:r>
      <w:r w:rsidRPr="000103D3">
        <w:rPr>
          <w:rFonts w:ascii="Arial" w:hAnsi="Arial" w:cs="Arial"/>
          <w:lang w:val="en-US"/>
        </w:rPr>
        <w:t>Histologically confirmed metastatic and/or unresectable GIST. Patients must demonstrate prior failure to at least imatin</w:t>
      </w:r>
      <w:bookmarkStart w:id="0" w:name="_GoBack"/>
      <w:bookmarkEnd w:id="0"/>
      <w:r w:rsidRPr="000103D3">
        <w:rPr>
          <w:rFonts w:ascii="Arial" w:hAnsi="Arial" w:cs="Arial"/>
          <w:lang w:val="en-US"/>
        </w:rPr>
        <w:t xml:space="preserve">ib, sunitinib and </w:t>
      </w:r>
      <w:r w:rsidR="008C152F">
        <w:rPr>
          <w:rFonts w:ascii="Arial" w:hAnsi="Arial" w:cs="Arial"/>
          <w:lang w:val="en-US"/>
        </w:rPr>
        <w:t>regorafenib</w:t>
      </w:r>
      <w:r w:rsidRPr="000103D3">
        <w:rPr>
          <w:rFonts w:ascii="Arial" w:hAnsi="Arial" w:cs="Arial"/>
          <w:lang w:val="en-US"/>
        </w:rPr>
        <w:t xml:space="preserve"> (4th line and beyond). Any number of previous therapies for GIST is allowed. </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Failure of imatinib is defined as either prior progression of disease on imatinib in the metastatic setting or progression during adjuvant imatinib, or within 3 months of completing adjuvant imatinib. Failure of sunitinib and regorafenib is defined only as prior progression of disease on sunitinib or on regorafenib as assessed by the investigator.</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1.3</w:t>
      </w:r>
      <w:r>
        <w:rPr>
          <w:rFonts w:ascii="Arial" w:hAnsi="Arial" w:cs="Arial"/>
          <w:lang w:val="en-US"/>
        </w:rPr>
        <w:t xml:space="preserve">. </w:t>
      </w:r>
      <w:r w:rsidRPr="000103D3">
        <w:rPr>
          <w:rFonts w:ascii="Arial" w:hAnsi="Arial" w:cs="Arial"/>
          <w:lang w:val="en-US"/>
        </w:rPr>
        <w:t>Measurable disease per modified RECIST 1.1. A lesion in a previously irradiated area is ineligible to be considered as measurable disease unless there is objective evidence of progression of the lesion prior to study enrollment.</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1.4</w:t>
      </w:r>
      <w:r>
        <w:rPr>
          <w:rFonts w:ascii="Arial" w:hAnsi="Arial" w:cs="Arial"/>
          <w:lang w:val="en-US"/>
        </w:rPr>
        <w:t xml:space="preserve">. </w:t>
      </w:r>
      <w:r w:rsidRPr="000103D3">
        <w:rPr>
          <w:rFonts w:ascii="Arial" w:hAnsi="Arial" w:cs="Arial"/>
          <w:lang w:val="en-US"/>
        </w:rPr>
        <w:t>ECOG performance status 0 or 1 (see Appendix A).</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1.5</w:t>
      </w:r>
      <w:r>
        <w:rPr>
          <w:rFonts w:ascii="Arial" w:hAnsi="Arial" w:cs="Arial"/>
          <w:lang w:val="en-US"/>
        </w:rPr>
        <w:t xml:space="preserve">. </w:t>
      </w:r>
      <w:r w:rsidRPr="000103D3">
        <w:rPr>
          <w:rFonts w:ascii="Arial" w:hAnsi="Arial" w:cs="Arial"/>
          <w:lang w:val="en-US"/>
        </w:rPr>
        <w:t>Participants must have adequate organ and marrow function as defined below (within 7 days prior to enrollment):</w:t>
      </w:r>
    </w:p>
    <w:p w:rsidR="000103D3" w:rsidRPr="000103D3" w:rsidRDefault="000103D3" w:rsidP="00312AD0">
      <w:pPr>
        <w:spacing w:line="480" w:lineRule="auto"/>
        <w:ind w:left="567"/>
        <w:jc w:val="both"/>
        <w:rPr>
          <w:rFonts w:ascii="Arial" w:hAnsi="Arial" w:cs="Arial"/>
          <w:lang w:val="en-US"/>
        </w:rPr>
      </w:pPr>
      <w:r w:rsidRPr="000103D3">
        <w:rPr>
          <w:rFonts w:ascii="Arial" w:hAnsi="Arial" w:cs="Arial"/>
          <w:lang w:val="en-US"/>
        </w:rPr>
        <w:t>a.</w:t>
      </w:r>
      <w:r>
        <w:rPr>
          <w:rFonts w:ascii="Arial" w:hAnsi="Arial" w:cs="Arial"/>
          <w:lang w:val="en-US"/>
        </w:rPr>
        <w:t xml:space="preserve"> </w:t>
      </w:r>
      <w:r w:rsidRPr="000103D3">
        <w:rPr>
          <w:rFonts w:ascii="Arial" w:hAnsi="Arial" w:cs="Arial"/>
          <w:lang w:val="en-US"/>
        </w:rPr>
        <w:t>Hemoglobin ≥ 9.0 g/</w:t>
      </w:r>
      <w:proofErr w:type="spellStart"/>
      <w:r w:rsidRPr="000103D3">
        <w:rPr>
          <w:rFonts w:ascii="Arial" w:hAnsi="Arial" w:cs="Arial"/>
          <w:lang w:val="en-US"/>
        </w:rPr>
        <w:t>dL</w:t>
      </w:r>
      <w:proofErr w:type="spellEnd"/>
      <w:r w:rsidRPr="000103D3">
        <w:rPr>
          <w:rFonts w:ascii="Arial" w:hAnsi="Arial" w:cs="Arial"/>
          <w:lang w:val="en-US"/>
        </w:rPr>
        <w:t xml:space="preserve"> (90 g/L). Previous transfusion is allowed.</w:t>
      </w:r>
    </w:p>
    <w:p w:rsidR="000103D3" w:rsidRPr="000103D3" w:rsidRDefault="000103D3" w:rsidP="00312AD0">
      <w:pPr>
        <w:spacing w:line="480" w:lineRule="auto"/>
        <w:ind w:left="567"/>
        <w:jc w:val="both"/>
        <w:rPr>
          <w:rFonts w:ascii="Arial" w:hAnsi="Arial" w:cs="Arial"/>
          <w:lang w:val="en-US"/>
        </w:rPr>
      </w:pPr>
      <w:r w:rsidRPr="000103D3">
        <w:rPr>
          <w:rFonts w:ascii="Arial" w:hAnsi="Arial" w:cs="Arial"/>
          <w:lang w:val="en-US"/>
        </w:rPr>
        <w:t>b.</w:t>
      </w:r>
      <w:r>
        <w:rPr>
          <w:rFonts w:ascii="Arial" w:hAnsi="Arial" w:cs="Arial"/>
          <w:lang w:val="en-US"/>
        </w:rPr>
        <w:t xml:space="preserve"> </w:t>
      </w:r>
      <w:r w:rsidRPr="000103D3">
        <w:rPr>
          <w:rFonts w:ascii="Arial" w:hAnsi="Arial" w:cs="Arial"/>
          <w:lang w:val="en-US"/>
        </w:rPr>
        <w:t>Absolute neutrophil count ≥ 1500/mm3.</w:t>
      </w:r>
    </w:p>
    <w:p w:rsidR="000103D3" w:rsidRPr="000103D3" w:rsidRDefault="000103D3" w:rsidP="00312AD0">
      <w:pPr>
        <w:spacing w:line="480" w:lineRule="auto"/>
        <w:ind w:left="567"/>
        <w:jc w:val="both"/>
        <w:rPr>
          <w:rFonts w:ascii="Arial" w:hAnsi="Arial" w:cs="Arial"/>
          <w:lang w:val="en-US"/>
        </w:rPr>
      </w:pPr>
      <w:r w:rsidRPr="000103D3">
        <w:rPr>
          <w:rFonts w:ascii="Arial" w:hAnsi="Arial" w:cs="Arial"/>
          <w:lang w:val="en-US"/>
        </w:rPr>
        <w:t>c.</w:t>
      </w:r>
      <w:r>
        <w:rPr>
          <w:rFonts w:ascii="Arial" w:hAnsi="Arial" w:cs="Arial"/>
          <w:lang w:val="en-US"/>
        </w:rPr>
        <w:t xml:space="preserve"> </w:t>
      </w:r>
      <w:r w:rsidRPr="000103D3">
        <w:rPr>
          <w:rFonts w:ascii="Arial" w:hAnsi="Arial" w:cs="Arial"/>
          <w:lang w:val="en-US"/>
        </w:rPr>
        <w:t>Platelets ≥ 100,000 /mm3. Previous transfusion is allowed.</w:t>
      </w:r>
    </w:p>
    <w:p w:rsidR="000103D3" w:rsidRPr="000103D3" w:rsidRDefault="000103D3" w:rsidP="00312AD0">
      <w:pPr>
        <w:spacing w:line="480" w:lineRule="auto"/>
        <w:ind w:left="567"/>
        <w:jc w:val="both"/>
        <w:rPr>
          <w:rFonts w:ascii="Arial" w:hAnsi="Arial" w:cs="Arial"/>
          <w:lang w:val="en-US"/>
        </w:rPr>
      </w:pPr>
      <w:r w:rsidRPr="000103D3">
        <w:rPr>
          <w:rFonts w:ascii="Arial" w:hAnsi="Arial" w:cs="Arial"/>
          <w:lang w:val="en-US"/>
        </w:rPr>
        <w:t>d.</w:t>
      </w:r>
      <w:r>
        <w:rPr>
          <w:rFonts w:ascii="Arial" w:hAnsi="Arial" w:cs="Arial"/>
          <w:lang w:val="en-US"/>
        </w:rPr>
        <w:t xml:space="preserve"> </w:t>
      </w:r>
      <w:r w:rsidRPr="000103D3">
        <w:rPr>
          <w:rFonts w:ascii="Arial" w:hAnsi="Arial" w:cs="Arial"/>
          <w:lang w:val="en-US"/>
        </w:rPr>
        <w:t xml:space="preserve">International normalized ratio (INR), and prothrombin time (PT) ≤1.5 x ULN (patients who are being prophylactically anticoagulated with an agent such as </w:t>
      </w:r>
      <w:proofErr w:type="spellStart"/>
      <w:r w:rsidRPr="000103D3">
        <w:rPr>
          <w:rFonts w:ascii="Arial" w:hAnsi="Arial" w:cs="Arial"/>
          <w:lang w:val="en-US"/>
        </w:rPr>
        <w:t>coumadin</w:t>
      </w:r>
      <w:proofErr w:type="spellEnd"/>
      <w:r w:rsidRPr="000103D3">
        <w:rPr>
          <w:rFonts w:ascii="Arial" w:hAnsi="Arial" w:cs="Arial"/>
          <w:lang w:val="en-US"/>
        </w:rPr>
        <w:t xml:space="preserve"> or low molecular weight heparin (LMWH) or therapeutically anticoagulated with LMWH will be allowed to participate provided they are stable </w:t>
      </w:r>
      <w:r w:rsidRPr="000103D3">
        <w:rPr>
          <w:rFonts w:ascii="Arial" w:hAnsi="Arial" w:cs="Arial"/>
          <w:lang w:val="en-US"/>
        </w:rPr>
        <w:lastRenderedPageBreak/>
        <w:t>and monitored at appropriate intervals per institutional guidelines throughout study).</w:t>
      </w:r>
    </w:p>
    <w:p w:rsidR="000103D3" w:rsidRPr="000103D3" w:rsidRDefault="000103D3" w:rsidP="00312AD0">
      <w:pPr>
        <w:spacing w:line="480" w:lineRule="auto"/>
        <w:ind w:left="567"/>
        <w:jc w:val="both"/>
        <w:rPr>
          <w:rFonts w:ascii="Arial" w:hAnsi="Arial" w:cs="Arial"/>
          <w:lang w:val="en-US"/>
        </w:rPr>
      </w:pPr>
      <w:r>
        <w:rPr>
          <w:rFonts w:ascii="Arial" w:hAnsi="Arial" w:cs="Arial"/>
          <w:lang w:val="en-US"/>
        </w:rPr>
        <w:t xml:space="preserve">e. </w:t>
      </w:r>
      <w:r w:rsidRPr="000103D3">
        <w:rPr>
          <w:rFonts w:ascii="Arial" w:hAnsi="Arial" w:cs="Arial"/>
          <w:lang w:val="en-US"/>
        </w:rPr>
        <w:t xml:space="preserve">Alanine </w:t>
      </w:r>
      <w:proofErr w:type="spellStart"/>
      <w:r w:rsidRPr="000103D3">
        <w:rPr>
          <w:rFonts w:ascii="Arial" w:hAnsi="Arial" w:cs="Arial"/>
          <w:lang w:val="en-US"/>
        </w:rPr>
        <w:t>aminotransferanse</w:t>
      </w:r>
      <w:proofErr w:type="spellEnd"/>
      <w:r w:rsidRPr="000103D3">
        <w:rPr>
          <w:rFonts w:ascii="Arial" w:hAnsi="Arial" w:cs="Arial"/>
          <w:lang w:val="en-US"/>
        </w:rPr>
        <w:t xml:space="preserve"> (ALT) and aspartate </w:t>
      </w:r>
      <w:proofErr w:type="spellStart"/>
      <w:r w:rsidRPr="000103D3">
        <w:rPr>
          <w:rFonts w:ascii="Arial" w:hAnsi="Arial" w:cs="Arial"/>
          <w:lang w:val="en-US"/>
        </w:rPr>
        <w:t>aminotransferanse</w:t>
      </w:r>
      <w:proofErr w:type="spellEnd"/>
      <w:r w:rsidRPr="000103D3">
        <w:rPr>
          <w:rFonts w:ascii="Arial" w:hAnsi="Arial" w:cs="Arial"/>
          <w:lang w:val="en-US"/>
        </w:rPr>
        <w:t xml:space="preserve"> (AST) ≤ 2.5 x upper limit of normal (ULN), or ≤ 5.0 x ULN if liver metastases are present.</w:t>
      </w:r>
    </w:p>
    <w:p w:rsidR="000103D3" w:rsidRPr="000103D3" w:rsidRDefault="000103D3" w:rsidP="00312AD0">
      <w:pPr>
        <w:spacing w:line="480" w:lineRule="auto"/>
        <w:ind w:left="567"/>
        <w:jc w:val="both"/>
        <w:rPr>
          <w:rFonts w:ascii="Arial" w:hAnsi="Arial" w:cs="Arial"/>
          <w:lang w:val="en-US"/>
        </w:rPr>
      </w:pPr>
      <w:r w:rsidRPr="000103D3">
        <w:rPr>
          <w:rFonts w:ascii="Arial" w:hAnsi="Arial" w:cs="Arial"/>
          <w:lang w:val="en-US"/>
        </w:rPr>
        <w:t>f.</w:t>
      </w:r>
      <w:r>
        <w:rPr>
          <w:rFonts w:ascii="Arial" w:hAnsi="Arial" w:cs="Arial"/>
          <w:lang w:val="en-US"/>
        </w:rPr>
        <w:t xml:space="preserve"> </w:t>
      </w:r>
      <w:r w:rsidRPr="000103D3">
        <w:rPr>
          <w:rFonts w:ascii="Arial" w:hAnsi="Arial" w:cs="Arial"/>
          <w:lang w:val="en-US"/>
        </w:rPr>
        <w:t>Alkaline phosphatase (ALP) limit &lt; 2.5 x ULN or ≤ 5.0 x ULN if liver metastases are present.</w:t>
      </w:r>
    </w:p>
    <w:p w:rsidR="000103D3" w:rsidRPr="000103D3" w:rsidRDefault="000103D3" w:rsidP="00312AD0">
      <w:pPr>
        <w:spacing w:line="480" w:lineRule="auto"/>
        <w:ind w:left="567"/>
        <w:jc w:val="both"/>
        <w:rPr>
          <w:rFonts w:ascii="Arial" w:hAnsi="Arial" w:cs="Arial"/>
          <w:lang w:val="en-US"/>
        </w:rPr>
      </w:pPr>
      <w:r w:rsidRPr="000103D3">
        <w:rPr>
          <w:rFonts w:ascii="Arial" w:hAnsi="Arial" w:cs="Arial"/>
          <w:lang w:val="en-US"/>
        </w:rPr>
        <w:t>g.</w:t>
      </w:r>
      <w:r>
        <w:rPr>
          <w:rFonts w:ascii="Arial" w:hAnsi="Arial" w:cs="Arial"/>
          <w:lang w:val="en-US"/>
        </w:rPr>
        <w:t xml:space="preserve"> </w:t>
      </w:r>
      <w:r w:rsidRPr="000103D3">
        <w:rPr>
          <w:rFonts w:ascii="Arial" w:hAnsi="Arial" w:cs="Arial"/>
          <w:lang w:val="en-US"/>
        </w:rPr>
        <w:t>Total serum bilirubin ≤ 1.5 x ULN. Patients with Gilbert’s syndrome with baseline serum bilirubin exceeding this limit are allowed to participate.</w:t>
      </w:r>
    </w:p>
    <w:p w:rsidR="000103D3" w:rsidRPr="000103D3" w:rsidRDefault="000103D3" w:rsidP="00312AD0">
      <w:pPr>
        <w:spacing w:line="480" w:lineRule="auto"/>
        <w:ind w:left="567"/>
        <w:jc w:val="both"/>
        <w:rPr>
          <w:rFonts w:ascii="Arial" w:hAnsi="Arial" w:cs="Arial"/>
          <w:lang w:val="en-US"/>
        </w:rPr>
      </w:pPr>
      <w:r w:rsidRPr="000103D3">
        <w:rPr>
          <w:rFonts w:ascii="Arial" w:hAnsi="Arial" w:cs="Arial"/>
          <w:lang w:val="en-US"/>
        </w:rPr>
        <w:t>h.</w:t>
      </w:r>
      <w:r>
        <w:rPr>
          <w:rFonts w:ascii="Arial" w:hAnsi="Arial" w:cs="Arial"/>
          <w:lang w:val="en-US"/>
        </w:rPr>
        <w:t xml:space="preserve"> </w:t>
      </w:r>
      <w:r w:rsidRPr="000103D3">
        <w:rPr>
          <w:rFonts w:ascii="Arial" w:hAnsi="Arial" w:cs="Arial"/>
          <w:lang w:val="en-US"/>
        </w:rPr>
        <w:t>Serum sodium within normal limits.</w:t>
      </w:r>
    </w:p>
    <w:p w:rsidR="000103D3" w:rsidRPr="000103D3" w:rsidRDefault="000103D3" w:rsidP="00312AD0">
      <w:pPr>
        <w:spacing w:line="480" w:lineRule="auto"/>
        <w:ind w:left="567"/>
        <w:jc w:val="both"/>
        <w:rPr>
          <w:rFonts w:ascii="Arial" w:hAnsi="Arial" w:cs="Arial"/>
          <w:lang w:val="en-US"/>
        </w:rPr>
      </w:pPr>
      <w:r w:rsidRPr="000103D3">
        <w:rPr>
          <w:rFonts w:ascii="Arial" w:hAnsi="Arial" w:cs="Arial"/>
          <w:lang w:val="en-US"/>
        </w:rPr>
        <w:t>i.</w:t>
      </w:r>
      <w:r>
        <w:rPr>
          <w:rFonts w:ascii="Arial" w:hAnsi="Arial" w:cs="Arial"/>
          <w:lang w:val="en-US"/>
        </w:rPr>
        <w:t xml:space="preserve"> </w:t>
      </w:r>
      <w:r w:rsidRPr="000103D3">
        <w:rPr>
          <w:rFonts w:ascii="Arial" w:hAnsi="Arial" w:cs="Arial"/>
          <w:lang w:val="en-US"/>
        </w:rPr>
        <w:t>Glomerular filtration rate (GFR) ≥ 30 ml/min/1.73 m2 according to the MDRD (modified diet in renal disease) abbreviated formula (see Appendix B).</w:t>
      </w:r>
    </w:p>
    <w:p w:rsidR="000103D3" w:rsidRPr="000103D3" w:rsidRDefault="000103D3" w:rsidP="00312AD0">
      <w:pPr>
        <w:spacing w:line="480" w:lineRule="auto"/>
        <w:ind w:left="567"/>
        <w:jc w:val="both"/>
        <w:rPr>
          <w:rFonts w:ascii="Arial" w:hAnsi="Arial" w:cs="Arial"/>
          <w:lang w:val="en-US"/>
        </w:rPr>
      </w:pPr>
      <w:r w:rsidRPr="000103D3">
        <w:rPr>
          <w:rFonts w:ascii="Arial" w:hAnsi="Arial" w:cs="Arial"/>
          <w:lang w:val="en-US"/>
        </w:rPr>
        <w:t>j.</w:t>
      </w:r>
      <w:r>
        <w:rPr>
          <w:rFonts w:ascii="Arial" w:hAnsi="Arial" w:cs="Arial"/>
          <w:lang w:val="en-US"/>
        </w:rPr>
        <w:t xml:space="preserve"> </w:t>
      </w:r>
      <w:r w:rsidRPr="000103D3">
        <w:rPr>
          <w:rFonts w:ascii="Arial" w:hAnsi="Arial" w:cs="Arial"/>
          <w:lang w:val="en-US"/>
        </w:rPr>
        <w:t>Serum phosphate levels ≥ 2.5 mg/</w:t>
      </w:r>
      <w:proofErr w:type="spellStart"/>
      <w:r w:rsidRPr="000103D3">
        <w:rPr>
          <w:rFonts w:ascii="Arial" w:hAnsi="Arial" w:cs="Arial"/>
          <w:lang w:val="en-US"/>
        </w:rPr>
        <w:t>dL</w:t>
      </w:r>
      <w:proofErr w:type="spellEnd"/>
      <w:r w:rsidRPr="000103D3">
        <w:rPr>
          <w:rFonts w:ascii="Arial" w:hAnsi="Arial" w:cs="Arial"/>
          <w:lang w:val="en-US"/>
        </w:rPr>
        <w:t xml:space="preserve"> or ≥ 0.8 </w:t>
      </w:r>
      <w:proofErr w:type="spellStart"/>
      <w:r w:rsidRPr="000103D3">
        <w:rPr>
          <w:rFonts w:ascii="Arial" w:hAnsi="Arial" w:cs="Arial"/>
          <w:lang w:val="en-US"/>
        </w:rPr>
        <w:t>mmol</w:t>
      </w:r>
      <w:proofErr w:type="spellEnd"/>
      <w:r w:rsidRPr="000103D3">
        <w:rPr>
          <w:rFonts w:ascii="Arial" w:hAnsi="Arial" w:cs="Arial"/>
          <w:lang w:val="en-US"/>
        </w:rPr>
        <w:t>/L.</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1.6</w:t>
      </w:r>
      <w:r>
        <w:rPr>
          <w:rFonts w:ascii="Arial" w:hAnsi="Arial" w:cs="Arial"/>
          <w:lang w:val="en-US"/>
        </w:rPr>
        <w:t xml:space="preserve">. </w:t>
      </w:r>
      <w:r w:rsidRPr="000103D3">
        <w:rPr>
          <w:rFonts w:ascii="Arial" w:hAnsi="Arial" w:cs="Arial"/>
          <w:lang w:val="en-US"/>
        </w:rPr>
        <w:t>Patients must be able to swallow oral medication.</w:t>
      </w: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1.7. </w:t>
      </w:r>
      <w:r w:rsidRPr="000103D3">
        <w:rPr>
          <w:rFonts w:ascii="Arial" w:hAnsi="Arial" w:cs="Arial"/>
          <w:lang w:val="en-US"/>
        </w:rPr>
        <w:t>Willingness to use effective means of birth control throughout the duration of clinical study and for at least 3 months after completion of study drug.</w:t>
      </w: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1.8. </w:t>
      </w:r>
      <w:r w:rsidRPr="000103D3">
        <w:rPr>
          <w:rFonts w:ascii="Arial" w:hAnsi="Arial" w:cs="Arial"/>
          <w:lang w:val="en-US"/>
        </w:rPr>
        <w:t>Women of childbearing potential must have a negative pregnancy test performed within 7 days of the start of study drug administration.</w:t>
      </w: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1.9. </w:t>
      </w:r>
      <w:r w:rsidRPr="000103D3">
        <w:rPr>
          <w:rFonts w:ascii="Arial" w:hAnsi="Arial" w:cs="Arial"/>
          <w:lang w:val="en-US"/>
        </w:rPr>
        <w:t>Ability to understand and the willingness to sign a written informed consent document.</w:t>
      </w:r>
    </w:p>
    <w:p w:rsidR="000103D3" w:rsidRPr="000103D3" w:rsidRDefault="000103D3" w:rsidP="00312AD0">
      <w:pPr>
        <w:spacing w:line="480" w:lineRule="auto"/>
        <w:jc w:val="both"/>
        <w:rPr>
          <w:rFonts w:ascii="Arial" w:hAnsi="Arial" w:cs="Arial"/>
          <w:lang w:val="en-US"/>
        </w:rPr>
      </w:pP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2. </w:t>
      </w:r>
      <w:r w:rsidRPr="000103D3">
        <w:rPr>
          <w:rFonts w:ascii="Arial" w:hAnsi="Arial" w:cs="Arial"/>
          <w:u w:val="single"/>
          <w:lang w:val="en-US"/>
        </w:rPr>
        <w:t>Exclusion Criteria</w:t>
      </w:r>
    </w:p>
    <w:p w:rsidR="000103D3" w:rsidRPr="000103D3" w:rsidRDefault="000103D3" w:rsidP="00312AD0">
      <w:pPr>
        <w:spacing w:line="480" w:lineRule="auto"/>
        <w:jc w:val="both"/>
        <w:rPr>
          <w:rFonts w:ascii="Arial" w:hAnsi="Arial" w:cs="Arial"/>
          <w:lang w:val="en-US"/>
        </w:rPr>
      </w:pP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2.1. </w:t>
      </w:r>
      <w:r w:rsidRPr="000103D3">
        <w:rPr>
          <w:rFonts w:ascii="Arial" w:hAnsi="Arial" w:cs="Arial"/>
          <w:lang w:val="en-US"/>
        </w:rPr>
        <w:t>Use of any approved tyrosine kinase inhibitors or investigational agents within 2 weeks or 6 half-lives of the agent, whichever is shorter, prior to receiving study drugs.</w:t>
      </w: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2.2. </w:t>
      </w:r>
      <w:r w:rsidRPr="000103D3">
        <w:rPr>
          <w:rFonts w:ascii="Arial" w:hAnsi="Arial" w:cs="Arial"/>
          <w:lang w:val="en-US"/>
        </w:rPr>
        <w:t>Patients with intolerance to sunitinib and/or regorafenib.</w:t>
      </w: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2.3. </w:t>
      </w:r>
      <w:r w:rsidRPr="000103D3">
        <w:rPr>
          <w:rFonts w:ascii="Arial" w:hAnsi="Arial" w:cs="Arial"/>
          <w:lang w:val="en-US"/>
        </w:rPr>
        <w:t xml:space="preserve">Participants who have had radiotherapy within 4 weeks prior to study entry. </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2.4</w:t>
      </w:r>
      <w:r>
        <w:rPr>
          <w:rFonts w:ascii="Arial" w:hAnsi="Arial" w:cs="Arial"/>
          <w:lang w:val="en-US"/>
        </w:rPr>
        <w:t xml:space="preserve">. </w:t>
      </w:r>
      <w:r w:rsidRPr="000103D3">
        <w:rPr>
          <w:rFonts w:ascii="Arial" w:hAnsi="Arial" w:cs="Arial"/>
          <w:lang w:val="en-US"/>
        </w:rPr>
        <w:t>Major surgery, or significant traumatic injury within 4 weeks prior to study entry.</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lastRenderedPageBreak/>
        <w:t>2.5</w:t>
      </w:r>
      <w:r>
        <w:rPr>
          <w:rFonts w:ascii="Arial" w:hAnsi="Arial" w:cs="Arial"/>
          <w:lang w:val="en-US"/>
        </w:rPr>
        <w:t xml:space="preserve">. </w:t>
      </w:r>
      <w:r w:rsidRPr="000103D3">
        <w:rPr>
          <w:rFonts w:ascii="Arial" w:hAnsi="Arial" w:cs="Arial"/>
          <w:lang w:val="en-US"/>
        </w:rPr>
        <w:t>Presence of symptomatic or uncontrolled brain or central nervous system metastases.</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2.6</w:t>
      </w:r>
      <w:r>
        <w:rPr>
          <w:rFonts w:ascii="Arial" w:hAnsi="Arial" w:cs="Arial"/>
          <w:lang w:val="en-US"/>
        </w:rPr>
        <w:t xml:space="preserve">. </w:t>
      </w:r>
      <w:r w:rsidRPr="000103D3">
        <w:rPr>
          <w:rFonts w:ascii="Arial" w:hAnsi="Arial" w:cs="Arial"/>
          <w:lang w:val="en-US"/>
        </w:rPr>
        <w:t>Known or suspected allergy to the investigational agent or any agent given in association with this trial.</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2.7</w:t>
      </w:r>
      <w:r>
        <w:rPr>
          <w:rFonts w:ascii="Arial" w:hAnsi="Arial" w:cs="Arial"/>
          <w:lang w:val="en-US"/>
        </w:rPr>
        <w:t xml:space="preserve">. </w:t>
      </w:r>
      <w:r w:rsidRPr="000103D3">
        <w:rPr>
          <w:rFonts w:ascii="Arial" w:hAnsi="Arial" w:cs="Arial"/>
          <w:lang w:val="en-US"/>
        </w:rPr>
        <w:t>Individuals with a history of a different malignancy, other than cervical cancer in situ, basal cell or squamous cell carcinoma of the skin, are ineligible, except if they have been disease-free for at least 5 years, and are deemed by the investigator to be at low risk for recurrence of that malignancy OR other primary malignancy is neither currently clinically significant nor requiring active intervention.</w:t>
      </w: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2.8. </w:t>
      </w:r>
      <w:r w:rsidRPr="000103D3">
        <w:rPr>
          <w:rFonts w:ascii="Arial" w:hAnsi="Arial" w:cs="Arial"/>
          <w:lang w:val="en-US"/>
        </w:rPr>
        <w:t xml:space="preserve">Clinically significant cardiac arrhythmias and/or patients who require anti-arrhythmic therapy (excluding beta blockers or digoxin). Patients with controlled atrial fibrillation are not </w:t>
      </w:r>
      <w:proofErr w:type="spellStart"/>
      <w:r w:rsidRPr="000103D3">
        <w:rPr>
          <w:rFonts w:ascii="Arial" w:hAnsi="Arial" w:cs="Arial"/>
          <w:lang w:val="en-US"/>
        </w:rPr>
        <w:t>exluded</w:t>
      </w:r>
      <w:proofErr w:type="spellEnd"/>
      <w:r w:rsidRPr="000103D3">
        <w:rPr>
          <w:rFonts w:ascii="Arial" w:hAnsi="Arial" w:cs="Arial"/>
          <w:lang w:val="en-US"/>
        </w:rPr>
        <w:t>.</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2.9</w:t>
      </w:r>
      <w:r>
        <w:rPr>
          <w:rFonts w:ascii="Arial" w:hAnsi="Arial" w:cs="Arial"/>
          <w:lang w:val="en-US"/>
        </w:rPr>
        <w:t xml:space="preserve">. </w:t>
      </w:r>
      <w:r w:rsidRPr="000103D3">
        <w:rPr>
          <w:rFonts w:ascii="Arial" w:hAnsi="Arial" w:cs="Arial"/>
          <w:lang w:val="en-US"/>
        </w:rPr>
        <w:t>History of clinically significant cardiac disease or congestive heart failure</w:t>
      </w:r>
      <w:r>
        <w:rPr>
          <w:rFonts w:ascii="Arial" w:hAnsi="Arial" w:cs="Arial"/>
          <w:lang w:val="en-US"/>
        </w:rPr>
        <w:t xml:space="preserve"> &gt; NYHA class 2</w:t>
      </w:r>
      <w:r w:rsidRPr="000103D3">
        <w:rPr>
          <w:rFonts w:ascii="Arial" w:hAnsi="Arial" w:cs="Arial"/>
          <w:lang w:val="en-US"/>
        </w:rPr>
        <w:t>. Patients must not have unstable angina (</w:t>
      </w:r>
      <w:proofErr w:type="spellStart"/>
      <w:r w:rsidRPr="000103D3">
        <w:rPr>
          <w:rFonts w:ascii="Arial" w:hAnsi="Arial" w:cs="Arial"/>
          <w:lang w:val="en-US"/>
        </w:rPr>
        <w:t>anginal</w:t>
      </w:r>
      <w:proofErr w:type="spellEnd"/>
      <w:r w:rsidRPr="000103D3">
        <w:rPr>
          <w:rFonts w:ascii="Arial" w:hAnsi="Arial" w:cs="Arial"/>
          <w:lang w:val="en-US"/>
        </w:rPr>
        <w:t xml:space="preserve"> symptoms at rest) or new-onset angina within the last 3 months or myocardial infarction within the past 6 months.</w:t>
      </w:r>
    </w:p>
    <w:p w:rsidR="000103D3" w:rsidRPr="000103D3" w:rsidRDefault="000103D3" w:rsidP="00312AD0">
      <w:pPr>
        <w:spacing w:line="480" w:lineRule="auto"/>
        <w:jc w:val="both"/>
        <w:rPr>
          <w:rFonts w:ascii="Arial" w:hAnsi="Arial" w:cs="Arial"/>
          <w:lang w:val="en-US"/>
        </w:rPr>
      </w:pPr>
      <w:r>
        <w:rPr>
          <w:rFonts w:ascii="Arial" w:hAnsi="Arial" w:cs="Arial"/>
          <w:lang w:val="en-US"/>
        </w:rPr>
        <w:t xml:space="preserve">2.10. </w:t>
      </w:r>
      <w:r w:rsidRPr="000103D3">
        <w:rPr>
          <w:rFonts w:ascii="Arial" w:hAnsi="Arial" w:cs="Arial"/>
          <w:lang w:val="en-US"/>
        </w:rPr>
        <w:t xml:space="preserve">Hypertension as defined by systolic blood pressure &gt;140 mmHg or diastolic blood pressure &gt; 90 </w:t>
      </w:r>
      <w:proofErr w:type="spellStart"/>
      <w:r w:rsidRPr="000103D3">
        <w:rPr>
          <w:rFonts w:ascii="Arial" w:hAnsi="Arial" w:cs="Arial"/>
          <w:lang w:val="en-US"/>
        </w:rPr>
        <w:t>mmH</w:t>
      </w:r>
      <w:proofErr w:type="spellEnd"/>
      <w:r w:rsidRPr="000103D3">
        <w:rPr>
          <w:rFonts w:ascii="Arial" w:hAnsi="Arial" w:cs="Arial"/>
          <w:lang w:val="en-US"/>
        </w:rPr>
        <w:t xml:space="preserve"> despite optimal medical management.</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2.11</w:t>
      </w:r>
      <w:r>
        <w:rPr>
          <w:rFonts w:ascii="Arial" w:hAnsi="Arial" w:cs="Arial"/>
          <w:lang w:val="en-US"/>
        </w:rPr>
        <w:t xml:space="preserve">. </w:t>
      </w:r>
      <w:r w:rsidRPr="000103D3">
        <w:rPr>
          <w:rFonts w:ascii="Arial" w:hAnsi="Arial" w:cs="Arial"/>
          <w:lang w:val="en-US"/>
        </w:rPr>
        <w:t>Arterial or venous thrombotic or embolic events such as cerebrovascular accident (including transient ischemic attacks), deep vein thrombosis or pulmonary embolism within the 6 months before start of study medication (except for adequately treated catheter-related venous thrombosis occurring more than 1 month before the start of study medication).</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2.12</w:t>
      </w:r>
      <w:r>
        <w:rPr>
          <w:rFonts w:ascii="Arial" w:hAnsi="Arial" w:cs="Arial"/>
          <w:lang w:val="en-US"/>
        </w:rPr>
        <w:t xml:space="preserve">. </w:t>
      </w:r>
      <w:r w:rsidRPr="000103D3">
        <w:rPr>
          <w:rFonts w:ascii="Arial" w:hAnsi="Arial" w:cs="Arial"/>
          <w:lang w:val="en-US"/>
        </w:rPr>
        <w:t>Patients with evidence or history of any bleeding diathesis, irrespective of severity.</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2.13</w:t>
      </w:r>
      <w:r>
        <w:rPr>
          <w:rFonts w:ascii="Arial" w:hAnsi="Arial" w:cs="Arial"/>
          <w:lang w:val="en-US"/>
        </w:rPr>
        <w:t xml:space="preserve">. </w:t>
      </w:r>
      <w:r w:rsidRPr="000103D3">
        <w:rPr>
          <w:rFonts w:ascii="Arial" w:hAnsi="Arial" w:cs="Arial"/>
          <w:lang w:val="en-US"/>
        </w:rPr>
        <w:t>Ongoing infection &gt; Grade 2.</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2.14</w:t>
      </w:r>
      <w:r>
        <w:rPr>
          <w:rFonts w:ascii="Arial" w:hAnsi="Arial" w:cs="Arial"/>
          <w:lang w:val="en-US"/>
        </w:rPr>
        <w:t xml:space="preserve">. </w:t>
      </w:r>
      <w:r w:rsidRPr="000103D3">
        <w:rPr>
          <w:rFonts w:ascii="Arial" w:hAnsi="Arial" w:cs="Arial"/>
          <w:lang w:val="en-US"/>
        </w:rPr>
        <w:t>Patients with any seizure disorder requiring medication.</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2.15</w:t>
      </w:r>
      <w:r>
        <w:rPr>
          <w:rFonts w:ascii="Arial" w:hAnsi="Arial" w:cs="Arial"/>
          <w:lang w:val="en-US"/>
        </w:rPr>
        <w:t xml:space="preserve">. </w:t>
      </w:r>
      <w:r w:rsidRPr="000103D3">
        <w:rPr>
          <w:rFonts w:ascii="Arial" w:hAnsi="Arial" w:cs="Arial"/>
          <w:lang w:val="en-US"/>
        </w:rPr>
        <w:t>Non-healing wound, ulcer, or bone fracture.</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2.16</w:t>
      </w:r>
      <w:r>
        <w:rPr>
          <w:rFonts w:ascii="Arial" w:hAnsi="Arial" w:cs="Arial"/>
          <w:lang w:val="en-US"/>
        </w:rPr>
        <w:t xml:space="preserve">. </w:t>
      </w:r>
      <w:r w:rsidRPr="000103D3">
        <w:rPr>
          <w:rFonts w:ascii="Arial" w:hAnsi="Arial" w:cs="Arial"/>
          <w:lang w:val="en-US"/>
        </w:rPr>
        <w:t xml:space="preserve">Persistent proteinuria Grade 2 or higher measured by urine </w:t>
      </w:r>
      <w:proofErr w:type="spellStart"/>
      <w:r w:rsidRPr="000103D3">
        <w:rPr>
          <w:rFonts w:ascii="Arial" w:hAnsi="Arial" w:cs="Arial"/>
          <w:lang w:val="en-US"/>
        </w:rPr>
        <w:t>protein</w:t>
      </w:r>
      <w:proofErr w:type="gramStart"/>
      <w:r w:rsidRPr="000103D3">
        <w:rPr>
          <w:rFonts w:ascii="Arial" w:hAnsi="Arial" w:cs="Arial"/>
          <w:lang w:val="en-US"/>
        </w:rPr>
        <w:t>:creatinine</w:t>
      </w:r>
      <w:proofErr w:type="spellEnd"/>
      <w:proofErr w:type="gramEnd"/>
      <w:r w:rsidRPr="000103D3">
        <w:rPr>
          <w:rFonts w:ascii="Arial" w:hAnsi="Arial" w:cs="Arial"/>
          <w:lang w:val="en-US"/>
        </w:rPr>
        <w:t xml:space="preserve"> ratio on a urine sample or during 24-hour assessment.</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lastRenderedPageBreak/>
        <w:t>2.17</w:t>
      </w:r>
      <w:r>
        <w:rPr>
          <w:rFonts w:ascii="Arial" w:hAnsi="Arial" w:cs="Arial"/>
          <w:lang w:val="en-US"/>
        </w:rPr>
        <w:t xml:space="preserve">. </w:t>
      </w:r>
      <w:r w:rsidRPr="000103D3">
        <w:rPr>
          <w:rFonts w:ascii="Arial" w:hAnsi="Arial" w:cs="Arial"/>
          <w:lang w:val="en-US"/>
        </w:rPr>
        <w:t xml:space="preserve">HIV-positive individuals on combination antiretroviral therapy are ineligible because of the potential for pharmacokinetic interactions with sunitinib and regorafenib. </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2.18</w:t>
      </w:r>
      <w:r>
        <w:rPr>
          <w:rFonts w:ascii="Arial" w:hAnsi="Arial" w:cs="Arial"/>
          <w:lang w:val="en-US"/>
        </w:rPr>
        <w:t xml:space="preserve">. </w:t>
      </w:r>
      <w:r w:rsidRPr="000103D3">
        <w:rPr>
          <w:rFonts w:ascii="Arial" w:hAnsi="Arial" w:cs="Arial"/>
          <w:lang w:val="en-US"/>
        </w:rPr>
        <w:t>Patients with active hepatitis B or C, or chronic hepatitis B or C requiring treatment with antiviral therapy, because of potential risk of lethal liver toxicity.</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2.19</w:t>
      </w:r>
      <w:r>
        <w:rPr>
          <w:rFonts w:ascii="Arial" w:hAnsi="Arial" w:cs="Arial"/>
          <w:lang w:val="en-US"/>
        </w:rPr>
        <w:t xml:space="preserve">. </w:t>
      </w:r>
      <w:r w:rsidRPr="000103D3">
        <w:rPr>
          <w:rFonts w:ascii="Arial" w:hAnsi="Arial" w:cs="Arial"/>
          <w:lang w:val="en-US"/>
        </w:rPr>
        <w:t>Interstitial lung disease with ongoing signs and symptoms at the time of informed consent.</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2.20</w:t>
      </w:r>
      <w:r>
        <w:rPr>
          <w:rFonts w:ascii="Arial" w:hAnsi="Arial" w:cs="Arial"/>
          <w:lang w:val="en-US"/>
        </w:rPr>
        <w:t xml:space="preserve">. </w:t>
      </w:r>
      <w:r w:rsidRPr="000103D3">
        <w:rPr>
          <w:rFonts w:ascii="Arial" w:hAnsi="Arial" w:cs="Arial"/>
          <w:lang w:val="en-US"/>
        </w:rPr>
        <w:t xml:space="preserve">Uncontrolled </w:t>
      </w:r>
      <w:proofErr w:type="spellStart"/>
      <w:r w:rsidRPr="000103D3">
        <w:rPr>
          <w:rFonts w:ascii="Arial" w:hAnsi="Arial" w:cs="Arial"/>
          <w:lang w:val="en-US"/>
        </w:rPr>
        <w:t>intercurrent</w:t>
      </w:r>
      <w:proofErr w:type="spellEnd"/>
      <w:r w:rsidRPr="000103D3">
        <w:rPr>
          <w:rFonts w:ascii="Arial" w:hAnsi="Arial" w:cs="Arial"/>
          <w:lang w:val="en-US"/>
        </w:rPr>
        <w:t xml:space="preserve"> illness including, but not limited to ongoing or active infection, clinically significant cardiac and pulmonary disease; liver diseases such as cirrhosis, chronic active or persistent hepatitis; or acute/ chronic medical/ psychiatric illness/ social situations or laboratory abnormality that may increase the risk associated with study participation or study drug administration, or limit compliance with study requirements, or interfere with the interpretation of study results, and in the judgment of the investigator would make the patient inappropriate for entry into this study.</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2.21</w:t>
      </w:r>
      <w:r>
        <w:rPr>
          <w:rFonts w:ascii="Arial" w:hAnsi="Arial" w:cs="Arial"/>
          <w:lang w:val="en-US"/>
        </w:rPr>
        <w:t xml:space="preserve">. </w:t>
      </w:r>
      <w:r w:rsidRPr="000103D3">
        <w:rPr>
          <w:rFonts w:ascii="Arial" w:hAnsi="Arial" w:cs="Arial"/>
          <w:lang w:val="en-US"/>
        </w:rPr>
        <w:t>Pregnant or lactating females.</w:t>
      </w:r>
    </w:p>
    <w:p w:rsidR="000103D3" w:rsidRPr="000103D3" w:rsidRDefault="000103D3" w:rsidP="00312AD0">
      <w:pPr>
        <w:spacing w:line="480" w:lineRule="auto"/>
        <w:jc w:val="both"/>
        <w:rPr>
          <w:rFonts w:ascii="Arial" w:hAnsi="Arial" w:cs="Arial"/>
          <w:lang w:val="en-US"/>
        </w:rPr>
      </w:pPr>
      <w:r w:rsidRPr="000103D3">
        <w:rPr>
          <w:rFonts w:ascii="Arial" w:hAnsi="Arial" w:cs="Arial"/>
          <w:lang w:val="en-US"/>
        </w:rPr>
        <w:t>2.22</w:t>
      </w:r>
      <w:r>
        <w:rPr>
          <w:rFonts w:ascii="Arial" w:hAnsi="Arial" w:cs="Arial"/>
          <w:lang w:val="en-US"/>
        </w:rPr>
        <w:t xml:space="preserve">. </w:t>
      </w:r>
      <w:r w:rsidRPr="000103D3">
        <w:rPr>
          <w:rFonts w:ascii="Arial" w:hAnsi="Arial" w:cs="Arial"/>
          <w:lang w:val="en-US"/>
        </w:rPr>
        <w:t>Presence of any psychological, familial, sociological or geographical condition potentially hampering compliance with the study protocol and follow-up schedule; those conditions should be discussed with the patient before registration in the trial.</w:t>
      </w:r>
    </w:p>
    <w:p w:rsidR="00463744" w:rsidRDefault="000103D3" w:rsidP="00312AD0">
      <w:pPr>
        <w:spacing w:line="480" w:lineRule="auto"/>
        <w:jc w:val="both"/>
        <w:rPr>
          <w:rFonts w:ascii="Arial" w:hAnsi="Arial" w:cs="Arial"/>
          <w:lang w:val="en-US"/>
        </w:rPr>
      </w:pPr>
      <w:r w:rsidRPr="000103D3">
        <w:rPr>
          <w:rFonts w:ascii="Arial" w:hAnsi="Arial" w:cs="Arial"/>
          <w:lang w:val="en-US"/>
        </w:rPr>
        <w:t>2.23</w:t>
      </w:r>
      <w:r>
        <w:rPr>
          <w:rFonts w:ascii="Arial" w:hAnsi="Arial" w:cs="Arial"/>
          <w:lang w:val="en-US"/>
        </w:rPr>
        <w:t xml:space="preserve">. </w:t>
      </w:r>
      <w:r w:rsidRPr="000103D3">
        <w:rPr>
          <w:rFonts w:ascii="Arial" w:hAnsi="Arial" w:cs="Arial"/>
          <w:lang w:val="en-US"/>
        </w:rPr>
        <w:t xml:space="preserve">Strong CYP3A4 inhibitors </w:t>
      </w:r>
      <w:r w:rsidR="0050123A">
        <w:rPr>
          <w:rFonts w:ascii="Arial" w:hAnsi="Arial" w:cs="Arial"/>
          <w:lang w:val="en-US"/>
        </w:rPr>
        <w:t xml:space="preserve">(e.g. clarithromycin, </w:t>
      </w:r>
      <w:proofErr w:type="spellStart"/>
      <w:r w:rsidR="0050123A">
        <w:rPr>
          <w:rFonts w:ascii="Arial" w:hAnsi="Arial" w:cs="Arial"/>
          <w:lang w:val="en-US"/>
        </w:rPr>
        <w:t>indinavir</w:t>
      </w:r>
      <w:proofErr w:type="spellEnd"/>
      <w:r w:rsidRPr="000103D3">
        <w:rPr>
          <w:rFonts w:ascii="Arial" w:hAnsi="Arial" w:cs="Arial"/>
          <w:lang w:val="en-US"/>
        </w:rPr>
        <w:t xml:space="preserve">, </w:t>
      </w:r>
      <w:proofErr w:type="spellStart"/>
      <w:r w:rsidRPr="000103D3">
        <w:rPr>
          <w:rFonts w:ascii="Arial" w:hAnsi="Arial" w:cs="Arial"/>
          <w:lang w:val="en-US"/>
        </w:rPr>
        <w:t>itraconazole</w:t>
      </w:r>
      <w:proofErr w:type="spellEnd"/>
      <w:r w:rsidRPr="000103D3">
        <w:rPr>
          <w:rFonts w:ascii="Arial" w:hAnsi="Arial" w:cs="Arial"/>
          <w:lang w:val="en-US"/>
        </w:rPr>
        <w:t xml:space="preserve">, ketoconazole , </w:t>
      </w:r>
      <w:proofErr w:type="spellStart"/>
      <w:r w:rsidRPr="000103D3">
        <w:rPr>
          <w:rFonts w:ascii="Arial" w:hAnsi="Arial" w:cs="Arial"/>
          <w:lang w:val="en-US"/>
        </w:rPr>
        <w:t>nefazodone</w:t>
      </w:r>
      <w:proofErr w:type="spellEnd"/>
      <w:r w:rsidRPr="000103D3">
        <w:rPr>
          <w:rFonts w:ascii="Arial" w:hAnsi="Arial" w:cs="Arial"/>
          <w:lang w:val="en-US"/>
        </w:rPr>
        <w:t xml:space="preserve"> , nelfinavir , </w:t>
      </w:r>
      <w:proofErr w:type="spellStart"/>
      <w:r w:rsidRPr="000103D3">
        <w:rPr>
          <w:rFonts w:ascii="Arial" w:hAnsi="Arial" w:cs="Arial"/>
          <w:lang w:val="en-US"/>
        </w:rPr>
        <w:t>posaconazole</w:t>
      </w:r>
      <w:proofErr w:type="spellEnd"/>
      <w:r w:rsidRPr="000103D3">
        <w:rPr>
          <w:rFonts w:ascii="Arial" w:hAnsi="Arial" w:cs="Arial"/>
          <w:lang w:val="en-US"/>
        </w:rPr>
        <w:t xml:space="preserve">, ritonavir, </w:t>
      </w:r>
      <w:proofErr w:type="spellStart"/>
      <w:r w:rsidRPr="000103D3">
        <w:rPr>
          <w:rFonts w:ascii="Arial" w:hAnsi="Arial" w:cs="Arial"/>
          <w:lang w:val="en-US"/>
        </w:rPr>
        <w:t>saquinavir</w:t>
      </w:r>
      <w:proofErr w:type="spellEnd"/>
      <w:r w:rsidRPr="000103D3">
        <w:rPr>
          <w:rFonts w:ascii="Arial" w:hAnsi="Arial" w:cs="Arial"/>
          <w:lang w:val="en-US"/>
        </w:rPr>
        <w:t xml:space="preserve">, </w:t>
      </w:r>
      <w:proofErr w:type="spellStart"/>
      <w:r w:rsidRPr="000103D3">
        <w:rPr>
          <w:rFonts w:ascii="Arial" w:hAnsi="Arial" w:cs="Arial"/>
          <w:lang w:val="en-US"/>
        </w:rPr>
        <w:t>telithromycin</w:t>
      </w:r>
      <w:proofErr w:type="spellEnd"/>
      <w:r w:rsidRPr="000103D3">
        <w:rPr>
          <w:rFonts w:ascii="Arial" w:hAnsi="Arial" w:cs="Arial"/>
          <w:lang w:val="en-US"/>
        </w:rPr>
        <w:t xml:space="preserve">, </w:t>
      </w:r>
      <w:proofErr w:type="spellStart"/>
      <w:r w:rsidRPr="000103D3">
        <w:rPr>
          <w:rFonts w:ascii="Arial" w:hAnsi="Arial" w:cs="Arial"/>
          <w:lang w:val="en-US"/>
        </w:rPr>
        <w:t>voriconazole</w:t>
      </w:r>
      <w:proofErr w:type="spellEnd"/>
      <w:r w:rsidRPr="000103D3">
        <w:rPr>
          <w:rFonts w:ascii="Arial" w:hAnsi="Arial" w:cs="Arial"/>
          <w:lang w:val="en-US"/>
        </w:rPr>
        <w:t>) or strong CYP3A4 inducers (e.g. carbamazepine, phenobarbital, phenytoin, rifampin, St. John’s Wort) within 28 days or 5 drug half-lives (if drug half-life in patients is known), whichever is longer, before start of study treatment.</w:t>
      </w:r>
    </w:p>
    <w:p w:rsidR="000103D3" w:rsidRDefault="000103D3" w:rsidP="00312AD0">
      <w:pPr>
        <w:spacing w:line="480" w:lineRule="auto"/>
        <w:rPr>
          <w:rFonts w:ascii="Arial" w:hAnsi="Arial" w:cs="Arial"/>
          <w:lang w:val="en-US"/>
        </w:rPr>
      </w:pPr>
    </w:p>
    <w:p w:rsidR="00463744" w:rsidRDefault="00463744" w:rsidP="00312AD0">
      <w:pPr>
        <w:spacing w:line="480" w:lineRule="auto"/>
        <w:rPr>
          <w:rFonts w:ascii="Arial" w:hAnsi="Arial" w:cs="Arial"/>
          <w:lang w:val="en-US"/>
        </w:rPr>
      </w:pPr>
    </w:p>
    <w:p w:rsidR="00463744" w:rsidRPr="00463744" w:rsidRDefault="00463744" w:rsidP="00312AD0">
      <w:pPr>
        <w:spacing w:line="480" w:lineRule="auto"/>
        <w:rPr>
          <w:rFonts w:ascii="Arial" w:hAnsi="Arial" w:cs="Arial"/>
          <w:b/>
          <w:lang w:val="en-US"/>
        </w:rPr>
      </w:pPr>
      <w:r w:rsidRPr="00463744">
        <w:rPr>
          <w:rFonts w:ascii="Arial" w:hAnsi="Arial" w:cs="Arial"/>
          <w:b/>
          <w:lang w:val="en-US"/>
        </w:rPr>
        <w:t>Definition of dose-limiting toxicity</w:t>
      </w:r>
    </w:p>
    <w:p w:rsidR="00463744" w:rsidRDefault="00463744" w:rsidP="00312AD0">
      <w:pPr>
        <w:spacing w:line="480" w:lineRule="auto"/>
        <w:rPr>
          <w:rFonts w:ascii="Arial" w:hAnsi="Arial" w:cs="Arial"/>
          <w:lang w:val="en-US"/>
        </w:rPr>
      </w:pPr>
    </w:p>
    <w:p w:rsidR="00463744" w:rsidRDefault="00463744" w:rsidP="00312AD0">
      <w:pPr>
        <w:spacing w:line="480" w:lineRule="auto"/>
        <w:jc w:val="both"/>
        <w:rPr>
          <w:rFonts w:ascii="Arial" w:hAnsi="Arial" w:cs="Arial"/>
          <w:lang w:val="en-US"/>
        </w:rPr>
      </w:pPr>
      <w:r>
        <w:rPr>
          <w:rFonts w:ascii="Arial" w:hAnsi="Arial" w:cs="Arial"/>
          <w:lang w:val="en-US"/>
        </w:rPr>
        <w:t xml:space="preserve">Dose-limiting toxicities (DLTs) during cycle 1 (28 days) were defined according to the </w:t>
      </w:r>
      <w:r w:rsidRPr="004162D7">
        <w:rPr>
          <w:rFonts w:ascii="Arial" w:hAnsi="Arial" w:cs="Arial"/>
          <w:lang w:val="en-US"/>
        </w:rPr>
        <w:t>National Cancer Institute Common Terminology Criteria for Adverse Events</w:t>
      </w:r>
      <w:r>
        <w:rPr>
          <w:rFonts w:ascii="Arial" w:hAnsi="Arial" w:cs="Arial"/>
          <w:lang w:val="en-US"/>
        </w:rPr>
        <w:t xml:space="preserve"> (NCI </w:t>
      </w:r>
      <w:r>
        <w:rPr>
          <w:rFonts w:ascii="Arial" w:hAnsi="Arial" w:cs="Arial"/>
          <w:lang w:val="en-US"/>
        </w:rPr>
        <w:lastRenderedPageBreak/>
        <w:t>CTCAE) v. 4.03 as g</w:t>
      </w:r>
      <w:r w:rsidRPr="000B301D">
        <w:rPr>
          <w:rFonts w:ascii="Arial" w:hAnsi="Arial" w:cs="Arial"/>
          <w:lang w:val="en-US"/>
        </w:rPr>
        <w:t>rade 3–4 non-hematologic adverse events (AE), or hematolo</w:t>
      </w:r>
      <w:r>
        <w:rPr>
          <w:rFonts w:ascii="Arial" w:hAnsi="Arial" w:cs="Arial"/>
          <w:lang w:val="en-US"/>
        </w:rPr>
        <w:t xml:space="preserve">gic toxicity defined as grade 3-4 febrile </w:t>
      </w:r>
      <w:r w:rsidRPr="000B301D">
        <w:rPr>
          <w:rFonts w:ascii="Arial" w:hAnsi="Arial" w:cs="Arial"/>
          <w:lang w:val="en-US"/>
        </w:rPr>
        <w:t>neutropenia</w:t>
      </w:r>
      <w:r>
        <w:rPr>
          <w:rFonts w:ascii="Arial" w:hAnsi="Arial" w:cs="Arial"/>
          <w:lang w:val="en-US"/>
        </w:rPr>
        <w:t>, g</w:t>
      </w:r>
      <w:r w:rsidRPr="000B301D">
        <w:rPr>
          <w:rFonts w:ascii="Arial" w:hAnsi="Arial" w:cs="Arial"/>
          <w:lang w:val="en-US"/>
        </w:rPr>
        <w:t>rade 4 neutropenia lasting ≥</w:t>
      </w:r>
      <w:r>
        <w:rPr>
          <w:rFonts w:ascii="Arial" w:hAnsi="Arial" w:cs="Arial"/>
          <w:lang w:val="en-US"/>
        </w:rPr>
        <w:t xml:space="preserve"> 7 days, g</w:t>
      </w:r>
      <w:r w:rsidRPr="000B301D">
        <w:rPr>
          <w:rFonts w:ascii="Arial" w:hAnsi="Arial" w:cs="Arial"/>
          <w:lang w:val="en-US"/>
        </w:rPr>
        <w:t>r</w:t>
      </w:r>
      <w:r>
        <w:rPr>
          <w:rFonts w:ascii="Arial" w:hAnsi="Arial" w:cs="Arial"/>
          <w:lang w:val="en-US"/>
        </w:rPr>
        <w:t xml:space="preserve">ade 4 thrombocytopenia or grade 3 </w:t>
      </w:r>
      <w:r w:rsidRPr="000B301D">
        <w:rPr>
          <w:rFonts w:ascii="Arial" w:hAnsi="Arial" w:cs="Arial"/>
          <w:lang w:val="en-US"/>
        </w:rPr>
        <w:t>thrombocytopenia complicated by hemorrhage. Trea</w:t>
      </w:r>
      <w:r>
        <w:rPr>
          <w:rFonts w:ascii="Arial" w:hAnsi="Arial" w:cs="Arial"/>
          <w:lang w:val="en-US"/>
        </w:rPr>
        <w:t xml:space="preserve">tment delay of &gt; 1 week due to </w:t>
      </w:r>
      <w:r w:rsidRPr="000B301D">
        <w:rPr>
          <w:rFonts w:ascii="Arial" w:hAnsi="Arial" w:cs="Arial"/>
          <w:lang w:val="en-US"/>
        </w:rPr>
        <w:t>delayed recovery was considered a DLT.</w:t>
      </w:r>
      <w:r>
        <w:rPr>
          <w:rFonts w:ascii="Arial" w:hAnsi="Arial" w:cs="Arial"/>
          <w:lang w:val="en-US"/>
        </w:rPr>
        <w:t xml:space="preserve"> </w:t>
      </w:r>
    </w:p>
    <w:p w:rsidR="00463744" w:rsidRDefault="00463744" w:rsidP="00312AD0">
      <w:pPr>
        <w:spacing w:line="480" w:lineRule="auto"/>
        <w:rPr>
          <w:rFonts w:ascii="Arial" w:hAnsi="Arial" w:cs="Arial"/>
          <w:lang w:val="en-US"/>
        </w:rPr>
      </w:pPr>
    </w:p>
    <w:p w:rsidR="00463744" w:rsidRDefault="00463744" w:rsidP="00312AD0">
      <w:pPr>
        <w:spacing w:line="480" w:lineRule="auto"/>
        <w:rPr>
          <w:rFonts w:ascii="Arial" w:hAnsi="Arial" w:cs="Arial"/>
          <w:lang w:val="en-US"/>
        </w:rPr>
      </w:pPr>
    </w:p>
    <w:p w:rsidR="00463744" w:rsidRPr="00463744" w:rsidRDefault="00463744" w:rsidP="00312AD0">
      <w:pPr>
        <w:spacing w:line="480" w:lineRule="auto"/>
        <w:rPr>
          <w:rFonts w:ascii="Arial" w:hAnsi="Arial" w:cs="Arial"/>
          <w:b/>
          <w:lang w:val="en-US"/>
        </w:rPr>
      </w:pPr>
      <w:r w:rsidRPr="00463744">
        <w:rPr>
          <w:rFonts w:ascii="Arial" w:hAnsi="Arial" w:cs="Arial"/>
          <w:b/>
          <w:lang w:val="en-US"/>
        </w:rPr>
        <w:t>Management of toxicity</w:t>
      </w:r>
    </w:p>
    <w:p w:rsidR="00463744" w:rsidRDefault="00463744" w:rsidP="00312AD0">
      <w:pPr>
        <w:spacing w:line="480" w:lineRule="auto"/>
        <w:rPr>
          <w:rFonts w:ascii="Arial" w:hAnsi="Arial" w:cs="Arial"/>
          <w:lang w:val="en-US"/>
        </w:rPr>
      </w:pPr>
    </w:p>
    <w:p w:rsidR="00463744" w:rsidRPr="001F78C9" w:rsidRDefault="00752749" w:rsidP="00312AD0">
      <w:pPr>
        <w:spacing w:line="480" w:lineRule="auto"/>
        <w:jc w:val="both"/>
        <w:rPr>
          <w:rFonts w:ascii="Arial" w:hAnsi="Arial" w:cs="Arial"/>
          <w:lang w:val="en-US"/>
        </w:rPr>
      </w:pPr>
      <w:r w:rsidRPr="00752749">
        <w:rPr>
          <w:rFonts w:ascii="Arial" w:hAnsi="Arial" w:cs="Arial"/>
          <w:lang w:val="en-US"/>
        </w:rPr>
        <w:t xml:space="preserve">Toxicity </w:t>
      </w:r>
      <w:r>
        <w:rPr>
          <w:rFonts w:ascii="Arial" w:hAnsi="Arial" w:cs="Arial"/>
          <w:lang w:val="en-US"/>
        </w:rPr>
        <w:t>was</w:t>
      </w:r>
      <w:r w:rsidRPr="00752749">
        <w:rPr>
          <w:rFonts w:ascii="Arial" w:hAnsi="Arial" w:cs="Arial"/>
          <w:lang w:val="en-US"/>
        </w:rPr>
        <w:t xml:space="preserve"> evaluated according to the NCI Common Terminology Criteria for Adverse Events (CTCAE), Version 4.03.</w:t>
      </w:r>
      <w:r>
        <w:rPr>
          <w:rFonts w:ascii="Arial" w:hAnsi="Arial" w:cs="Arial"/>
          <w:lang w:val="en-US"/>
        </w:rPr>
        <w:t xml:space="preserve"> </w:t>
      </w:r>
      <w:r w:rsidR="00463744">
        <w:rPr>
          <w:rFonts w:ascii="Arial" w:hAnsi="Arial" w:cs="Arial"/>
          <w:lang w:val="en-US"/>
        </w:rPr>
        <w:t xml:space="preserve">Dose-reduction due to grade 3-4 toxicity beyond the DLT window involved one dose level reduction of both drugs, unless at investigator discretion </w:t>
      </w:r>
      <w:r w:rsidR="00463744" w:rsidRPr="002C74EA">
        <w:rPr>
          <w:rFonts w:ascii="Arial" w:hAnsi="Arial" w:cs="Arial"/>
          <w:lang w:val="en-US"/>
        </w:rPr>
        <w:t xml:space="preserve">attribution of AEs to a single drug </w:t>
      </w:r>
      <w:r w:rsidR="00463744">
        <w:rPr>
          <w:rFonts w:ascii="Arial" w:hAnsi="Arial" w:cs="Arial"/>
          <w:lang w:val="en-US"/>
        </w:rPr>
        <w:t>was</w:t>
      </w:r>
      <w:r w:rsidR="00463744" w:rsidRPr="002C74EA">
        <w:rPr>
          <w:rFonts w:ascii="Arial" w:hAnsi="Arial" w:cs="Arial"/>
          <w:lang w:val="en-US"/>
        </w:rPr>
        <w:t xml:space="preserve"> possible</w:t>
      </w:r>
      <w:r w:rsidR="00463744">
        <w:rPr>
          <w:rFonts w:ascii="Arial" w:hAnsi="Arial" w:cs="Arial"/>
          <w:lang w:val="en-US"/>
        </w:rPr>
        <w:t xml:space="preserve">. </w:t>
      </w:r>
      <w:r w:rsidR="00463744" w:rsidRPr="002C74EA">
        <w:rPr>
          <w:rFonts w:ascii="Arial" w:hAnsi="Arial" w:cs="Arial"/>
          <w:lang w:val="en-US"/>
        </w:rPr>
        <w:t>In case of medium- to</w:t>
      </w:r>
      <w:r w:rsidR="00463744">
        <w:rPr>
          <w:rFonts w:ascii="Arial" w:hAnsi="Arial" w:cs="Arial"/>
          <w:lang w:val="en-US"/>
        </w:rPr>
        <w:t xml:space="preserve"> long-term g</w:t>
      </w:r>
      <w:r w:rsidR="00463744" w:rsidRPr="002C74EA">
        <w:rPr>
          <w:rFonts w:ascii="Arial" w:hAnsi="Arial" w:cs="Arial"/>
          <w:lang w:val="en-US"/>
        </w:rPr>
        <w:t>ra</w:t>
      </w:r>
      <w:r w:rsidR="00463744">
        <w:rPr>
          <w:rFonts w:ascii="Arial" w:hAnsi="Arial" w:cs="Arial"/>
          <w:lang w:val="en-US"/>
        </w:rPr>
        <w:t>de 1-2 toxicities creating</w:t>
      </w:r>
      <w:r w:rsidR="00463744" w:rsidRPr="002C74EA">
        <w:rPr>
          <w:rFonts w:ascii="Arial" w:hAnsi="Arial" w:cs="Arial"/>
          <w:lang w:val="en-US"/>
        </w:rPr>
        <w:t xml:space="preserve"> </w:t>
      </w:r>
      <w:r w:rsidR="00463744">
        <w:rPr>
          <w:rFonts w:ascii="Arial" w:hAnsi="Arial" w:cs="Arial"/>
          <w:lang w:val="en-US"/>
        </w:rPr>
        <w:t>s</w:t>
      </w:r>
      <w:r w:rsidR="00463744" w:rsidRPr="002C74EA">
        <w:rPr>
          <w:rFonts w:ascii="Arial" w:hAnsi="Arial" w:cs="Arial"/>
          <w:lang w:val="en-US"/>
        </w:rPr>
        <w:t>ignificant impairment in patient’s quality of life,</w:t>
      </w:r>
      <w:r w:rsidR="00463744">
        <w:rPr>
          <w:rFonts w:ascii="Arial" w:hAnsi="Arial" w:cs="Arial"/>
          <w:lang w:val="en-US"/>
        </w:rPr>
        <w:t xml:space="preserve"> one drug was reduced if </w:t>
      </w:r>
      <w:r w:rsidR="00463744" w:rsidRPr="005307CA">
        <w:rPr>
          <w:rFonts w:ascii="Arial" w:hAnsi="Arial" w:cs="Arial"/>
          <w:lang w:val="en-US"/>
        </w:rPr>
        <w:t xml:space="preserve">a particular </w:t>
      </w:r>
      <w:r w:rsidR="00463744">
        <w:rPr>
          <w:rFonts w:ascii="Arial" w:hAnsi="Arial" w:cs="Arial"/>
          <w:lang w:val="en-US"/>
        </w:rPr>
        <w:t xml:space="preserve">AE was attributed to one of </w:t>
      </w:r>
      <w:r w:rsidR="00463744" w:rsidRPr="005307CA">
        <w:rPr>
          <w:rFonts w:ascii="Arial" w:hAnsi="Arial" w:cs="Arial"/>
          <w:lang w:val="en-US"/>
        </w:rPr>
        <w:t>both drugs</w:t>
      </w:r>
      <w:r w:rsidR="00463744">
        <w:rPr>
          <w:rFonts w:ascii="Arial" w:hAnsi="Arial" w:cs="Arial"/>
          <w:lang w:val="en-US"/>
        </w:rPr>
        <w:t xml:space="preserve">, or regorafenib was reduced if </w:t>
      </w:r>
      <w:r w:rsidR="00463744" w:rsidRPr="005307CA">
        <w:rPr>
          <w:rFonts w:ascii="Arial" w:hAnsi="Arial" w:cs="Arial"/>
          <w:lang w:val="en-US"/>
        </w:rPr>
        <w:t xml:space="preserve">a particular </w:t>
      </w:r>
      <w:r w:rsidR="00463744">
        <w:rPr>
          <w:rFonts w:ascii="Arial" w:hAnsi="Arial" w:cs="Arial"/>
          <w:lang w:val="en-US"/>
        </w:rPr>
        <w:t xml:space="preserve">AE was attributed to </w:t>
      </w:r>
      <w:r w:rsidR="00463744" w:rsidRPr="005307CA">
        <w:rPr>
          <w:rFonts w:ascii="Arial" w:hAnsi="Arial" w:cs="Arial"/>
          <w:lang w:val="en-US"/>
        </w:rPr>
        <w:t>both drugs</w:t>
      </w:r>
      <w:r w:rsidR="00463744">
        <w:rPr>
          <w:rFonts w:ascii="Arial" w:hAnsi="Arial" w:cs="Arial"/>
          <w:lang w:val="en-US"/>
        </w:rPr>
        <w:t xml:space="preserve">. </w:t>
      </w:r>
      <w:r w:rsidR="00463744" w:rsidRPr="005307CA">
        <w:rPr>
          <w:rFonts w:ascii="Arial" w:hAnsi="Arial" w:cs="Arial"/>
          <w:lang w:val="en-US"/>
        </w:rPr>
        <w:t xml:space="preserve">If toxicity </w:t>
      </w:r>
      <w:r w:rsidR="00463744">
        <w:rPr>
          <w:rFonts w:ascii="Arial" w:hAnsi="Arial" w:cs="Arial"/>
          <w:lang w:val="en-US"/>
        </w:rPr>
        <w:t>did not improve to g</w:t>
      </w:r>
      <w:r w:rsidR="00463744" w:rsidRPr="005307CA">
        <w:rPr>
          <w:rFonts w:ascii="Arial" w:hAnsi="Arial" w:cs="Arial"/>
          <w:lang w:val="en-US"/>
        </w:rPr>
        <w:t xml:space="preserve">rade ≤ 1 in ≤ 7 days, it </w:t>
      </w:r>
      <w:r w:rsidR="00463744">
        <w:rPr>
          <w:rFonts w:ascii="Arial" w:hAnsi="Arial" w:cs="Arial"/>
          <w:lang w:val="en-US"/>
        </w:rPr>
        <w:t>was</w:t>
      </w:r>
      <w:r w:rsidR="00463744" w:rsidRPr="005307CA">
        <w:rPr>
          <w:rFonts w:ascii="Arial" w:hAnsi="Arial" w:cs="Arial"/>
          <w:lang w:val="en-US"/>
        </w:rPr>
        <w:t xml:space="preserve"> mandatory to reduce one dose level the second drug that was not previously reduced.</w:t>
      </w:r>
      <w:r w:rsidR="00463744">
        <w:rPr>
          <w:rFonts w:ascii="Arial" w:hAnsi="Arial" w:cs="Arial"/>
          <w:lang w:val="en-US"/>
        </w:rPr>
        <w:t xml:space="preserve"> </w:t>
      </w:r>
      <w:r w:rsidR="00463744" w:rsidRPr="000D5A80">
        <w:rPr>
          <w:rFonts w:ascii="Arial" w:hAnsi="Arial" w:cs="Arial"/>
          <w:lang w:val="en-US"/>
        </w:rPr>
        <w:t>Treatment was not limited to a certain number of cyc</w:t>
      </w:r>
      <w:r w:rsidR="00463744">
        <w:rPr>
          <w:rFonts w:ascii="Arial" w:hAnsi="Arial" w:cs="Arial"/>
          <w:lang w:val="en-US"/>
        </w:rPr>
        <w:t xml:space="preserve">les and continued until disease </w:t>
      </w:r>
      <w:r w:rsidR="00463744" w:rsidRPr="000D5A80">
        <w:rPr>
          <w:rFonts w:ascii="Arial" w:hAnsi="Arial" w:cs="Arial"/>
          <w:lang w:val="en-US"/>
        </w:rPr>
        <w:t>progression, unacceptable toxicity, investigator’s decision or withdrawal of consent.</w:t>
      </w:r>
    </w:p>
    <w:p w:rsidR="00463744" w:rsidRDefault="00463744" w:rsidP="00312AD0">
      <w:pPr>
        <w:spacing w:line="480" w:lineRule="auto"/>
        <w:rPr>
          <w:rFonts w:ascii="Arial" w:hAnsi="Arial" w:cs="Arial"/>
          <w:lang w:val="en-US"/>
        </w:rPr>
      </w:pPr>
    </w:p>
    <w:p w:rsidR="007772EE" w:rsidRDefault="007772EE" w:rsidP="00312AD0">
      <w:pPr>
        <w:spacing w:line="480" w:lineRule="auto"/>
        <w:rPr>
          <w:rFonts w:ascii="Arial" w:hAnsi="Arial" w:cs="Arial"/>
          <w:lang w:val="en-US"/>
        </w:rPr>
      </w:pPr>
    </w:p>
    <w:p w:rsidR="007772EE" w:rsidRPr="007772EE" w:rsidRDefault="007772EE" w:rsidP="00312AD0">
      <w:pPr>
        <w:spacing w:line="480" w:lineRule="auto"/>
        <w:rPr>
          <w:rFonts w:ascii="Arial" w:hAnsi="Arial" w:cs="Arial"/>
          <w:b/>
          <w:lang w:val="en-US"/>
        </w:rPr>
      </w:pPr>
      <w:r w:rsidRPr="007772EE">
        <w:rPr>
          <w:rFonts w:ascii="Arial" w:hAnsi="Arial" w:cs="Arial"/>
          <w:b/>
          <w:lang w:val="en-US"/>
        </w:rPr>
        <w:t>Pharmacokinetic (PK) analysis</w:t>
      </w:r>
    </w:p>
    <w:p w:rsidR="007772EE" w:rsidRDefault="007772EE" w:rsidP="00312AD0">
      <w:pPr>
        <w:spacing w:line="480" w:lineRule="auto"/>
        <w:rPr>
          <w:rFonts w:ascii="Arial" w:hAnsi="Arial" w:cs="Arial"/>
          <w:lang w:val="en-US"/>
        </w:rPr>
      </w:pPr>
    </w:p>
    <w:p w:rsidR="007772EE" w:rsidRPr="00463744" w:rsidRDefault="007772EE" w:rsidP="00312AD0">
      <w:pPr>
        <w:spacing w:line="480" w:lineRule="auto"/>
        <w:rPr>
          <w:rFonts w:ascii="Arial" w:hAnsi="Arial" w:cs="Arial"/>
          <w:lang w:val="en-US"/>
        </w:rPr>
      </w:pPr>
      <w:r w:rsidRPr="007772EE">
        <w:rPr>
          <w:rFonts w:ascii="Arial" w:hAnsi="Arial" w:cs="Arial"/>
          <w:lang w:val="en-US"/>
        </w:rPr>
        <w:t xml:space="preserve">Plasma concentrations of </w:t>
      </w:r>
      <w:r w:rsidR="003A7CFF">
        <w:rPr>
          <w:rFonts w:ascii="Arial" w:hAnsi="Arial" w:cs="Arial"/>
          <w:lang w:val="en-US"/>
        </w:rPr>
        <w:t>sunitinib</w:t>
      </w:r>
      <w:r w:rsidR="00BD6711">
        <w:rPr>
          <w:rFonts w:ascii="Arial" w:hAnsi="Arial" w:cs="Arial"/>
          <w:lang w:val="en-US"/>
        </w:rPr>
        <w:t xml:space="preserve">, sunitinib metabolite </w:t>
      </w:r>
      <w:r w:rsidR="00BD6711" w:rsidRPr="00BD6711">
        <w:rPr>
          <w:rFonts w:ascii="Arial" w:hAnsi="Arial" w:cs="Arial"/>
          <w:lang w:val="en-US"/>
        </w:rPr>
        <w:t>SU012662</w:t>
      </w:r>
      <w:r w:rsidR="00BD6711">
        <w:rPr>
          <w:rFonts w:ascii="Arial" w:hAnsi="Arial" w:cs="Arial"/>
          <w:lang w:val="en-US"/>
        </w:rPr>
        <w:t>,</w:t>
      </w:r>
      <w:r w:rsidR="00BD6711" w:rsidRPr="00BD6711">
        <w:rPr>
          <w:rFonts w:ascii="Arial" w:hAnsi="Arial" w:cs="Arial"/>
          <w:lang w:val="en-US"/>
        </w:rPr>
        <w:t xml:space="preserve"> </w:t>
      </w:r>
      <w:r w:rsidR="003A7CFF">
        <w:rPr>
          <w:rFonts w:ascii="Arial" w:hAnsi="Arial" w:cs="Arial"/>
          <w:lang w:val="en-US"/>
        </w:rPr>
        <w:t>regorafenib</w:t>
      </w:r>
      <w:r w:rsidRPr="007772EE">
        <w:rPr>
          <w:rFonts w:ascii="Arial" w:hAnsi="Arial" w:cs="Arial"/>
          <w:lang w:val="en-US"/>
        </w:rPr>
        <w:t xml:space="preserve"> and </w:t>
      </w:r>
      <w:r w:rsidR="003A7CFF">
        <w:rPr>
          <w:rFonts w:ascii="Arial" w:hAnsi="Arial" w:cs="Arial"/>
          <w:lang w:val="en-US"/>
        </w:rPr>
        <w:t>regorafenib</w:t>
      </w:r>
      <w:r w:rsidRPr="007772EE">
        <w:rPr>
          <w:rFonts w:ascii="Arial" w:hAnsi="Arial" w:cs="Arial"/>
          <w:lang w:val="en-US"/>
        </w:rPr>
        <w:t xml:space="preserve"> pharmacologically active metaboli</w:t>
      </w:r>
      <w:r>
        <w:rPr>
          <w:rFonts w:ascii="Arial" w:hAnsi="Arial" w:cs="Arial"/>
          <w:lang w:val="en-US"/>
        </w:rPr>
        <w:t>te</w:t>
      </w:r>
      <w:r w:rsidR="003A7CFF">
        <w:rPr>
          <w:rFonts w:ascii="Arial" w:hAnsi="Arial" w:cs="Arial"/>
          <w:lang w:val="en-US"/>
        </w:rPr>
        <w:t>s</w:t>
      </w:r>
      <w:r>
        <w:rPr>
          <w:rFonts w:ascii="Arial" w:hAnsi="Arial" w:cs="Arial"/>
          <w:lang w:val="en-US"/>
        </w:rPr>
        <w:t xml:space="preserve"> (</w:t>
      </w:r>
      <w:r w:rsidR="003A7CFF">
        <w:rPr>
          <w:rFonts w:ascii="Arial" w:hAnsi="Arial" w:cs="Arial"/>
          <w:lang w:val="en-US"/>
        </w:rPr>
        <w:t>M-2 and M-5</w:t>
      </w:r>
      <w:r>
        <w:rPr>
          <w:rFonts w:ascii="Arial" w:hAnsi="Arial" w:cs="Arial"/>
          <w:lang w:val="en-US"/>
        </w:rPr>
        <w:t xml:space="preserve">) were measured in </w:t>
      </w:r>
      <w:r w:rsidRPr="007772EE">
        <w:rPr>
          <w:rFonts w:ascii="Arial" w:hAnsi="Arial" w:cs="Arial"/>
          <w:lang w:val="en-US"/>
        </w:rPr>
        <w:t>blood samples colle</w:t>
      </w:r>
      <w:r>
        <w:rPr>
          <w:rFonts w:ascii="Arial" w:hAnsi="Arial" w:cs="Arial"/>
          <w:lang w:val="en-US"/>
        </w:rPr>
        <w:t>cted at pre</w:t>
      </w:r>
      <w:r w:rsidR="00752749">
        <w:rPr>
          <w:rFonts w:ascii="Arial" w:hAnsi="Arial" w:cs="Arial"/>
          <w:lang w:val="en-US"/>
        </w:rPr>
        <w:t>-</w:t>
      </w:r>
      <w:r>
        <w:rPr>
          <w:rFonts w:ascii="Arial" w:hAnsi="Arial" w:cs="Arial"/>
          <w:lang w:val="en-US"/>
        </w:rPr>
        <w:t xml:space="preserve">specified </w:t>
      </w:r>
      <w:proofErr w:type="spellStart"/>
      <w:r>
        <w:rPr>
          <w:rFonts w:ascii="Arial" w:hAnsi="Arial" w:cs="Arial"/>
          <w:lang w:val="en-US"/>
        </w:rPr>
        <w:t>timepoints</w:t>
      </w:r>
      <w:proofErr w:type="spellEnd"/>
      <w:r>
        <w:rPr>
          <w:rFonts w:ascii="Arial" w:hAnsi="Arial" w:cs="Arial"/>
          <w:lang w:val="en-US"/>
        </w:rPr>
        <w:t xml:space="preserve"> </w:t>
      </w:r>
      <w:r w:rsidRPr="007772EE">
        <w:rPr>
          <w:rFonts w:ascii="Arial" w:hAnsi="Arial" w:cs="Arial"/>
          <w:lang w:val="en-US"/>
        </w:rPr>
        <w:t>during cycle 1. Plasma concentrations of these compounds were determined using a validated liquid chrom</w:t>
      </w:r>
      <w:r>
        <w:rPr>
          <w:rFonts w:ascii="Arial" w:hAnsi="Arial" w:cs="Arial"/>
          <w:lang w:val="en-US"/>
        </w:rPr>
        <w:t xml:space="preserve">atography - tandem mass </w:t>
      </w:r>
      <w:r w:rsidRPr="007772EE">
        <w:rPr>
          <w:rFonts w:ascii="Arial" w:hAnsi="Arial" w:cs="Arial"/>
          <w:lang w:val="en-US"/>
        </w:rPr>
        <w:t>spectrometry method. [13] P</w:t>
      </w:r>
      <w:r>
        <w:rPr>
          <w:rFonts w:ascii="Arial" w:hAnsi="Arial" w:cs="Arial"/>
          <w:lang w:val="en-US"/>
        </w:rPr>
        <w:t xml:space="preserve">K testing was performed </w:t>
      </w:r>
      <w:r>
        <w:rPr>
          <w:rFonts w:ascii="Arial" w:hAnsi="Arial" w:cs="Arial"/>
          <w:lang w:val="en-US"/>
        </w:rPr>
        <w:lastRenderedPageBreak/>
        <w:t xml:space="preserve">at Wuxi </w:t>
      </w:r>
      <w:proofErr w:type="spellStart"/>
      <w:r w:rsidRPr="007772EE">
        <w:rPr>
          <w:rFonts w:ascii="Arial" w:hAnsi="Arial" w:cs="Arial"/>
          <w:lang w:val="en-US"/>
        </w:rPr>
        <w:t>AppTec</w:t>
      </w:r>
      <w:proofErr w:type="spellEnd"/>
      <w:r w:rsidRPr="007772EE">
        <w:rPr>
          <w:rFonts w:ascii="Arial" w:hAnsi="Arial" w:cs="Arial"/>
          <w:lang w:val="en-US"/>
        </w:rPr>
        <w:t xml:space="preserve"> Com., Ltd. Shanghai, China. PK parameters, including maximum plasma conce</w:t>
      </w:r>
      <w:r>
        <w:rPr>
          <w:rFonts w:ascii="Arial" w:hAnsi="Arial" w:cs="Arial"/>
          <w:lang w:val="en-US"/>
        </w:rPr>
        <w:t xml:space="preserve">ntration, area under the plasma </w:t>
      </w:r>
      <w:r w:rsidRPr="007772EE">
        <w:rPr>
          <w:rFonts w:ascii="Arial" w:hAnsi="Arial" w:cs="Arial"/>
          <w:lang w:val="en-US"/>
        </w:rPr>
        <w:t>concentration-time curve a</w:t>
      </w:r>
      <w:r>
        <w:rPr>
          <w:rFonts w:ascii="Arial" w:hAnsi="Arial" w:cs="Arial"/>
          <w:lang w:val="en-US"/>
        </w:rPr>
        <w:t xml:space="preserve">nd time to reach maximum plasma </w:t>
      </w:r>
      <w:r w:rsidRPr="007772EE">
        <w:rPr>
          <w:rFonts w:ascii="Arial" w:hAnsi="Arial" w:cs="Arial"/>
          <w:lang w:val="en-US"/>
        </w:rPr>
        <w:t>concentration were cal</w:t>
      </w:r>
      <w:r>
        <w:rPr>
          <w:rFonts w:ascii="Arial" w:hAnsi="Arial" w:cs="Arial"/>
          <w:lang w:val="en-US"/>
        </w:rPr>
        <w:t xml:space="preserve">culated using non-compartmental </w:t>
      </w:r>
      <w:r w:rsidRPr="007772EE">
        <w:rPr>
          <w:rFonts w:ascii="Arial" w:hAnsi="Arial" w:cs="Arial"/>
          <w:lang w:val="en-US"/>
        </w:rPr>
        <w:t>methods.</w:t>
      </w:r>
    </w:p>
    <w:sectPr w:rsidR="007772EE" w:rsidRPr="0046374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449" w:rsidRDefault="00457449" w:rsidP="00312AD0">
      <w:pPr>
        <w:spacing w:line="240" w:lineRule="auto"/>
      </w:pPr>
      <w:r>
        <w:separator/>
      </w:r>
    </w:p>
  </w:endnote>
  <w:endnote w:type="continuationSeparator" w:id="0">
    <w:p w:rsidR="00457449" w:rsidRDefault="00457449" w:rsidP="0031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26785"/>
      <w:docPartObj>
        <w:docPartGallery w:val="Page Numbers (Bottom of Page)"/>
        <w:docPartUnique/>
      </w:docPartObj>
    </w:sdtPr>
    <w:sdtContent>
      <w:p w:rsidR="00312AD0" w:rsidRDefault="00312AD0">
        <w:pPr>
          <w:pStyle w:val="Piedepgina"/>
          <w:jc w:val="center"/>
        </w:pPr>
        <w:r>
          <w:fldChar w:fldCharType="begin"/>
        </w:r>
        <w:r>
          <w:instrText>PAGE   \* MERGEFORMAT</w:instrText>
        </w:r>
        <w:r>
          <w:fldChar w:fldCharType="separate"/>
        </w:r>
        <w:r>
          <w:rPr>
            <w:noProof/>
          </w:rPr>
          <w:t>6</w:t>
        </w:r>
        <w:r>
          <w:fldChar w:fldCharType="end"/>
        </w:r>
      </w:p>
    </w:sdtContent>
  </w:sdt>
  <w:p w:rsidR="00312AD0" w:rsidRDefault="00312A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449" w:rsidRDefault="00457449" w:rsidP="00312AD0">
      <w:pPr>
        <w:spacing w:line="240" w:lineRule="auto"/>
      </w:pPr>
      <w:r>
        <w:separator/>
      </w:r>
    </w:p>
  </w:footnote>
  <w:footnote w:type="continuationSeparator" w:id="0">
    <w:p w:rsidR="00457449" w:rsidRDefault="00457449" w:rsidP="00312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432D8"/>
    <w:multiLevelType w:val="hybridMultilevel"/>
    <w:tmpl w:val="1BAE2D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44"/>
    <w:rsid w:val="000103D3"/>
    <w:rsid w:val="000A0F84"/>
    <w:rsid w:val="00312AD0"/>
    <w:rsid w:val="003A7CFF"/>
    <w:rsid w:val="00457449"/>
    <w:rsid w:val="00463744"/>
    <w:rsid w:val="0050123A"/>
    <w:rsid w:val="00752749"/>
    <w:rsid w:val="007772EE"/>
    <w:rsid w:val="008C152F"/>
    <w:rsid w:val="00BD6711"/>
    <w:rsid w:val="00FD4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38D56-66A7-4064-903A-5069E43C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3D3"/>
    <w:pPr>
      <w:ind w:left="720"/>
      <w:contextualSpacing/>
    </w:pPr>
  </w:style>
  <w:style w:type="paragraph" w:styleId="Encabezado">
    <w:name w:val="header"/>
    <w:basedOn w:val="Normal"/>
    <w:link w:val="EncabezadoCar"/>
    <w:uiPriority w:val="99"/>
    <w:unhideWhenUsed/>
    <w:rsid w:val="00312AD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12AD0"/>
  </w:style>
  <w:style w:type="paragraph" w:styleId="Piedepgina">
    <w:name w:val="footer"/>
    <w:basedOn w:val="Normal"/>
    <w:link w:val="PiedepginaCar"/>
    <w:uiPriority w:val="99"/>
    <w:unhideWhenUsed/>
    <w:rsid w:val="00312AD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1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1390</Words>
  <Characters>7646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SERRANO,CS CESAR</dc:creator>
  <cp:keywords/>
  <dc:description/>
  <cp:lastModifiedBy>SERRANO,CS CESAR</cp:lastModifiedBy>
  <cp:revision>8</cp:revision>
  <dcterms:created xsi:type="dcterms:W3CDTF">2019-02-05T19:56:00Z</dcterms:created>
  <dcterms:modified xsi:type="dcterms:W3CDTF">2019-06-29T15:41:00Z</dcterms:modified>
</cp:coreProperties>
</file>