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2F54" w14:textId="2E1960CD" w:rsidR="00A80FBE" w:rsidRPr="009E72F4" w:rsidRDefault="009E72F4" w:rsidP="00000E1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SUPPLEMENTARY </w:t>
      </w:r>
      <w:bookmarkStart w:id="0" w:name="_GoBack"/>
      <w:bookmarkEnd w:id="0"/>
      <w:r w:rsidR="00A80FBE" w:rsidRPr="009E72F4">
        <w:rPr>
          <w:rFonts w:ascii="Times New Roman" w:hAnsi="Times New Roman" w:cs="Times New Roman"/>
          <w:b/>
          <w:sz w:val="24"/>
          <w:szCs w:val="24"/>
        </w:rPr>
        <w:t>MATERIALS AND METHODS</w:t>
      </w:r>
    </w:p>
    <w:p w14:paraId="23CDAEF7" w14:textId="77777777" w:rsidR="00A80FBE" w:rsidRPr="009E72F4" w:rsidRDefault="00A80FBE" w:rsidP="00A80FBE">
      <w:pPr>
        <w:spacing w:after="0" w:line="480" w:lineRule="auto"/>
        <w:jc w:val="both"/>
        <w:textAlignment w:val="center"/>
        <w:rPr>
          <w:rFonts w:ascii="Times New Roman" w:eastAsia="Calibri" w:hAnsi="Times New Roman" w:cs="Times New Roman"/>
          <w:i/>
          <w:iCs/>
          <w:sz w:val="24"/>
          <w:szCs w:val="24"/>
        </w:rPr>
      </w:pPr>
      <w:r w:rsidRPr="009E72F4">
        <w:rPr>
          <w:rFonts w:ascii="Times New Roman" w:eastAsia="Calibri" w:hAnsi="Times New Roman" w:cs="Times New Roman"/>
          <w:b/>
          <w:iCs/>
          <w:sz w:val="24"/>
          <w:szCs w:val="24"/>
        </w:rPr>
        <w:t>Mice</w:t>
      </w:r>
      <w:r w:rsidRPr="009E72F4">
        <w:rPr>
          <w:rFonts w:ascii="Times New Roman" w:eastAsia="Calibri" w:hAnsi="Times New Roman" w:cs="Times New Roman"/>
          <w:i/>
          <w:iCs/>
          <w:sz w:val="24"/>
          <w:szCs w:val="24"/>
        </w:rPr>
        <w:t xml:space="preserve"> </w:t>
      </w:r>
    </w:p>
    <w:p w14:paraId="24BE008A" w14:textId="72358175" w:rsidR="00A80FBE" w:rsidRPr="009E72F4" w:rsidRDefault="00A80FBE" w:rsidP="00CD4ACC">
      <w:pPr>
        <w:spacing w:after="240" w:line="480" w:lineRule="auto"/>
        <w:jc w:val="both"/>
        <w:textAlignment w:val="center"/>
        <w:rPr>
          <w:rFonts w:ascii="Times New Roman" w:hAnsi="Times New Roman" w:cs="Times New Roman"/>
          <w:b/>
          <w:sz w:val="24"/>
          <w:szCs w:val="24"/>
        </w:rPr>
      </w:pPr>
      <w:r w:rsidRPr="009E72F4">
        <w:rPr>
          <w:rFonts w:ascii="Times New Roman" w:eastAsia="Calibri" w:hAnsi="Times New Roman" w:cs="Times New Roman"/>
          <w:sz w:val="24"/>
          <w:szCs w:val="24"/>
        </w:rPr>
        <w:t>Female BALB/c and C57BL/6 mice (6 to 8 weeks of age) were purchased from Envigo, Frederick, MD. Animals were provided with standard laboratory chow and water ad libitum and allowed to acclimate for 7 days after arrival at the Lilly animal facilities (Indianapolis, IN or New York, NY).  All experimental procedures were done in accordance with the guidelines of the NIH “Guide for Care and Use of Animals” and approved protocols were reviewed by the Institutional Animal Care and Use Committee at each site.</w:t>
      </w:r>
    </w:p>
    <w:p w14:paraId="0D95A448" w14:textId="77777777" w:rsidR="00A80FBE" w:rsidRPr="009E72F4" w:rsidRDefault="00A80FBE" w:rsidP="00A80FBE">
      <w:pPr>
        <w:spacing w:after="0" w:line="480" w:lineRule="auto"/>
        <w:jc w:val="both"/>
        <w:textAlignment w:val="center"/>
        <w:rPr>
          <w:rFonts w:ascii="Times New Roman" w:eastAsia="Calibri" w:hAnsi="Times New Roman" w:cs="Times New Roman"/>
          <w:i/>
          <w:iCs/>
          <w:sz w:val="24"/>
          <w:szCs w:val="24"/>
        </w:rPr>
      </w:pPr>
      <w:r w:rsidRPr="009E72F4">
        <w:rPr>
          <w:rFonts w:ascii="Times New Roman" w:eastAsia="Calibri" w:hAnsi="Times New Roman" w:cs="Times New Roman"/>
          <w:b/>
          <w:i/>
          <w:iCs/>
          <w:sz w:val="24"/>
          <w:szCs w:val="24"/>
        </w:rPr>
        <w:t>In vivo</w:t>
      </w:r>
      <w:r w:rsidRPr="009E72F4">
        <w:rPr>
          <w:rFonts w:ascii="Times New Roman" w:eastAsia="Calibri" w:hAnsi="Times New Roman" w:cs="Times New Roman"/>
          <w:b/>
          <w:iCs/>
          <w:sz w:val="24"/>
          <w:szCs w:val="24"/>
        </w:rPr>
        <w:t xml:space="preserve"> tumor studies</w:t>
      </w:r>
      <w:r w:rsidRPr="009E72F4">
        <w:rPr>
          <w:rFonts w:ascii="Times New Roman" w:eastAsia="Calibri" w:hAnsi="Times New Roman" w:cs="Times New Roman"/>
          <w:i/>
          <w:iCs/>
          <w:sz w:val="24"/>
          <w:szCs w:val="24"/>
        </w:rPr>
        <w:t xml:space="preserve"> </w:t>
      </w:r>
    </w:p>
    <w:p w14:paraId="40CC19F3" w14:textId="7C8BEC05" w:rsidR="00944285" w:rsidRPr="009E72F4" w:rsidRDefault="00A80FBE" w:rsidP="00CD4ACC">
      <w:pPr>
        <w:spacing w:after="240" w:line="480" w:lineRule="auto"/>
        <w:jc w:val="both"/>
        <w:textAlignment w:val="center"/>
        <w:rPr>
          <w:rFonts w:ascii="Times New Roman" w:hAnsi="Times New Roman" w:cs="Times New Roman"/>
          <w:b/>
          <w:sz w:val="24"/>
          <w:szCs w:val="24"/>
        </w:rPr>
      </w:pPr>
      <w:r w:rsidRPr="009E72F4">
        <w:rPr>
          <w:rFonts w:ascii="Times New Roman" w:eastAsia="Calibri" w:hAnsi="Times New Roman" w:cs="Times New Roman"/>
          <w:sz w:val="24"/>
          <w:szCs w:val="24"/>
        </w:rPr>
        <w:t>BALB/c or C57BL/6 mice were implanted into the flank subcutaneously with 1 x 10</w:t>
      </w:r>
      <w:r w:rsidRPr="009E72F4">
        <w:rPr>
          <w:rFonts w:ascii="Times New Roman" w:eastAsia="Calibri" w:hAnsi="Times New Roman" w:cs="Times New Roman"/>
          <w:sz w:val="24"/>
          <w:szCs w:val="24"/>
          <w:vertAlign w:val="superscript"/>
        </w:rPr>
        <w:t>6</w:t>
      </w:r>
      <w:r w:rsidRPr="009E72F4">
        <w:rPr>
          <w:rFonts w:ascii="Times New Roman" w:eastAsia="Calibri" w:hAnsi="Times New Roman" w:cs="Times New Roman"/>
          <w:sz w:val="24"/>
          <w:szCs w:val="24"/>
        </w:rPr>
        <w:t xml:space="preserve"> Colon26 or 0.5x10</w:t>
      </w:r>
      <w:r w:rsidRPr="009E72F4">
        <w:rPr>
          <w:rFonts w:ascii="Times New Roman" w:eastAsia="Calibri" w:hAnsi="Times New Roman" w:cs="Times New Roman"/>
          <w:sz w:val="24"/>
          <w:szCs w:val="24"/>
          <w:vertAlign w:val="superscript"/>
        </w:rPr>
        <w:t xml:space="preserve">6 </w:t>
      </w:r>
      <w:r w:rsidRPr="009E72F4">
        <w:rPr>
          <w:rFonts w:ascii="Times New Roman" w:eastAsia="Calibri" w:hAnsi="Times New Roman" w:cs="Times New Roman"/>
          <w:sz w:val="24"/>
          <w:szCs w:val="24"/>
        </w:rPr>
        <w:t xml:space="preserve">MC38 </w:t>
      </w:r>
      <w:r w:rsidR="00FA272A" w:rsidRPr="009E72F4">
        <w:rPr>
          <w:rFonts w:ascii="Times New Roman" w:eastAsia="Calibri" w:hAnsi="Times New Roman" w:cs="Times New Roman"/>
          <w:sz w:val="24"/>
          <w:szCs w:val="24"/>
        </w:rPr>
        <w:t>cells</w:t>
      </w:r>
      <w:r w:rsidRPr="009E72F4">
        <w:rPr>
          <w:rFonts w:ascii="Times New Roman" w:eastAsia="Calibri" w:hAnsi="Times New Roman" w:cs="Times New Roman"/>
          <w:sz w:val="24"/>
          <w:szCs w:val="24"/>
        </w:rPr>
        <w:t xml:space="preserve"> </w:t>
      </w:r>
      <w:r w:rsidRPr="009E72F4">
        <w:rPr>
          <w:rFonts w:ascii="Times New Roman" w:eastAsia="Calibri" w:hAnsi="Times New Roman" w:cs="Times New Roman"/>
          <w:sz w:val="24"/>
          <w:szCs w:val="24"/>
          <w:lang w:val="en"/>
        </w:rPr>
        <w:t>purchased from DTP</w:t>
      </w:r>
      <w:r w:rsidR="00FA272A" w:rsidRPr="009E72F4">
        <w:rPr>
          <w:rFonts w:ascii="Times New Roman" w:eastAsia="Calibri" w:hAnsi="Times New Roman" w:cs="Times New Roman"/>
          <w:sz w:val="24"/>
          <w:szCs w:val="24"/>
          <w:lang w:val="en"/>
        </w:rPr>
        <w:t xml:space="preserve"> and</w:t>
      </w:r>
      <w:r w:rsidRPr="009E72F4">
        <w:rPr>
          <w:rFonts w:ascii="Times New Roman" w:hAnsi="Times New Roman"/>
          <w:sz w:val="24"/>
          <w:szCs w:val="24"/>
          <w:lang w:val="en"/>
        </w:rPr>
        <w:t xml:space="preserve"> NCI DCTD Tumor Repository</w:t>
      </w:r>
      <w:r w:rsidR="00FA272A" w:rsidRPr="009E72F4">
        <w:rPr>
          <w:rFonts w:ascii="Times New Roman" w:hAnsi="Times New Roman"/>
          <w:sz w:val="24"/>
          <w:szCs w:val="24"/>
          <w:lang w:val="en"/>
        </w:rPr>
        <w:t>, respectively</w:t>
      </w:r>
      <w:r w:rsidR="00944285" w:rsidRPr="009E72F4">
        <w:rPr>
          <w:rFonts w:ascii="Times New Roman" w:hAnsi="Times New Roman"/>
          <w:sz w:val="24"/>
          <w:szCs w:val="24"/>
          <w:lang w:val="en"/>
        </w:rPr>
        <w:t xml:space="preserve">.  </w:t>
      </w:r>
      <w:r w:rsidRPr="009E72F4">
        <w:rPr>
          <w:rFonts w:ascii="Times New Roman" w:eastAsia="Calibri" w:hAnsi="Times New Roman" w:cs="Times New Roman"/>
          <w:sz w:val="24"/>
          <w:szCs w:val="24"/>
          <w:lang w:val="en"/>
        </w:rPr>
        <w:t xml:space="preserve">Mice </w:t>
      </w:r>
      <w:r w:rsidRPr="009E72F4">
        <w:rPr>
          <w:rFonts w:ascii="Times New Roman" w:eastAsia="Calibri" w:hAnsi="Times New Roman" w:cs="Times New Roman"/>
          <w:sz w:val="24"/>
          <w:szCs w:val="24"/>
        </w:rPr>
        <w:t>were randomized post implantation</w:t>
      </w:r>
      <w:r w:rsidR="00944285" w:rsidRPr="009E72F4">
        <w:rPr>
          <w:rFonts w:ascii="Times New Roman" w:eastAsia="Calibri" w:hAnsi="Times New Roman" w:cs="Times New Roman"/>
          <w:sz w:val="24"/>
          <w:szCs w:val="24"/>
        </w:rPr>
        <w:t xml:space="preserve"> as indicated</w:t>
      </w:r>
      <w:r w:rsidRPr="009E72F4">
        <w:rPr>
          <w:rFonts w:ascii="Times New Roman" w:eastAsia="Calibri" w:hAnsi="Times New Roman" w:cs="Times New Roman"/>
          <w:sz w:val="24"/>
          <w:szCs w:val="24"/>
        </w:rPr>
        <w:t xml:space="preserve"> into individual treatment groups (n=10-15 mice per group). Tumor volume was calculated using the formula: Tumor Volume (mm</w:t>
      </w:r>
      <w:r w:rsidRPr="009E72F4">
        <w:rPr>
          <w:rFonts w:ascii="Times New Roman" w:eastAsia="Calibri" w:hAnsi="Times New Roman" w:cs="Times New Roman"/>
          <w:sz w:val="24"/>
          <w:szCs w:val="24"/>
          <w:vertAlign w:val="superscript"/>
        </w:rPr>
        <w:t>3</w:t>
      </w:r>
      <w:r w:rsidRPr="009E72F4">
        <w:rPr>
          <w:rFonts w:ascii="Times New Roman" w:eastAsia="Calibri" w:hAnsi="Times New Roman" w:cs="Times New Roman"/>
          <w:sz w:val="24"/>
          <w:szCs w:val="24"/>
        </w:rPr>
        <w:t>) = π/6 * Length * Width</w:t>
      </w:r>
      <w:r w:rsidRPr="009E72F4">
        <w:rPr>
          <w:rFonts w:ascii="Times New Roman" w:eastAsia="Calibri" w:hAnsi="Times New Roman" w:cs="Times New Roman"/>
          <w:sz w:val="24"/>
          <w:szCs w:val="24"/>
          <w:vertAlign w:val="superscript"/>
        </w:rPr>
        <w:t>2</w:t>
      </w:r>
      <w:r w:rsidRPr="009E72F4">
        <w:rPr>
          <w:rFonts w:ascii="Times New Roman" w:eastAsia="Calibri" w:hAnsi="Times New Roman" w:cs="Times New Roman"/>
          <w:sz w:val="24"/>
          <w:szCs w:val="24"/>
        </w:rPr>
        <w:t>. Animals were sacrificed due to progressive disease if tumor burden was greater than 2,500mm</w:t>
      </w:r>
      <w:r w:rsidRPr="009E72F4">
        <w:rPr>
          <w:rFonts w:ascii="Times New Roman" w:eastAsia="Calibri" w:hAnsi="Times New Roman" w:cs="Times New Roman"/>
          <w:sz w:val="24"/>
          <w:szCs w:val="24"/>
          <w:vertAlign w:val="superscript"/>
        </w:rPr>
        <w:t>3</w:t>
      </w:r>
      <w:r w:rsidR="00CA79E9" w:rsidRPr="009E72F4">
        <w:rPr>
          <w:rFonts w:ascii="Times New Roman" w:eastAsia="Times New Roman" w:hAnsi="Times New Roman" w:cs="Times New Roman"/>
          <w:bCs/>
          <w:sz w:val="24"/>
          <w:szCs w:val="24"/>
        </w:rPr>
        <w:t>.</w:t>
      </w:r>
      <w:r w:rsidR="00CA79E9" w:rsidRPr="009E72F4">
        <w:rPr>
          <w:rFonts w:ascii="Times New Roman" w:eastAsia="Times New Roman" w:hAnsi="Times New Roman" w:cs="Times New Roman"/>
          <w:b/>
          <w:bCs/>
          <w:sz w:val="24"/>
          <w:szCs w:val="24"/>
        </w:rPr>
        <w:t xml:space="preserve"> </w:t>
      </w:r>
      <w:r w:rsidR="00CD4ACC" w:rsidRPr="009E72F4">
        <w:rPr>
          <w:rFonts w:ascii="Times New Roman" w:eastAsia="Times New Roman" w:hAnsi="Times New Roman" w:cs="Times New Roman"/>
          <w:bCs/>
          <w:sz w:val="24"/>
          <w:szCs w:val="24"/>
        </w:rPr>
        <w:t>Tumor volume</w:t>
      </w:r>
      <w:r w:rsidR="00944285" w:rsidRPr="009E72F4">
        <w:rPr>
          <w:rFonts w:ascii="Times New Roman" w:eastAsia="Times New Roman" w:hAnsi="Times New Roman" w:cs="Times New Roman"/>
          <w:bCs/>
          <w:sz w:val="24"/>
          <w:szCs w:val="24"/>
        </w:rPr>
        <w:t xml:space="preserve"> compared to control (%T/C) was calculated as %T/C = 100 x T/C. Statistical comparisons were done with  two-way repeated measures analysis of variance (ANOVA), and The Bliss Independence method is then applied to determine interaction effect, Kaplan-Meier analysis method was performed on the tumor growth data to obtain log-rank p-values for the comparison of groups for median survival. </w:t>
      </w:r>
      <w:r w:rsidR="00944285" w:rsidRPr="009E72F4">
        <w:rPr>
          <w:rFonts w:ascii="Times New Roman" w:hAnsi="Times New Roman" w:cs="Times New Roman"/>
          <w:sz w:val="24"/>
          <w:szCs w:val="24"/>
        </w:rPr>
        <w:t xml:space="preserve">For combination analysis of Figure 5C, Combination analysis using Categorical Response Analysis Bayesian Ordinal Logistic Regression.  </w:t>
      </w:r>
    </w:p>
    <w:p w14:paraId="0178E8F0" w14:textId="77777777" w:rsidR="00F71F65" w:rsidRPr="009E72F4" w:rsidRDefault="00A80FBE" w:rsidP="001A6597">
      <w:pPr>
        <w:spacing w:after="0" w:line="480" w:lineRule="auto"/>
        <w:jc w:val="both"/>
        <w:textAlignment w:val="center"/>
        <w:rPr>
          <w:rFonts w:ascii="Times New Roman" w:eastAsia="Calibri" w:hAnsi="Times New Roman" w:cs="Times New Roman"/>
          <w:b/>
          <w:iCs/>
          <w:sz w:val="24"/>
          <w:szCs w:val="24"/>
        </w:rPr>
      </w:pPr>
      <w:r w:rsidRPr="009E72F4">
        <w:rPr>
          <w:rFonts w:ascii="Times New Roman" w:eastAsia="Calibri" w:hAnsi="Times New Roman" w:cs="Times New Roman"/>
          <w:b/>
          <w:iCs/>
          <w:sz w:val="24"/>
          <w:szCs w:val="24"/>
        </w:rPr>
        <w:t>Flow cytometry</w:t>
      </w:r>
      <w:r w:rsidR="00F71F65" w:rsidRPr="009E72F4">
        <w:rPr>
          <w:rFonts w:ascii="Times New Roman" w:eastAsia="Calibri" w:hAnsi="Times New Roman" w:cs="Times New Roman"/>
          <w:b/>
          <w:iCs/>
          <w:sz w:val="24"/>
          <w:szCs w:val="24"/>
        </w:rPr>
        <w:t xml:space="preserve">  </w:t>
      </w:r>
    </w:p>
    <w:p w14:paraId="1DEA9B11" w14:textId="0DACF7E2" w:rsidR="00690039" w:rsidRPr="009E72F4" w:rsidRDefault="00690039" w:rsidP="00CD4ACC">
      <w:pPr>
        <w:spacing w:after="240" w:line="480" w:lineRule="auto"/>
        <w:jc w:val="both"/>
        <w:textAlignment w:val="center"/>
        <w:rPr>
          <w:rFonts w:ascii="Times New Roman" w:eastAsia="Calibri" w:hAnsi="Times New Roman" w:cs="Times New Roman"/>
          <w:b/>
          <w:iCs/>
          <w:sz w:val="24"/>
          <w:szCs w:val="24"/>
        </w:rPr>
      </w:pPr>
      <w:r w:rsidRPr="009E72F4">
        <w:rPr>
          <w:rFonts w:ascii="Times New Roman" w:eastAsia="Calibri" w:hAnsi="Times New Roman" w:cs="Times New Roman"/>
          <w:iCs/>
          <w:sz w:val="24"/>
          <w:szCs w:val="24"/>
        </w:rPr>
        <w:lastRenderedPageBreak/>
        <w:t xml:space="preserve">Single cell suspensions were stained with corresponding surface antigen Ab cocktails containing mixtures of indicated markers for both mouse and human (T cell panel: </w:t>
      </w:r>
      <w:r w:rsidRPr="009E72F4">
        <w:rPr>
          <w:rFonts w:ascii="Times New Roman" w:hAnsi="Times New Roman" w:cs="Times New Roman"/>
          <w:sz w:val="24"/>
          <w:szCs w:val="24"/>
        </w:rPr>
        <w:t>CD3, CD4, CD8, CD11b, CD45, PD-1, Tim3, CD137, GITR, CD25, Granzyme B, DX5;  Myeloid Cell Panel: CD3, CD11b, CD19, CD4</w:t>
      </w:r>
      <w:r w:rsidR="00CA79E9" w:rsidRPr="009E72F4">
        <w:rPr>
          <w:rFonts w:ascii="Times New Roman" w:hAnsi="Times New Roman" w:cs="Times New Roman"/>
          <w:sz w:val="24"/>
          <w:szCs w:val="24"/>
        </w:rPr>
        <w:t>5, CD11c, Ly6C, Ly6G, F480, MHC-I, PD-L1, MHC-</w:t>
      </w:r>
      <w:r w:rsidRPr="009E72F4">
        <w:rPr>
          <w:rFonts w:ascii="Times New Roman" w:hAnsi="Times New Roman" w:cs="Times New Roman"/>
          <w:sz w:val="24"/>
          <w:szCs w:val="24"/>
        </w:rPr>
        <w:t xml:space="preserve">II, CD86) and a fixable viability dye (Affymetrix, Thermofisher). </w:t>
      </w:r>
      <w:r w:rsidRPr="009E72F4">
        <w:rPr>
          <w:rFonts w:ascii="Times New Roman" w:eastAsia="Calibri" w:hAnsi="Times New Roman" w:cs="Times New Roman"/>
          <w:iCs/>
          <w:sz w:val="24"/>
          <w:szCs w:val="24"/>
        </w:rPr>
        <w:t xml:space="preserve">Intracellular staining was done with Foxp3 Fix/Perm buffer (intracellular antibody staining cocktail (Ki67, FoxP3). Mitochondrial mass was determined by pre-staining samples using Mitotracker Deep Red (Thermofisher) prior to cell surface staining.  123 count beads were added to each well. Samples were collected on a 4-laser Fortessa X-20 cytometer (BD Biosciences) and analyzed with FlowJo V10 software (Flowjo, LLC, Ashland, OR). Absolute cell counts were calculated: Absolute counts(cells/mg)=(cell count*50*tumor volume)/(bead count*150*tumor weight)*beads concentration.  </w:t>
      </w:r>
    </w:p>
    <w:p w14:paraId="370443EB" w14:textId="77777777" w:rsidR="00A80FBE" w:rsidRPr="009E72F4" w:rsidRDefault="00A80FBE" w:rsidP="00A80FBE">
      <w:pPr>
        <w:spacing w:after="100" w:afterAutospacing="1"/>
        <w:rPr>
          <w:rFonts w:ascii="Times New Roman" w:hAnsi="Times New Roman"/>
          <w:b/>
          <w:bCs/>
          <w:iCs/>
          <w:sz w:val="24"/>
          <w:szCs w:val="24"/>
        </w:rPr>
      </w:pPr>
      <w:r w:rsidRPr="009E72F4">
        <w:rPr>
          <w:rFonts w:ascii="Times New Roman" w:hAnsi="Times New Roman"/>
          <w:b/>
          <w:iCs/>
          <w:sz w:val="24"/>
          <w:szCs w:val="24"/>
        </w:rPr>
        <w:t xml:space="preserve">Isolation, expansion and treatment of primary human T cells </w:t>
      </w:r>
      <w:r w:rsidRPr="009E72F4">
        <w:rPr>
          <w:rFonts w:ascii="Times New Roman" w:hAnsi="Times New Roman"/>
          <w:b/>
          <w:i/>
          <w:iCs/>
          <w:sz w:val="24"/>
          <w:szCs w:val="24"/>
        </w:rPr>
        <w:t>in vitro</w:t>
      </w:r>
      <w:r w:rsidRPr="009E72F4">
        <w:rPr>
          <w:rFonts w:ascii="Times New Roman" w:hAnsi="Times New Roman"/>
          <w:b/>
          <w:iCs/>
          <w:sz w:val="24"/>
          <w:szCs w:val="24"/>
        </w:rPr>
        <w:t xml:space="preserve"> </w:t>
      </w:r>
    </w:p>
    <w:p w14:paraId="39AE4E19" w14:textId="7F29FA34" w:rsidR="00A80FBE" w:rsidRPr="009E72F4" w:rsidRDefault="00A80FBE" w:rsidP="00CD4ACC">
      <w:pPr>
        <w:spacing w:after="240" w:line="480" w:lineRule="auto"/>
        <w:jc w:val="both"/>
        <w:rPr>
          <w:rFonts w:ascii="Times New Roman" w:hAnsi="Times New Roman"/>
          <w:iCs/>
          <w:sz w:val="24"/>
          <w:szCs w:val="24"/>
        </w:rPr>
      </w:pPr>
      <w:r w:rsidRPr="009E72F4">
        <w:rPr>
          <w:rFonts w:ascii="Times New Roman" w:hAnsi="Times New Roman"/>
          <w:iCs/>
          <w:sz w:val="24"/>
          <w:szCs w:val="24"/>
        </w:rPr>
        <w:t xml:space="preserve">Primary human T cell were initially stimulated </w:t>
      </w:r>
      <w:r w:rsidR="00F71F65" w:rsidRPr="009E72F4">
        <w:rPr>
          <w:rFonts w:ascii="Times New Roman" w:hAnsi="Times New Roman"/>
          <w:iCs/>
          <w:sz w:val="24"/>
          <w:szCs w:val="24"/>
        </w:rPr>
        <w:t xml:space="preserve">as described in Schaer and Beckman et al </w:t>
      </w:r>
      <w:r w:rsidR="00F71F65" w:rsidRPr="009E72F4">
        <w:rPr>
          <w:rFonts w:ascii="Times New Roman" w:hAnsi="Times New Roman"/>
          <w:iCs/>
          <w:sz w:val="24"/>
          <w:szCs w:val="24"/>
        </w:rPr>
        <w:fldChar w:fldCharType="begin"/>
      </w:r>
      <w:r w:rsidR="00803539" w:rsidRPr="009E72F4">
        <w:rPr>
          <w:rFonts w:ascii="Times New Roman" w:hAnsi="Times New Roman"/>
          <w:iCs/>
          <w:sz w:val="24"/>
          <w:szCs w:val="24"/>
        </w:rPr>
        <w:instrText xml:space="preserve"> ADDIN EN.CITE &lt;EndNote&gt;&lt;Cite&gt;&lt;Author&gt;Schaer&lt;/Author&gt;&lt;RecNum&gt;18&lt;/RecNum&gt;&lt;DisplayText&gt;(&lt;style face="italic"&gt;18&lt;/style&gt;)&lt;/DisplayText&gt;&lt;record&gt;&lt;rec-number&gt;18&lt;/rec-number&gt;&lt;foreign-keys&gt;&lt;key app="EN" db-id="tz0fddspvwtr5tedr25xzrvwa0ffzfzafdpa" timestamp="1559161624"&gt;18&lt;/key&gt;&lt;/foreign-keys&gt;&lt;ref-type name="Journal Article"&gt;17&lt;/ref-type&gt;&lt;contributors&gt;&lt;authors&gt;&lt;author&gt;Schaer, David A.&lt;/author&gt;&lt;author&gt;Beckmann, Richard P.&lt;/author&gt;&lt;author&gt;Dempsey, Jack A.&lt;/author&gt;&lt;author&gt;Huber, Lysiane&lt;/author&gt;&lt;author&gt;Forest, Amelie&lt;/author&gt;&lt;author&gt;Amaladas, Nelusha&lt;/author&gt;&lt;author&gt;Li, Yanxia&lt;/author&gt;&lt;author&gt;Wang, Ying Cindy&lt;/author&gt;&lt;author&gt;Rasmussen, Erik R.&lt;/author&gt;&lt;author&gt;Chin, Darin&lt;/author&gt;&lt;author&gt;Capen, Andrew&lt;/author&gt;&lt;author&gt;Carpenito, Carmine&lt;/author&gt;&lt;author&gt;Staschke, Kirk A.&lt;/author&gt;&lt;author&gt;Chung, Linda A.&lt;/author&gt;&lt;author&gt;Litchfield, Lacey M.&lt;/author&gt;&lt;author&gt;Merzoug, Farhana F.&lt;/author&gt;&lt;author&gt;Gong, Xueqian&lt;/author&gt;&lt;author&gt;Iversen, Philip W.&lt;/author&gt;&lt;author&gt;Buchanan, Sean&lt;/author&gt;&lt;author&gt;de Dios, Alfonso&lt;/author&gt;&lt;author&gt;Novosiadly, Ruslan D.&lt;/author&gt;&lt;author&gt;Kalos, Michael&lt;/author&gt;&lt;/authors&gt;&lt;/contributors&gt;&lt;titles&gt;&lt;title&gt;The CDK4/6 Inhibitor Abemaciclib Induces a T Cell Inflamed Tumor Microenvironment and Enhances the Efficacy of PD-L1 Checkpoint Blockade&lt;/title&gt;&lt;secondary-title&gt;Cell Reports&lt;/secondary-title&gt;&lt;/titles&gt;&lt;periodical&gt;&lt;full-title&gt;Cell Reports&lt;/full-title&gt;&lt;/periodical&gt;&lt;pages&gt;2978-2994&lt;/pages&gt;&lt;volume&gt;22&lt;/volume&gt;&lt;number&gt;11&lt;/number&gt;&lt;dates&gt;&lt;/dates&gt;&lt;publisher&gt;Elsevier&lt;/publisher&gt;&lt;isbn&gt;2211-1247&lt;/isbn&gt;&lt;urls&gt;&lt;related-urls&gt;&lt;url&gt;http://dx.doi.org/10.1016/j.celrep.2018.02.053&lt;/url&gt;&lt;/related-urls&gt;&lt;/urls&gt;&lt;electronic-resource-num&gt;10.1016/j.celrep.2018.02.053&lt;/electronic-resource-num&gt;&lt;access-date&gt;2018/04/03&lt;/access-date&gt;&lt;/record&gt;&lt;/Cite&gt;&lt;/EndNote&gt;</w:instrText>
      </w:r>
      <w:r w:rsidR="00F71F65" w:rsidRPr="009E72F4">
        <w:rPr>
          <w:rFonts w:ascii="Times New Roman" w:hAnsi="Times New Roman"/>
          <w:iCs/>
          <w:sz w:val="24"/>
          <w:szCs w:val="24"/>
        </w:rPr>
        <w:fldChar w:fldCharType="separate"/>
      </w:r>
      <w:r w:rsidR="00944285" w:rsidRPr="009E72F4">
        <w:rPr>
          <w:rFonts w:ascii="Times New Roman" w:hAnsi="Times New Roman"/>
          <w:iCs/>
          <w:noProof/>
          <w:sz w:val="24"/>
          <w:szCs w:val="24"/>
        </w:rPr>
        <w:t>(</w:t>
      </w:r>
      <w:r w:rsidR="00944285" w:rsidRPr="009E72F4">
        <w:rPr>
          <w:rFonts w:ascii="Times New Roman" w:hAnsi="Times New Roman"/>
          <w:i/>
          <w:iCs/>
          <w:noProof/>
          <w:sz w:val="24"/>
          <w:szCs w:val="24"/>
        </w:rPr>
        <w:t>18</w:t>
      </w:r>
      <w:r w:rsidR="00944285" w:rsidRPr="009E72F4">
        <w:rPr>
          <w:rFonts w:ascii="Times New Roman" w:hAnsi="Times New Roman"/>
          <w:iCs/>
          <w:noProof/>
          <w:sz w:val="24"/>
          <w:szCs w:val="24"/>
        </w:rPr>
        <w:t>)</w:t>
      </w:r>
      <w:r w:rsidR="00F71F65" w:rsidRPr="009E72F4">
        <w:rPr>
          <w:rFonts w:ascii="Times New Roman" w:hAnsi="Times New Roman"/>
          <w:iCs/>
          <w:sz w:val="24"/>
          <w:szCs w:val="24"/>
        </w:rPr>
        <w:fldChar w:fldCharType="end"/>
      </w:r>
      <w:r w:rsidR="00F71F65" w:rsidRPr="009E72F4">
        <w:rPr>
          <w:rFonts w:ascii="Times New Roman" w:hAnsi="Times New Roman"/>
          <w:iCs/>
          <w:sz w:val="24"/>
          <w:szCs w:val="24"/>
        </w:rPr>
        <w:t xml:space="preserve"> briefly T</w:t>
      </w:r>
      <w:r w:rsidRPr="009E72F4">
        <w:rPr>
          <w:rFonts w:ascii="Times New Roman" w:hAnsi="Times New Roman"/>
          <w:iCs/>
          <w:sz w:val="24"/>
          <w:szCs w:val="24"/>
        </w:rPr>
        <w:t xml:space="preserve"> cells were </w:t>
      </w:r>
      <w:r w:rsidR="00F71F65" w:rsidRPr="009E72F4">
        <w:rPr>
          <w:rFonts w:ascii="Times New Roman" w:hAnsi="Times New Roman"/>
          <w:iCs/>
          <w:sz w:val="24"/>
          <w:szCs w:val="24"/>
        </w:rPr>
        <w:t>cultured with DMS</w:t>
      </w:r>
      <w:r w:rsidR="00240F0A" w:rsidRPr="009E72F4">
        <w:rPr>
          <w:rFonts w:ascii="Times New Roman" w:hAnsi="Times New Roman"/>
          <w:iCs/>
          <w:sz w:val="24"/>
          <w:szCs w:val="24"/>
        </w:rPr>
        <w:t>O</w:t>
      </w:r>
      <w:r w:rsidRPr="009E72F4">
        <w:rPr>
          <w:rFonts w:ascii="Times New Roman" w:hAnsi="Times New Roman"/>
          <w:iCs/>
          <w:sz w:val="24"/>
          <w:szCs w:val="24"/>
        </w:rPr>
        <w:t xml:space="preserve">, pemetrexed (0.05 uM), or paclitaxel (0.2 uM), counted </w:t>
      </w:r>
      <w:r w:rsidR="00F71F65" w:rsidRPr="009E72F4">
        <w:rPr>
          <w:rFonts w:ascii="Times New Roman" w:hAnsi="Times New Roman"/>
          <w:iCs/>
          <w:sz w:val="24"/>
          <w:szCs w:val="24"/>
        </w:rPr>
        <w:t xml:space="preserve">before being </w:t>
      </w:r>
      <w:r w:rsidRPr="009E72F4">
        <w:rPr>
          <w:rFonts w:ascii="Times New Roman" w:hAnsi="Times New Roman"/>
          <w:iCs/>
          <w:sz w:val="24"/>
          <w:szCs w:val="24"/>
        </w:rPr>
        <w:t>analyzed as described.</w:t>
      </w:r>
    </w:p>
    <w:p w14:paraId="6EF6EE65" w14:textId="77777777" w:rsidR="00A80FBE" w:rsidRPr="009E72F4" w:rsidRDefault="00A80FBE" w:rsidP="00A80FBE">
      <w:pPr>
        <w:spacing w:after="0" w:line="480" w:lineRule="auto"/>
        <w:jc w:val="both"/>
        <w:rPr>
          <w:rFonts w:ascii="Times New Roman" w:hAnsi="Times New Roman" w:cs="Times New Roman"/>
          <w:b/>
          <w:iCs/>
          <w:sz w:val="24"/>
          <w:szCs w:val="24"/>
        </w:rPr>
      </w:pPr>
      <w:r w:rsidRPr="009E72F4">
        <w:rPr>
          <w:rFonts w:ascii="Times New Roman" w:hAnsi="Times New Roman" w:cs="Times New Roman"/>
          <w:b/>
          <w:iCs/>
          <w:sz w:val="24"/>
          <w:szCs w:val="24"/>
        </w:rPr>
        <w:t>Metabolic assessments of primary mouse T cells</w:t>
      </w:r>
      <w:r w:rsidRPr="009E72F4">
        <w:rPr>
          <w:rFonts w:ascii="Times New Roman" w:hAnsi="Times New Roman" w:cs="Times New Roman"/>
          <w:b/>
          <w:bCs/>
          <w:iCs/>
          <w:sz w:val="24"/>
          <w:szCs w:val="24"/>
        </w:rPr>
        <w:t xml:space="preserve"> </w:t>
      </w:r>
    </w:p>
    <w:p w14:paraId="12248651" w14:textId="6D5B72CE" w:rsidR="00A80FBE" w:rsidRPr="009E72F4" w:rsidRDefault="00A80FBE" w:rsidP="00CD4ACC">
      <w:pPr>
        <w:spacing w:after="240" w:line="480" w:lineRule="auto"/>
        <w:jc w:val="both"/>
        <w:rPr>
          <w:rFonts w:ascii="Times New Roman" w:hAnsi="Times New Roman" w:cs="Times New Roman"/>
          <w:sz w:val="24"/>
          <w:szCs w:val="24"/>
        </w:rPr>
      </w:pPr>
      <w:r w:rsidRPr="009E72F4">
        <w:rPr>
          <w:rFonts w:ascii="Times New Roman" w:hAnsi="Times New Roman" w:cs="Times New Roman"/>
          <w:sz w:val="24"/>
          <w:szCs w:val="24"/>
        </w:rPr>
        <w:t>Mouse splenic T</w:t>
      </w:r>
      <w:r w:rsidR="005046A0" w:rsidRPr="009E72F4">
        <w:rPr>
          <w:rFonts w:ascii="Times New Roman" w:hAnsi="Times New Roman" w:cs="Times New Roman"/>
          <w:sz w:val="24"/>
          <w:szCs w:val="24"/>
        </w:rPr>
        <w:t xml:space="preserve"> cells stimulated with CD3/CD28 were</w:t>
      </w:r>
      <w:r w:rsidRPr="009E72F4">
        <w:rPr>
          <w:rFonts w:ascii="Times New Roman" w:hAnsi="Times New Roman" w:cs="Times New Roman"/>
          <w:sz w:val="24"/>
          <w:szCs w:val="24"/>
        </w:rPr>
        <w:t xml:space="preserve"> </w:t>
      </w:r>
      <w:r w:rsidR="00F71F65" w:rsidRPr="009E72F4">
        <w:rPr>
          <w:rFonts w:ascii="Times New Roman" w:hAnsi="Times New Roman" w:cs="Times New Roman"/>
          <w:sz w:val="24"/>
          <w:szCs w:val="24"/>
        </w:rPr>
        <w:t>cultured in the</w:t>
      </w:r>
      <w:r w:rsidRPr="009E72F4">
        <w:rPr>
          <w:rFonts w:ascii="Times New Roman" w:hAnsi="Times New Roman" w:cs="Times New Roman"/>
          <w:sz w:val="24"/>
          <w:szCs w:val="24"/>
        </w:rPr>
        <w:t xml:space="preserve"> presence of pemetrexed </w:t>
      </w:r>
      <w:r w:rsidR="005046A0" w:rsidRPr="009E72F4">
        <w:rPr>
          <w:rFonts w:ascii="Times New Roman" w:hAnsi="Times New Roman" w:cs="Times New Roman"/>
          <w:sz w:val="24"/>
          <w:szCs w:val="24"/>
        </w:rPr>
        <w:t>as indicated</w:t>
      </w:r>
      <w:r w:rsidRPr="009E72F4">
        <w:rPr>
          <w:rFonts w:ascii="Times New Roman" w:hAnsi="Times New Roman" w:cs="Times New Roman"/>
          <w:sz w:val="24"/>
          <w:szCs w:val="24"/>
        </w:rPr>
        <w:t xml:space="preserve">. </w:t>
      </w:r>
      <w:r w:rsidR="005046A0" w:rsidRPr="009E72F4">
        <w:rPr>
          <w:rFonts w:ascii="Times New Roman" w:hAnsi="Times New Roman" w:cs="Times New Roman"/>
          <w:sz w:val="24"/>
          <w:szCs w:val="24"/>
        </w:rPr>
        <w:t>Oxygen</w:t>
      </w:r>
      <w:r w:rsidR="00F71F65" w:rsidRPr="009E72F4">
        <w:rPr>
          <w:rFonts w:ascii="Times New Roman" w:hAnsi="Times New Roman" w:cs="Times New Roman"/>
          <w:sz w:val="24"/>
          <w:szCs w:val="24"/>
        </w:rPr>
        <w:t xml:space="preserve"> consumption rate (OCR) </w:t>
      </w:r>
      <w:r w:rsidRPr="009E72F4">
        <w:rPr>
          <w:rFonts w:ascii="Times New Roman" w:hAnsi="Times New Roman" w:cs="Times New Roman"/>
          <w:sz w:val="24"/>
          <w:szCs w:val="24"/>
        </w:rPr>
        <w:t>was analyzed using Seahorse XF Cell Mito Stress Test kit and Seahorse XFe96 instrument (Agilent, Santa Clara, CA)</w:t>
      </w:r>
      <w:r w:rsidR="005046A0" w:rsidRPr="009E72F4">
        <w:rPr>
          <w:rFonts w:ascii="Times New Roman" w:hAnsi="Times New Roman" w:cs="Times New Roman"/>
          <w:sz w:val="24"/>
          <w:szCs w:val="24"/>
        </w:rPr>
        <w:t>.</w:t>
      </w:r>
      <w:r w:rsidR="00F71F65" w:rsidRPr="009E72F4">
        <w:rPr>
          <w:rFonts w:ascii="Times New Roman" w:hAnsi="Times New Roman" w:cs="Times New Roman"/>
          <w:sz w:val="24"/>
          <w:szCs w:val="24"/>
        </w:rPr>
        <w:t xml:space="preserve"> </w:t>
      </w:r>
      <w:r w:rsidR="005046A0" w:rsidRPr="009E72F4">
        <w:rPr>
          <w:rFonts w:ascii="Times New Roman" w:hAnsi="Times New Roman" w:cs="Times New Roman"/>
          <w:sz w:val="24"/>
          <w:szCs w:val="24"/>
        </w:rPr>
        <w:t>C</w:t>
      </w:r>
      <w:r w:rsidRPr="009E72F4">
        <w:rPr>
          <w:rFonts w:ascii="Times New Roman" w:hAnsi="Times New Roman" w:cs="Times New Roman"/>
          <w:sz w:val="24"/>
          <w:szCs w:val="24"/>
        </w:rPr>
        <w:t xml:space="preserve">ells were sequentially stimulated with oligomycin (1 </w:t>
      </w:r>
      <w:r w:rsidRPr="009E72F4">
        <w:rPr>
          <w:rFonts w:ascii="Symbol" w:hAnsi="Symbol" w:cs="Times New Roman"/>
          <w:sz w:val="24"/>
          <w:szCs w:val="24"/>
        </w:rPr>
        <w:t></w:t>
      </w:r>
      <w:r w:rsidRPr="009E72F4">
        <w:rPr>
          <w:rFonts w:ascii="Times New Roman" w:hAnsi="Times New Roman" w:cs="Times New Roman"/>
          <w:sz w:val="24"/>
          <w:szCs w:val="24"/>
        </w:rPr>
        <w:t xml:space="preserve">M), FCCP (1.5 </w:t>
      </w:r>
      <w:r w:rsidRPr="009E72F4">
        <w:rPr>
          <w:rFonts w:ascii="Symbol" w:hAnsi="Symbol" w:cs="Times New Roman"/>
          <w:sz w:val="24"/>
          <w:szCs w:val="24"/>
        </w:rPr>
        <w:t></w:t>
      </w:r>
      <w:r w:rsidRPr="009E72F4">
        <w:rPr>
          <w:rFonts w:ascii="Times New Roman" w:hAnsi="Times New Roman" w:cs="Times New Roman"/>
          <w:sz w:val="24"/>
          <w:szCs w:val="24"/>
        </w:rPr>
        <w:t xml:space="preserve">M), and rotenone/antimycin A (0.5 </w:t>
      </w:r>
      <w:r w:rsidRPr="009E72F4">
        <w:rPr>
          <w:rFonts w:ascii="Symbol" w:hAnsi="Symbol" w:cs="Times New Roman"/>
          <w:sz w:val="24"/>
          <w:szCs w:val="24"/>
        </w:rPr>
        <w:t></w:t>
      </w:r>
      <w:r w:rsidR="005046A0" w:rsidRPr="009E72F4">
        <w:rPr>
          <w:rFonts w:ascii="Times New Roman" w:hAnsi="Times New Roman" w:cs="Times New Roman"/>
          <w:sz w:val="24"/>
          <w:szCs w:val="24"/>
        </w:rPr>
        <w:t>M each) and the s</w:t>
      </w:r>
      <w:r w:rsidRPr="009E72F4">
        <w:rPr>
          <w:rFonts w:ascii="Times New Roman" w:hAnsi="Times New Roman" w:cs="Times New Roman"/>
          <w:sz w:val="24"/>
          <w:szCs w:val="24"/>
        </w:rPr>
        <w:t xml:space="preserve">pare respiratory capacity (SRC) was measured as the difference between basal OCR values and maximal OCR values obtained after FCCP uncoupling. To assess T cell ability to metabolize fatty acids, XF Palmitate:BSA FAO substrate (Agilent) was incorporated  into  XF Cell Mito Stress Test assay. Wave 2.4 software (Agilent) was used for data acquisition and analysis of Seahorse data.  </w:t>
      </w:r>
    </w:p>
    <w:p w14:paraId="1E417B03" w14:textId="392370B5" w:rsidR="00A80FBE" w:rsidRPr="009E72F4" w:rsidRDefault="00763669" w:rsidP="009604EA">
      <w:pPr>
        <w:spacing w:after="0" w:line="480" w:lineRule="auto"/>
        <w:jc w:val="both"/>
        <w:rPr>
          <w:rFonts w:ascii="Times New Roman" w:hAnsi="Times New Roman"/>
          <w:b/>
          <w:iCs/>
          <w:sz w:val="24"/>
          <w:szCs w:val="24"/>
        </w:rPr>
      </w:pPr>
      <w:r w:rsidRPr="009E72F4">
        <w:rPr>
          <w:rFonts w:ascii="Times New Roman" w:hAnsi="Times New Roman"/>
          <w:b/>
          <w:iCs/>
          <w:sz w:val="24"/>
          <w:szCs w:val="24"/>
        </w:rPr>
        <w:t>Metabolomic Analysi</w:t>
      </w:r>
      <w:r w:rsidR="00A80FBE" w:rsidRPr="009E72F4">
        <w:rPr>
          <w:rFonts w:ascii="Times New Roman" w:hAnsi="Times New Roman"/>
          <w:b/>
          <w:iCs/>
          <w:sz w:val="24"/>
          <w:szCs w:val="24"/>
        </w:rPr>
        <w:t>s</w:t>
      </w:r>
    </w:p>
    <w:p w14:paraId="5118F4A9" w14:textId="52B2A7DD" w:rsidR="00A80FBE" w:rsidRPr="009E72F4" w:rsidRDefault="00CA79E9" w:rsidP="00CD4ACC">
      <w:pPr>
        <w:spacing w:after="240" w:line="480" w:lineRule="auto"/>
        <w:jc w:val="both"/>
        <w:rPr>
          <w:rFonts w:ascii="Times New Roman" w:hAnsi="Times New Roman"/>
          <w:iCs/>
          <w:sz w:val="24"/>
          <w:szCs w:val="24"/>
        </w:rPr>
      </w:pPr>
      <w:r w:rsidRPr="009E72F4">
        <w:rPr>
          <w:rFonts w:ascii="Times New Roman" w:hAnsi="Times New Roman"/>
          <w:iCs/>
          <w:sz w:val="24"/>
          <w:szCs w:val="24"/>
        </w:rPr>
        <w:t xml:space="preserve">Liquid chromatography–mass spectrometry (LC-MS) </w:t>
      </w:r>
      <w:r w:rsidR="00A80FBE" w:rsidRPr="009E72F4">
        <w:rPr>
          <w:rFonts w:ascii="Times New Roman" w:hAnsi="Times New Roman"/>
          <w:iCs/>
          <w:sz w:val="24"/>
          <w:szCs w:val="24"/>
        </w:rPr>
        <w:t xml:space="preserve">was used for broad metabolomic analyses of both plasma and tumor tissue samples. Tumor tissue homogenates </w:t>
      </w:r>
      <w:r w:rsidR="005046A0" w:rsidRPr="009E72F4">
        <w:rPr>
          <w:rFonts w:ascii="Times New Roman" w:hAnsi="Times New Roman"/>
          <w:iCs/>
          <w:sz w:val="24"/>
          <w:szCs w:val="24"/>
        </w:rPr>
        <w:t>collected and analyzed</w:t>
      </w:r>
      <w:r w:rsidR="00A80FBE" w:rsidRPr="009E72F4">
        <w:rPr>
          <w:rFonts w:ascii="Times New Roman" w:hAnsi="Times New Roman"/>
          <w:iCs/>
          <w:sz w:val="24"/>
          <w:szCs w:val="24"/>
        </w:rPr>
        <w:t xml:space="preserve"> described previously </w:t>
      </w:r>
      <w:r w:rsidR="00A80FBE" w:rsidRPr="009E72F4">
        <w:rPr>
          <w:rFonts w:ascii="Times New Roman" w:hAnsi="Times New Roman"/>
          <w:iCs/>
          <w:sz w:val="24"/>
          <w:szCs w:val="24"/>
        </w:rPr>
        <w:fldChar w:fldCharType="begin"/>
      </w:r>
      <w:r w:rsidR="00803539" w:rsidRPr="009E72F4">
        <w:rPr>
          <w:rFonts w:ascii="Times New Roman" w:hAnsi="Times New Roman"/>
          <w:iCs/>
          <w:sz w:val="24"/>
          <w:szCs w:val="24"/>
        </w:rPr>
        <w:instrText xml:space="preserve"> ADDIN EN.CITE &lt;EndNote&gt;&lt;Cite&gt;&lt;Author&gt;Tolstikov&lt;/Author&gt;&lt;Year&gt;2014&lt;/Year&gt;&lt;RecNum&gt;19&lt;/RecNum&gt;&lt;DisplayText&gt;(&lt;style face="italic"&gt;19&lt;/style&gt;)&lt;/DisplayText&gt;&lt;record&gt;&lt;rec-number&gt;19&lt;/rec-number&gt;&lt;foreign-keys&gt;&lt;key app="EN" db-id="tz0fddspvwtr5tedr25xzrvwa0ffzfzafdpa" timestamp="1559161624"&gt;19&lt;/key&gt;&lt;/foreign-keys&gt;&lt;ref-type name="Journal Article"&gt;17&lt;/ref-type&gt;&lt;contributors&gt;&lt;authors&gt;&lt;author&gt;Tolstikov, Vladimir&lt;/author&gt;&lt;author&gt;Nikolayev, Alexander&lt;/author&gt;&lt;author&gt;Dong, Sucai&lt;/author&gt;&lt;author&gt;Zhao, Genshi&lt;/author&gt;&lt;author&gt;Kuo, Ming-Shang&lt;/author&gt;&lt;/authors&gt;&lt;/contributors&gt;&lt;titles&gt;&lt;title&gt;Metabolomics Analysis of Metabolic Effects of Nicotinamide Phosphoribosyltransferase (NAMPT) Inhibition on Human Cancer Cells&lt;/title&gt;&lt;secondary-title&gt;PLOS ONE&lt;/secondary-title&gt;&lt;/titles&gt;&lt;periodical&gt;&lt;full-title&gt;PLOS ONE&lt;/full-title&gt;&lt;/periodical&gt;&lt;pages&gt;e114019&lt;/pages&gt;&lt;volume&gt;9&lt;/volume&gt;&lt;number&gt;12&lt;/number&gt;&lt;dates&gt;&lt;year&gt;2014&lt;/year&gt;&lt;/dates&gt;&lt;publisher&gt;Public Library of Science&lt;/publisher&gt;&lt;urls&gt;&lt;related-urls&gt;&lt;url&gt;https://doi.org/10.1371/journal.pone.0114019&lt;/url&gt;&lt;/related-urls&gt;&lt;/urls&gt;&lt;electronic-resource-num&gt;10.1371/journal.pone.0114019&lt;/electronic-resource-num&gt;&lt;/record&gt;&lt;/Cite&gt;&lt;/EndNote&gt;</w:instrText>
      </w:r>
      <w:r w:rsidR="00A80FBE" w:rsidRPr="009E72F4">
        <w:rPr>
          <w:rFonts w:ascii="Times New Roman" w:hAnsi="Times New Roman"/>
          <w:iCs/>
          <w:sz w:val="24"/>
          <w:szCs w:val="24"/>
        </w:rPr>
        <w:fldChar w:fldCharType="separate"/>
      </w:r>
      <w:r w:rsidR="00944285" w:rsidRPr="009E72F4">
        <w:rPr>
          <w:rFonts w:ascii="Times New Roman" w:hAnsi="Times New Roman"/>
          <w:iCs/>
          <w:noProof/>
          <w:sz w:val="24"/>
          <w:szCs w:val="24"/>
        </w:rPr>
        <w:t>(</w:t>
      </w:r>
      <w:r w:rsidR="00944285" w:rsidRPr="009E72F4">
        <w:rPr>
          <w:rFonts w:ascii="Times New Roman" w:hAnsi="Times New Roman"/>
          <w:i/>
          <w:iCs/>
          <w:noProof/>
          <w:sz w:val="24"/>
          <w:szCs w:val="24"/>
        </w:rPr>
        <w:t>19</w:t>
      </w:r>
      <w:r w:rsidR="00944285" w:rsidRPr="009E72F4">
        <w:rPr>
          <w:rFonts w:ascii="Times New Roman" w:hAnsi="Times New Roman"/>
          <w:iCs/>
          <w:noProof/>
          <w:sz w:val="24"/>
          <w:szCs w:val="24"/>
        </w:rPr>
        <w:t>)</w:t>
      </w:r>
      <w:r w:rsidR="00A80FBE" w:rsidRPr="009E72F4">
        <w:rPr>
          <w:rFonts w:ascii="Times New Roman" w:hAnsi="Times New Roman"/>
          <w:iCs/>
          <w:sz w:val="24"/>
          <w:szCs w:val="24"/>
        </w:rPr>
        <w:fldChar w:fldCharType="end"/>
      </w:r>
      <w:r w:rsidR="00A80FBE" w:rsidRPr="009E72F4">
        <w:rPr>
          <w:rFonts w:ascii="Times New Roman" w:hAnsi="Times New Roman"/>
          <w:iCs/>
          <w:sz w:val="24"/>
          <w:szCs w:val="24"/>
        </w:rPr>
        <w:t xml:space="preserve"> on a SCIEX 5500 triple quadrupole mass spectrometer equipped with a Turbo V source in Electrospray mode, which was coupled to a NEXERA UPLC system (Shimadzu). Metabolite data was processed using MultiQuant software (Sciex). Raw signal intensities for each metabolite were normalized across all samples and then the intensity for each individual sample was calculated relative to the average value.  </w:t>
      </w:r>
    </w:p>
    <w:p w14:paraId="2187A92A" w14:textId="3346AB31" w:rsidR="00160D29" w:rsidRPr="009E72F4" w:rsidRDefault="00585128" w:rsidP="001A6597">
      <w:pPr>
        <w:spacing w:after="0" w:line="480" w:lineRule="auto"/>
        <w:rPr>
          <w:rFonts w:ascii="Times New Roman" w:hAnsi="Times New Roman"/>
          <w:b/>
          <w:iCs/>
          <w:color w:val="000000" w:themeColor="text1"/>
          <w:sz w:val="24"/>
          <w:szCs w:val="24"/>
        </w:rPr>
      </w:pPr>
      <w:r w:rsidRPr="009E72F4">
        <w:rPr>
          <w:rFonts w:ascii="Times New Roman" w:hAnsi="Times New Roman"/>
          <w:b/>
          <w:iCs/>
          <w:color w:val="000000" w:themeColor="text1"/>
          <w:sz w:val="24"/>
          <w:szCs w:val="24"/>
        </w:rPr>
        <w:t>Assessment of t</w:t>
      </w:r>
      <w:r w:rsidR="00160D29" w:rsidRPr="009E72F4">
        <w:rPr>
          <w:rFonts w:ascii="Times New Roman" w:hAnsi="Times New Roman"/>
          <w:b/>
          <w:iCs/>
          <w:color w:val="000000" w:themeColor="text1"/>
          <w:sz w:val="24"/>
          <w:szCs w:val="24"/>
        </w:rPr>
        <w:t>umor</w:t>
      </w:r>
      <w:r w:rsidRPr="009E72F4">
        <w:rPr>
          <w:rFonts w:ascii="Times New Roman" w:hAnsi="Times New Roman"/>
          <w:b/>
          <w:iCs/>
          <w:color w:val="000000" w:themeColor="text1"/>
          <w:sz w:val="24"/>
          <w:szCs w:val="24"/>
        </w:rPr>
        <w:t xml:space="preserve"> antigen-</w:t>
      </w:r>
      <w:r w:rsidR="00160D29" w:rsidRPr="009E72F4">
        <w:rPr>
          <w:rFonts w:ascii="Times New Roman" w:hAnsi="Times New Roman"/>
          <w:b/>
          <w:iCs/>
          <w:color w:val="000000" w:themeColor="text1"/>
          <w:sz w:val="24"/>
          <w:szCs w:val="24"/>
        </w:rPr>
        <w:t>specific T cells responses</w:t>
      </w:r>
    </w:p>
    <w:p w14:paraId="502B1E28" w14:textId="6751D363" w:rsidR="00160D29" w:rsidRPr="009E72F4" w:rsidRDefault="00160D29" w:rsidP="00CD4ACC">
      <w:pPr>
        <w:spacing w:after="240" w:line="480" w:lineRule="auto"/>
        <w:jc w:val="both"/>
        <w:rPr>
          <w:rFonts w:ascii="Times New Roman" w:hAnsi="Times New Roman"/>
          <w:iCs/>
          <w:color w:val="000000" w:themeColor="text1"/>
          <w:sz w:val="24"/>
          <w:szCs w:val="24"/>
        </w:rPr>
      </w:pPr>
      <w:r w:rsidRPr="009E72F4">
        <w:rPr>
          <w:rFonts w:ascii="Times New Roman" w:hAnsi="Times New Roman"/>
          <w:iCs/>
          <w:color w:val="000000" w:themeColor="text1"/>
          <w:sz w:val="24"/>
          <w:szCs w:val="24"/>
        </w:rPr>
        <w:t>CD8</w:t>
      </w:r>
      <w:r w:rsidR="00585128" w:rsidRPr="009E72F4">
        <w:rPr>
          <w:rFonts w:ascii="Times New Roman" w:hAnsi="Times New Roman"/>
          <w:iCs/>
          <w:color w:val="000000" w:themeColor="text1"/>
          <w:sz w:val="24"/>
          <w:szCs w:val="24"/>
        </w:rPr>
        <w:t>+ T</w:t>
      </w:r>
      <w:r w:rsidRPr="009E72F4">
        <w:rPr>
          <w:rFonts w:ascii="Times New Roman" w:hAnsi="Times New Roman"/>
          <w:iCs/>
          <w:color w:val="000000" w:themeColor="text1"/>
          <w:sz w:val="24"/>
          <w:szCs w:val="24"/>
        </w:rPr>
        <w:t xml:space="preserve"> cells were isolated from spleen</w:t>
      </w:r>
      <w:r w:rsidR="00585128" w:rsidRPr="009E72F4">
        <w:rPr>
          <w:rFonts w:ascii="Times New Roman" w:hAnsi="Times New Roman"/>
          <w:iCs/>
          <w:color w:val="000000" w:themeColor="text1"/>
          <w:sz w:val="24"/>
          <w:szCs w:val="24"/>
        </w:rPr>
        <w:t>s,</w:t>
      </w:r>
      <w:r w:rsidRPr="009E72F4">
        <w:rPr>
          <w:rFonts w:ascii="Times New Roman" w:hAnsi="Times New Roman"/>
          <w:iCs/>
          <w:color w:val="000000" w:themeColor="text1"/>
          <w:sz w:val="24"/>
          <w:szCs w:val="24"/>
        </w:rPr>
        <w:t xml:space="preserve"> </w:t>
      </w:r>
      <w:r w:rsidR="00CA79E9" w:rsidRPr="009E72F4">
        <w:rPr>
          <w:rFonts w:ascii="Times New Roman" w:hAnsi="Times New Roman"/>
          <w:iCs/>
          <w:color w:val="000000" w:themeColor="text1"/>
          <w:sz w:val="24"/>
          <w:szCs w:val="24"/>
        </w:rPr>
        <w:t>tumor-draining lymph nodes (</w:t>
      </w:r>
      <w:r w:rsidRPr="009E72F4">
        <w:rPr>
          <w:rFonts w:ascii="Times New Roman" w:hAnsi="Times New Roman"/>
          <w:iCs/>
          <w:color w:val="000000" w:themeColor="text1"/>
          <w:sz w:val="24"/>
          <w:szCs w:val="24"/>
        </w:rPr>
        <w:t>TDLN</w:t>
      </w:r>
      <w:r w:rsidR="00585128" w:rsidRPr="009E72F4">
        <w:rPr>
          <w:rFonts w:ascii="Times New Roman" w:hAnsi="Times New Roman"/>
          <w:iCs/>
          <w:color w:val="000000" w:themeColor="text1"/>
          <w:sz w:val="24"/>
          <w:szCs w:val="24"/>
        </w:rPr>
        <w:t>s</w:t>
      </w:r>
      <w:r w:rsidR="00CA79E9" w:rsidRPr="009E72F4">
        <w:rPr>
          <w:rFonts w:ascii="Times New Roman" w:hAnsi="Times New Roman"/>
          <w:iCs/>
          <w:color w:val="000000" w:themeColor="text1"/>
          <w:sz w:val="24"/>
          <w:szCs w:val="24"/>
        </w:rPr>
        <w:t>)</w:t>
      </w:r>
      <w:r w:rsidR="00585128" w:rsidRPr="009E72F4">
        <w:rPr>
          <w:rFonts w:ascii="Times New Roman" w:hAnsi="Times New Roman"/>
          <w:iCs/>
          <w:color w:val="000000" w:themeColor="text1"/>
          <w:sz w:val="24"/>
          <w:szCs w:val="24"/>
        </w:rPr>
        <w:t xml:space="preserve"> and tumors</w:t>
      </w:r>
      <w:r w:rsidRPr="009E72F4">
        <w:rPr>
          <w:rFonts w:ascii="Times New Roman" w:hAnsi="Times New Roman"/>
          <w:iCs/>
          <w:color w:val="000000" w:themeColor="text1"/>
          <w:sz w:val="24"/>
          <w:szCs w:val="24"/>
        </w:rPr>
        <w:t xml:space="preserve"> </w:t>
      </w:r>
      <w:r w:rsidR="00585128" w:rsidRPr="009E72F4">
        <w:rPr>
          <w:rFonts w:ascii="Times New Roman" w:hAnsi="Times New Roman"/>
          <w:iCs/>
          <w:color w:val="000000" w:themeColor="text1"/>
          <w:sz w:val="24"/>
          <w:szCs w:val="24"/>
        </w:rPr>
        <w:t>using</w:t>
      </w:r>
      <w:r w:rsidRPr="009E72F4">
        <w:rPr>
          <w:rFonts w:ascii="Times New Roman" w:hAnsi="Times New Roman"/>
          <w:iCs/>
          <w:color w:val="000000" w:themeColor="text1"/>
          <w:sz w:val="24"/>
          <w:szCs w:val="24"/>
        </w:rPr>
        <w:t xml:space="preserve"> CD8</w:t>
      </w:r>
      <w:r w:rsidR="00585128" w:rsidRPr="009E72F4">
        <w:rPr>
          <w:rFonts w:ascii="Times New Roman" w:hAnsi="Times New Roman"/>
          <w:iCs/>
          <w:color w:val="000000" w:themeColor="text1"/>
          <w:sz w:val="24"/>
          <w:szCs w:val="24"/>
        </w:rPr>
        <w:t>+</w:t>
      </w:r>
      <w:r w:rsidRPr="009E72F4">
        <w:rPr>
          <w:rFonts w:ascii="Times New Roman" w:hAnsi="Times New Roman"/>
          <w:iCs/>
          <w:color w:val="000000" w:themeColor="text1"/>
          <w:sz w:val="24"/>
          <w:szCs w:val="24"/>
        </w:rPr>
        <w:t xml:space="preserve"> </w:t>
      </w:r>
      <w:r w:rsidR="00585128" w:rsidRPr="009E72F4">
        <w:rPr>
          <w:rFonts w:ascii="Times New Roman" w:hAnsi="Times New Roman"/>
          <w:iCs/>
          <w:color w:val="000000" w:themeColor="text1"/>
          <w:sz w:val="24"/>
          <w:szCs w:val="24"/>
        </w:rPr>
        <w:t xml:space="preserve">T cell </w:t>
      </w:r>
      <w:r w:rsidRPr="009E72F4">
        <w:rPr>
          <w:rFonts w:ascii="Times New Roman" w:hAnsi="Times New Roman"/>
          <w:iCs/>
          <w:color w:val="000000" w:themeColor="text1"/>
          <w:sz w:val="24"/>
          <w:szCs w:val="24"/>
        </w:rPr>
        <w:t>isolation kit</w:t>
      </w:r>
      <w:r w:rsidR="00585128" w:rsidRPr="009E72F4">
        <w:rPr>
          <w:rFonts w:ascii="Times New Roman" w:hAnsi="Times New Roman"/>
          <w:iCs/>
          <w:color w:val="000000" w:themeColor="text1"/>
          <w:sz w:val="24"/>
          <w:szCs w:val="24"/>
        </w:rPr>
        <w:t>s</w:t>
      </w:r>
      <w:r w:rsidRPr="009E72F4">
        <w:rPr>
          <w:rFonts w:ascii="Times New Roman" w:hAnsi="Times New Roman"/>
          <w:iCs/>
          <w:color w:val="000000" w:themeColor="text1"/>
          <w:sz w:val="24"/>
          <w:szCs w:val="24"/>
        </w:rPr>
        <w:t xml:space="preserve"> (Miltenyi cat# 130104075</w:t>
      </w:r>
      <w:r w:rsidR="00585128" w:rsidRPr="009E72F4">
        <w:rPr>
          <w:rFonts w:ascii="Times New Roman" w:hAnsi="Times New Roman"/>
          <w:iCs/>
          <w:color w:val="000000" w:themeColor="text1"/>
          <w:sz w:val="24"/>
          <w:szCs w:val="24"/>
        </w:rPr>
        <w:t xml:space="preserve"> and</w:t>
      </w:r>
      <w:r w:rsidRPr="009E72F4">
        <w:rPr>
          <w:rFonts w:ascii="Times New Roman" w:hAnsi="Times New Roman"/>
          <w:iCs/>
          <w:color w:val="000000" w:themeColor="text1"/>
          <w:sz w:val="24"/>
          <w:szCs w:val="24"/>
        </w:rPr>
        <w:t xml:space="preserve"> 130116478). Mouse IFN</w:t>
      </w:r>
      <w:r w:rsidR="00585128" w:rsidRPr="009E72F4">
        <w:rPr>
          <w:rFonts w:ascii="Times New Roman" w:hAnsi="Times New Roman"/>
          <w:iCs/>
          <w:color w:val="000000" w:themeColor="text1"/>
          <w:sz w:val="24"/>
          <w:szCs w:val="24"/>
        </w:rPr>
        <w:t>-gamma</w:t>
      </w:r>
      <w:r w:rsidRPr="009E72F4">
        <w:rPr>
          <w:rFonts w:ascii="Times New Roman" w:hAnsi="Times New Roman"/>
          <w:iCs/>
          <w:color w:val="000000" w:themeColor="text1"/>
          <w:sz w:val="24"/>
          <w:szCs w:val="24"/>
        </w:rPr>
        <w:t xml:space="preserve"> </w:t>
      </w:r>
      <w:r w:rsidR="00CA79E9" w:rsidRPr="009E72F4">
        <w:rPr>
          <w:rFonts w:ascii="Times New Roman" w:hAnsi="Times New Roman"/>
          <w:iCs/>
          <w:color w:val="000000" w:themeColor="text1"/>
          <w:sz w:val="24"/>
          <w:szCs w:val="24"/>
        </w:rPr>
        <w:t>enzyme-linked immune absorbent spot (ELISpot) assay</w:t>
      </w:r>
      <w:r w:rsidRPr="009E72F4">
        <w:rPr>
          <w:rFonts w:ascii="Times New Roman" w:hAnsi="Times New Roman"/>
          <w:iCs/>
          <w:color w:val="000000" w:themeColor="text1"/>
          <w:sz w:val="24"/>
          <w:szCs w:val="24"/>
        </w:rPr>
        <w:t xml:space="preserve"> (Cellular Technology LTD) was performed with 1X10</w:t>
      </w:r>
      <w:r w:rsidRPr="009E72F4">
        <w:rPr>
          <w:rFonts w:ascii="Times New Roman" w:hAnsi="Times New Roman"/>
          <w:iCs/>
          <w:color w:val="000000" w:themeColor="text1"/>
          <w:sz w:val="24"/>
          <w:szCs w:val="24"/>
          <w:vertAlign w:val="superscript"/>
        </w:rPr>
        <w:t>5</w:t>
      </w:r>
      <w:r w:rsidRPr="009E72F4">
        <w:rPr>
          <w:rFonts w:ascii="Times New Roman" w:hAnsi="Times New Roman"/>
          <w:iCs/>
          <w:color w:val="000000" w:themeColor="text1"/>
          <w:sz w:val="24"/>
          <w:szCs w:val="24"/>
        </w:rPr>
        <w:t xml:space="preserve"> CD8 cells in the </w:t>
      </w:r>
      <w:r w:rsidR="00585128" w:rsidRPr="009E72F4">
        <w:rPr>
          <w:rFonts w:ascii="Times New Roman" w:hAnsi="Times New Roman"/>
          <w:iCs/>
          <w:color w:val="000000" w:themeColor="text1"/>
          <w:sz w:val="24"/>
          <w:szCs w:val="24"/>
        </w:rPr>
        <w:t xml:space="preserve">presence or </w:t>
      </w:r>
      <w:r w:rsidRPr="009E72F4">
        <w:rPr>
          <w:rFonts w:ascii="Times New Roman" w:hAnsi="Times New Roman"/>
          <w:iCs/>
          <w:color w:val="000000" w:themeColor="text1"/>
          <w:sz w:val="24"/>
          <w:szCs w:val="24"/>
        </w:rPr>
        <w:t>absence or of 2</w:t>
      </w:r>
      <w:r w:rsidR="00585128" w:rsidRPr="009E72F4">
        <w:rPr>
          <w:rFonts w:ascii="Times New Roman" w:hAnsi="Times New Roman"/>
          <w:iCs/>
          <w:color w:val="000000" w:themeColor="text1"/>
          <w:sz w:val="24"/>
          <w:szCs w:val="24"/>
        </w:rPr>
        <w:t xml:space="preserve"> x</w:t>
      </w:r>
      <w:r w:rsidRPr="009E72F4">
        <w:rPr>
          <w:rFonts w:ascii="Times New Roman" w:hAnsi="Times New Roman"/>
          <w:iCs/>
          <w:color w:val="000000" w:themeColor="text1"/>
          <w:sz w:val="24"/>
          <w:szCs w:val="24"/>
        </w:rPr>
        <w:t>10</w:t>
      </w:r>
      <w:r w:rsidRPr="009E72F4">
        <w:rPr>
          <w:rFonts w:ascii="Times New Roman" w:hAnsi="Times New Roman"/>
          <w:iCs/>
          <w:color w:val="000000" w:themeColor="text1"/>
          <w:sz w:val="24"/>
          <w:szCs w:val="24"/>
          <w:vertAlign w:val="superscript"/>
        </w:rPr>
        <w:t>4</w:t>
      </w:r>
      <w:r w:rsidRPr="009E72F4">
        <w:rPr>
          <w:rFonts w:ascii="Times New Roman" w:hAnsi="Times New Roman"/>
          <w:iCs/>
          <w:color w:val="000000" w:themeColor="text1"/>
          <w:sz w:val="24"/>
          <w:szCs w:val="24"/>
        </w:rPr>
        <w:t xml:space="preserve"> EMT6 or Colon26 tumor cells. For flow</w:t>
      </w:r>
      <w:r w:rsidR="00585128" w:rsidRPr="009E72F4">
        <w:rPr>
          <w:rFonts w:ascii="Times New Roman" w:hAnsi="Times New Roman"/>
          <w:iCs/>
          <w:color w:val="000000" w:themeColor="text1"/>
          <w:sz w:val="24"/>
          <w:szCs w:val="24"/>
        </w:rPr>
        <w:t xml:space="preserve"> cytometry analysis</w:t>
      </w:r>
      <w:r w:rsidRPr="009E72F4">
        <w:rPr>
          <w:rFonts w:ascii="Times New Roman" w:hAnsi="Times New Roman"/>
          <w:iCs/>
          <w:color w:val="000000" w:themeColor="text1"/>
          <w:sz w:val="24"/>
          <w:szCs w:val="24"/>
        </w:rPr>
        <w:t>, CD8</w:t>
      </w:r>
      <w:r w:rsidR="00585128" w:rsidRPr="009E72F4">
        <w:rPr>
          <w:rFonts w:ascii="Times New Roman" w:hAnsi="Times New Roman"/>
          <w:iCs/>
          <w:color w:val="000000" w:themeColor="text1"/>
          <w:sz w:val="24"/>
          <w:szCs w:val="24"/>
        </w:rPr>
        <w:t>+ T</w:t>
      </w:r>
      <w:r w:rsidRPr="009E72F4">
        <w:rPr>
          <w:rFonts w:ascii="Times New Roman" w:hAnsi="Times New Roman"/>
          <w:iCs/>
          <w:color w:val="000000" w:themeColor="text1"/>
          <w:sz w:val="24"/>
          <w:szCs w:val="24"/>
        </w:rPr>
        <w:t xml:space="preserve"> cells were cultured with or without cell stimulation cocktail (Ebioscience Cat#00497093) </w:t>
      </w:r>
      <w:r w:rsidR="00AF4F2A" w:rsidRPr="009E72F4">
        <w:rPr>
          <w:rFonts w:ascii="Times New Roman" w:hAnsi="Times New Roman"/>
          <w:iCs/>
          <w:color w:val="000000" w:themeColor="text1"/>
          <w:sz w:val="24"/>
          <w:szCs w:val="24"/>
        </w:rPr>
        <w:t xml:space="preserve">at 1,000X dilution </w:t>
      </w:r>
      <w:r w:rsidRPr="009E72F4">
        <w:rPr>
          <w:rFonts w:ascii="Times New Roman" w:hAnsi="Times New Roman"/>
          <w:iCs/>
          <w:color w:val="000000" w:themeColor="text1"/>
          <w:sz w:val="24"/>
          <w:szCs w:val="24"/>
        </w:rPr>
        <w:t xml:space="preserve">in the presence of brefeldin A for 4 </w:t>
      </w:r>
      <w:r w:rsidR="00AF4F2A" w:rsidRPr="009E72F4">
        <w:rPr>
          <w:rFonts w:ascii="Times New Roman" w:hAnsi="Times New Roman"/>
          <w:iCs/>
          <w:color w:val="000000" w:themeColor="text1"/>
          <w:sz w:val="24"/>
          <w:szCs w:val="24"/>
        </w:rPr>
        <w:t>hours</w:t>
      </w:r>
      <w:r w:rsidRPr="009E72F4">
        <w:rPr>
          <w:rFonts w:ascii="Times New Roman" w:hAnsi="Times New Roman"/>
          <w:iCs/>
          <w:color w:val="000000" w:themeColor="text1"/>
          <w:sz w:val="24"/>
          <w:szCs w:val="24"/>
        </w:rPr>
        <w:t>. After blocking, the cells were stained with live dead dye (Life Technologies), CD8 Ab</w:t>
      </w:r>
      <w:r w:rsidR="00AF4F2A" w:rsidRPr="009E72F4">
        <w:rPr>
          <w:rFonts w:ascii="Times New Roman" w:hAnsi="Times New Roman"/>
          <w:iCs/>
          <w:color w:val="000000" w:themeColor="text1"/>
          <w:sz w:val="24"/>
          <w:szCs w:val="24"/>
        </w:rPr>
        <w:t xml:space="preserve"> </w:t>
      </w:r>
      <w:r w:rsidRPr="009E72F4">
        <w:rPr>
          <w:rFonts w:ascii="Times New Roman" w:hAnsi="Times New Roman"/>
          <w:iCs/>
          <w:color w:val="000000" w:themeColor="text1"/>
          <w:sz w:val="24"/>
          <w:szCs w:val="24"/>
        </w:rPr>
        <w:t>(BD</w:t>
      </w:r>
      <w:r w:rsidR="00AF4F2A" w:rsidRPr="009E72F4">
        <w:rPr>
          <w:rFonts w:ascii="Times New Roman" w:hAnsi="Times New Roman"/>
          <w:iCs/>
          <w:color w:val="000000" w:themeColor="text1"/>
          <w:sz w:val="24"/>
          <w:szCs w:val="24"/>
        </w:rPr>
        <w:t xml:space="preserve"> Biosciences</w:t>
      </w:r>
      <w:r w:rsidRPr="009E72F4">
        <w:rPr>
          <w:rFonts w:ascii="Times New Roman" w:hAnsi="Times New Roman"/>
          <w:iCs/>
          <w:color w:val="000000" w:themeColor="text1"/>
          <w:sz w:val="24"/>
          <w:szCs w:val="24"/>
        </w:rPr>
        <w:t>) and H-2Ld MuLV gp70 Tetramer (MBL</w:t>
      </w:r>
      <w:r w:rsidR="00AF4F2A" w:rsidRPr="009E72F4">
        <w:rPr>
          <w:rFonts w:ascii="Times New Roman" w:hAnsi="Times New Roman"/>
          <w:iCs/>
          <w:color w:val="000000" w:themeColor="text1"/>
          <w:sz w:val="24"/>
          <w:szCs w:val="24"/>
        </w:rPr>
        <w:t xml:space="preserve"> International</w:t>
      </w:r>
      <w:r w:rsidRPr="009E72F4">
        <w:rPr>
          <w:rFonts w:ascii="Times New Roman" w:hAnsi="Times New Roman"/>
          <w:iCs/>
          <w:color w:val="000000" w:themeColor="text1"/>
          <w:sz w:val="24"/>
          <w:szCs w:val="24"/>
        </w:rPr>
        <w:t>). Intracellular staining  were done with TNF</w:t>
      </w:r>
      <w:r w:rsidR="00AF4F2A" w:rsidRPr="009E72F4">
        <w:rPr>
          <w:rFonts w:ascii="Times New Roman" w:hAnsi="Times New Roman"/>
          <w:iCs/>
          <w:color w:val="000000" w:themeColor="text1"/>
          <w:sz w:val="24"/>
          <w:szCs w:val="24"/>
        </w:rPr>
        <w:t>-alpha</w:t>
      </w:r>
      <w:r w:rsidRPr="009E72F4">
        <w:rPr>
          <w:rFonts w:ascii="Times New Roman" w:hAnsi="Times New Roman"/>
          <w:iCs/>
          <w:color w:val="000000" w:themeColor="text1"/>
          <w:sz w:val="24"/>
          <w:szCs w:val="24"/>
        </w:rPr>
        <w:t xml:space="preserve"> Ab (BD</w:t>
      </w:r>
      <w:r w:rsidR="00AF4F2A" w:rsidRPr="009E72F4">
        <w:rPr>
          <w:rFonts w:ascii="Times New Roman" w:hAnsi="Times New Roman"/>
          <w:iCs/>
          <w:color w:val="000000" w:themeColor="text1"/>
          <w:sz w:val="24"/>
          <w:szCs w:val="24"/>
        </w:rPr>
        <w:t xml:space="preserve"> Biosciences</w:t>
      </w:r>
      <w:r w:rsidRPr="009E72F4">
        <w:rPr>
          <w:rFonts w:ascii="Times New Roman" w:hAnsi="Times New Roman"/>
          <w:iCs/>
          <w:color w:val="000000" w:themeColor="text1"/>
          <w:sz w:val="24"/>
          <w:szCs w:val="24"/>
        </w:rPr>
        <w:t>) after fixation and permeabilization</w:t>
      </w:r>
      <w:r w:rsidR="00AF4F2A" w:rsidRPr="009E72F4">
        <w:rPr>
          <w:rFonts w:ascii="Times New Roman" w:hAnsi="Times New Roman"/>
          <w:iCs/>
          <w:color w:val="000000" w:themeColor="text1"/>
          <w:sz w:val="24"/>
          <w:szCs w:val="24"/>
        </w:rPr>
        <w:t>.</w:t>
      </w:r>
    </w:p>
    <w:p w14:paraId="3BFE8994" w14:textId="31702968" w:rsidR="00160D29" w:rsidRPr="009E72F4" w:rsidRDefault="00160D29" w:rsidP="001A6597">
      <w:pPr>
        <w:spacing w:after="0" w:line="480" w:lineRule="auto"/>
        <w:rPr>
          <w:rFonts w:ascii="Times New Roman" w:hAnsi="Times New Roman"/>
          <w:b/>
          <w:iCs/>
          <w:color w:val="000000" w:themeColor="text1"/>
          <w:sz w:val="24"/>
          <w:szCs w:val="24"/>
        </w:rPr>
      </w:pPr>
      <w:r w:rsidRPr="009E72F4">
        <w:rPr>
          <w:rFonts w:ascii="Times New Roman" w:hAnsi="Times New Roman"/>
          <w:b/>
          <w:iCs/>
          <w:color w:val="000000" w:themeColor="text1"/>
          <w:sz w:val="24"/>
          <w:szCs w:val="24"/>
        </w:rPr>
        <w:t>Tumor cell killing assay</w:t>
      </w:r>
    </w:p>
    <w:p w14:paraId="36F15465" w14:textId="0EF816DB" w:rsidR="00160D29" w:rsidRPr="009E72F4" w:rsidRDefault="00160D29" w:rsidP="00CD4ACC">
      <w:pPr>
        <w:spacing w:after="240" w:line="480" w:lineRule="auto"/>
        <w:jc w:val="both"/>
        <w:rPr>
          <w:rFonts w:ascii="Times New Roman" w:hAnsi="Times New Roman"/>
          <w:iCs/>
          <w:color w:val="000000" w:themeColor="text1"/>
          <w:sz w:val="24"/>
          <w:szCs w:val="24"/>
        </w:rPr>
      </w:pPr>
      <w:r w:rsidRPr="009E72F4">
        <w:rPr>
          <w:rFonts w:ascii="Times New Roman" w:hAnsi="Times New Roman"/>
          <w:iCs/>
          <w:color w:val="000000" w:themeColor="text1"/>
          <w:sz w:val="24"/>
          <w:szCs w:val="24"/>
        </w:rPr>
        <w:t>Splenocytes from ovalbumin</w:t>
      </w:r>
      <w:r w:rsidR="00C01E18" w:rsidRPr="009E72F4">
        <w:rPr>
          <w:rFonts w:ascii="Times New Roman" w:hAnsi="Times New Roman"/>
          <w:iCs/>
          <w:color w:val="000000" w:themeColor="text1"/>
          <w:sz w:val="24"/>
          <w:szCs w:val="24"/>
        </w:rPr>
        <w:t>-</w:t>
      </w:r>
      <w:r w:rsidRPr="009E72F4">
        <w:rPr>
          <w:rFonts w:ascii="Times New Roman" w:hAnsi="Times New Roman"/>
          <w:iCs/>
          <w:color w:val="000000" w:themeColor="text1"/>
          <w:sz w:val="24"/>
          <w:szCs w:val="24"/>
        </w:rPr>
        <w:t xml:space="preserve">specific </w:t>
      </w:r>
      <w:r w:rsidR="00CA79E9" w:rsidRPr="009E72F4">
        <w:rPr>
          <w:rFonts w:ascii="Times New Roman" w:hAnsi="Times New Roman"/>
          <w:iCs/>
          <w:color w:val="000000" w:themeColor="text1"/>
          <w:sz w:val="24"/>
          <w:szCs w:val="24"/>
        </w:rPr>
        <w:t>T cell receptor</w:t>
      </w:r>
      <w:r w:rsidRPr="009E72F4">
        <w:rPr>
          <w:rFonts w:ascii="Times New Roman" w:hAnsi="Times New Roman"/>
          <w:iCs/>
          <w:color w:val="000000" w:themeColor="text1"/>
          <w:sz w:val="24"/>
          <w:szCs w:val="24"/>
        </w:rPr>
        <w:t xml:space="preserve"> transgenic OT-1 </w:t>
      </w:r>
      <w:r w:rsidR="00C01E18" w:rsidRPr="009E72F4">
        <w:rPr>
          <w:rFonts w:ascii="Times New Roman" w:hAnsi="Times New Roman"/>
          <w:iCs/>
          <w:color w:val="000000" w:themeColor="text1"/>
          <w:sz w:val="24"/>
          <w:szCs w:val="24"/>
        </w:rPr>
        <w:t>mice</w:t>
      </w:r>
      <w:r w:rsidRPr="009E72F4">
        <w:rPr>
          <w:rFonts w:ascii="Times New Roman" w:hAnsi="Times New Roman"/>
          <w:iCs/>
          <w:color w:val="000000" w:themeColor="text1"/>
          <w:sz w:val="24"/>
          <w:szCs w:val="24"/>
        </w:rPr>
        <w:t xml:space="preserve"> were incubated </w:t>
      </w:r>
      <w:r w:rsidR="00AF4F2A" w:rsidRPr="009E72F4">
        <w:rPr>
          <w:rFonts w:ascii="Times New Roman" w:hAnsi="Times New Roman"/>
          <w:iCs/>
          <w:color w:val="000000" w:themeColor="text1"/>
          <w:sz w:val="24"/>
          <w:szCs w:val="24"/>
        </w:rPr>
        <w:t>in the presence of</w:t>
      </w:r>
      <w:r w:rsidRPr="009E72F4">
        <w:rPr>
          <w:rFonts w:ascii="Times New Roman" w:hAnsi="Times New Roman"/>
          <w:iCs/>
          <w:color w:val="000000" w:themeColor="text1"/>
          <w:sz w:val="24"/>
          <w:szCs w:val="24"/>
        </w:rPr>
        <w:t xml:space="preserve"> 0.1nM of SIINF</w:t>
      </w:r>
      <w:r w:rsidR="00C01E18" w:rsidRPr="009E72F4">
        <w:rPr>
          <w:rFonts w:ascii="Times New Roman" w:hAnsi="Times New Roman"/>
          <w:iCs/>
          <w:color w:val="000000" w:themeColor="text1"/>
          <w:sz w:val="24"/>
          <w:szCs w:val="24"/>
        </w:rPr>
        <w:t>E</w:t>
      </w:r>
      <w:r w:rsidRPr="009E72F4">
        <w:rPr>
          <w:rFonts w:ascii="Times New Roman" w:hAnsi="Times New Roman"/>
          <w:iCs/>
          <w:color w:val="000000" w:themeColor="text1"/>
          <w:sz w:val="24"/>
          <w:szCs w:val="24"/>
        </w:rPr>
        <w:t xml:space="preserve">KL peptide </w:t>
      </w:r>
      <w:r w:rsidR="00AF4F2A" w:rsidRPr="009E72F4">
        <w:rPr>
          <w:rFonts w:ascii="Times New Roman" w:hAnsi="Times New Roman"/>
          <w:iCs/>
          <w:color w:val="000000" w:themeColor="text1"/>
          <w:sz w:val="24"/>
          <w:szCs w:val="24"/>
        </w:rPr>
        <w:t>and</w:t>
      </w:r>
      <w:r w:rsidRPr="009E72F4">
        <w:rPr>
          <w:rFonts w:ascii="Times New Roman" w:hAnsi="Times New Roman"/>
          <w:iCs/>
          <w:color w:val="000000" w:themeColor="text1"/>
          <w:sz w:val="24"/>
          <w:szCs w:val="24"/>
        </w:rPr>
        <w:t xml:space="preserve"> IL-2</w:t>
      </w:r>
      <w:r w:rsidR="00AF4F2A" w:rsidRPr="009E72F4">
        <w:rPr>
          <w:rFonts w:ascii="Times New Roman" w:hAnsi="Times New Roman"/>
          <w:iCs/>
          <w:color w:val="000000" w:themeColor="text1"/>
          <w:sz w:val="24"/>
          <w:szCs w:val="24"/>
        </w:rPr>
        <w:t xml:space="preserve"> for 5 days</w:t>
      </w:r>
      <w:r w:rsidRPr="009E72F4">
        <w:rPr>
          <w:rFonts w:ascii="Times New Roman" w:hAnsi="Times New Roman"/>
          <w:iCs/>
          <w:color w:val="000000" w:themeColor="text1"/>
          <w:sz w:val="24"/>
          <w:szCs w:val="24"/>
        </w:rPr>
        <w:t>. CD8</w:t>
      </w:r>
      <w:r w:rsidR="00AF4F2A" w:rsidRPr="009E72F4">
        <w:rPr>
          <w:rFonts w:ascii="Times New Roman" w:hAnsi="Times New Roman"/>
          <w:iCs/>
          <w:color w:val="000000" w:themeColor="text1"/>
          <w:sz w:val="24"/>
          <w:szCs w:val="24"/>
        </w:rPr>
        <w:t>+</w:t>
      </w:r>
      <w:r w:rsidRPr="009E72F4">
        <w:rPr>
          <w:rFonts w:ascii="Times New Roman" w:hAnsi="Times New Roman"/>
          <w:iCs/>
          <w:color w:val="000000" w:themeColor="text1"/>
          <w:sz w:val="24"/>
          <w:szCs w:val="24"/>
        </w:rPr>
        <w:t xml:space="preserve"> T cells were then isolated and cultured with B16 tumor cells</w:t>
      </w:r>
      <w:r w:rsidR="0000022F" w:rsidRPr="009E72F4">
        <w:rPr>
          <w:rFonts w:ascii="Times New Roman" w:hAnsi="Times New Roman"/>
          <w:iCs/>
          <w:color w:val="000000" w:themeColor="text1"/>
          <w:sz w:val="24"/>
          <w:szCs w:val="24"/>
        </w:rPr>
        <w:t xml:space="preserve"> that had been previously labeled with cell tracer BV421 and pulsed with 100</w:t>
      </w:r>
      <w:r w:rsidR="00AF4F2A" w:rsidRPr="009E72F4">
        <w:rPr>
          <w:rFonts w:ascii="Times New Roman" w:hAnsi="Times New Roman"/>
          <w:iCs/>
          <w:color w:val="000000" w:themeColor="text1"/>
          <w:sz w:val="24"/>
          <w:szCs w:val="24"/>
        </w:rPr>
        <w:t xml:space="preserve"> </w:t>
      </w:r>
      <w:r w:rsidR="0000022F" w:rsidRPr="009E72F4">
        <w:rPr>
          <w:rFonts w:ascii="Times New Roman" w:hAnsi="Times New Roman"/>
          <w:iCs/>
          <w:color w:val="000000" w:themeColor="text1"/>
          <w:sz w:val="24"/>
          <w:szCs w:val="24"/>
        </w:rPr>
        <w:t>nM of SIINFEKL peptide for 2</w:t>
      </w:r>
      <w:r w:rsidR="00AF4F2A" w:rsidRPr="009E72F4">
        <w:rPr>
          <w:rFonts w:ascii="Times New Roman" w:hAnsi="Times New Roman"/>
          <w:iCs/>
          <w:color w:val="000000" w:themeColor="text1"/>
          <w:sz w:val="24"/>
          <w:szCs w:val="24"/>
        </w:rPr>
        <w:t xml:space="preserve"> hours</w:t>
      </w:r>
      <w:r w:rsidR="0000022F" w:rsidRPr="009E72F4">
        <w:rPr>
          <w:rFonts w:ascii="Times New Roman" w:hAnsi="Times New Roman"/>
          <w:iCs/>
          <w:color w:val="000000" w:themeColor="text1"/>
          <w:sz w:val="24"/>
          <w:szCs w:val="24"/>
        </w:rPr>
        <w:t xml:space="preserve">, at </w:t>
      </w:r>
      <w:r w:rsidRPr="009E72F4">
        <w:rPr>
          <w:rFonts w:ascii="Times New Roman" w:hAnsi="Times New Roman"/>
          <w:iCs/>
          <w:color w:val="000000" w:themeColor="text1"/>
          <w:sz w:val="24"/>
          <w:szCs w:val="24"/>
        </w:rPr>
        <w:t>a 10:1 effector to target ratio. Tumor cell death was then analyzed by 7AAD incorporation by flow</w:t>
      </w:r>
      <w:r w:rsidR="00C01E18" w:rsidRPr="009E72F4">
        <w:rPr>
          <w:rFonts w:ascii="Times New Roman" w:hAnsi="Times New Roman"/>
          <w:iCs/>
          <w:color w:val="000000" w:themeColor="text1"/>
          <w:sz w:val="24"/>
          <w:szCs w:val="24"/>
        </w:rPr>
        <w:t xml:space="preserve"> </w:t>
      </w:r>
      <w:r w:rsidRPr="009E72F4">
        <w:rPr>
          <w:rFonts w:ascii="Times New Roman" w:hAnsi="Times New Roman"/>
          <w:iCs/>
          <w:color w:val="000000" w:themeColor="text1"/>
          <w:sz w:val="24"/>
          <w:szCs w:val="24"/>
        </w:rPr>
        <w:t>cytometry</w:t>
      </w:r>
      <w:r w:rsidR="0000022F" w:rsidRPr="009E72F4">
        <w:rPr>
          <w:rFonts w:ascii="Times New Roman" w:hAnsi="Times New Roman"/>
          <w:iCs/>
          <w:color w:val="000000" w:themeColor="text1"/>
          <w:sz w:val="24"/>
          <w:szCs w:val="24"/>
        </w:rPr>
        <w:t xml:space="preserve"> after 4</w:t>
      </w:r>
      <w:r w:rsidR="00AF4F2A" w:rsidRPr="009E72F4">
        <w:rPr>
          <w:rFonts w:ascii="Times New Roman" w:hAnsi="Times New Roman"/>
          <w:iCs/>
          <w:color w:val="000000" w:themeColor="text1"/>
          <w:sz w:val="24"/>
          <w:szCs w:val="24"/>
        </w:rPr>
        <w:t xml:space="preserve"> hours</w:t>
      </w:r>
      <w:r w:rsidR="0000022F" w:rsidRPr="009E72F4">
        <w:rPr>
          <w:rFonts w:ascii="Times New Roman" w:hAnsi="Times New Roman"/>
          <w:iCs/>
          <w:color w:val="000000" w:themeColor="text1"/>
          <w:sz w:val="24"/>
          <w:szCs w:val="24"/>
        </w:rPr>
        <w:t xml:space="preserve"> of cocul</w:t>
      </w:r>
      <w:r w:rsidR="00AF4F2A" w:rsidRPr="009E72F4">
        <w:rPr>
          <w:rFonts w:ascii="Times New Roman" w:hAnsi="Times New Roman"/>
          <w:iCs/>
          <w:color w:val="000000" w:themeColor="text1"/>
          <w:sz w:val="24"/>
          <w:szCs w:val="24"/>
        </w:rPr>
        <w:t>ture</w:t>
      </w:r>
      <w:r w:rsidR="0000022F" w:rsidRPr="009E72F4">
        <w:rPr>
          <w:rFonts w:ascii="Times New Roman" w:hAnsi="Times New Roman"/>
          <w:iCs/>
          <w:color w:val="000000" w:themeColor="text1"/>
          <w:sz w:val="24"/>
          <w:szCs w:val="24"/>
        </w:rPr>
        <w:t>.</w:t>
      </w:r>
      <w:r w:rsidRPr="009E72F4">
        <w:rPr>
          <w:rFonts w:ascii="Times New Roman" w:hAnsi="Times New Roman"/>
          <w:iCs/>
          <w:color w:val="000000" w:themeColor="text1"/>
          <w:sz w:val="24"/>
          <w:szCs w:val="24"/>
        </w:rPr>
        <w:t xml:space="preserve">  </w:t>
      </w:r>
    </w:p>
    <w:p w14:paraId="456ED7AD" w14:textId="32EAF68E" w:rsidR="00A80FBE" w:rsidRPr="009E72F4" w:rsidRDefault="00A80FBE" w:rsidP="001A6597">
      <w:pPr>
        <w:spacing w:after="0" w:line="480" w:lineRule="auto"/>
        <w:rPr>
          <w:rFonts w:ascii="Times New Roman" w:hAnsi="Times New Roman"/>
          <w:b/>
          <w:bCs/>
          <w:color w:val="000000" w:themeColor="text1"/>
          <w:sz w:val="24"/>
          <w:szCs w:val="24"/>
        </w:rPr>
      </w:pPr>
      <w:r w:rsidRPr="009E72F4">
        <w:rPr>
          <w:rFonts w:ascii="Times New Roman" w:hAnsi="Times New Roman"/>
          <w:b/>
          <w:i/>
          <w:iCs/>
          <w:color w:val="000000" w:themeColor="text1"/>
          <w:sz w:val="24"/>
          <w:szCs w:val="24"/>
        </w:rPr>
        <w:t>In vitro</w:t>
      </w:r>
      <w:r w:rsidRPr="009E72F4">
        <w:rPr>
          <w:rFonts w:ascii="Times New Roman" w:hAnsi="Times New Roman"/>
          <w:b/>
          <w:iCs/>
          <w:color w:val="000000" w:themeColor="text1"/>
          <w:sz w:val="24"/>
          <w:szCs w:val="24"/>
        </w:rPr>
        <w:t xml:space="preserve"> assessment of immunogenic cell death (ICD)</w:t>
      </w:r>
      <w:r w:rsidRPr="009E72F4">
        <w:rPr>
          <w:rFonts w:ascii="Times New Roman" w:hAnsi="Times New Roman"/>
          <w:i/>
          <w:iCs/>
          <w:color w:val="000000" w:themeColor="text1"/>
          <w:sz w:val="24"/>
          <w:szCs w:val="24"/>
        </w:rPr>
        <w:t xml:space="preserve"> </w:t>
      </w:r>
    </w:p>
    <w:p w14:paraId="4854F159" w14:textId="12169728" w:rsidR="00A80FBE" w:rsidRPr="009E72F4" w:rsidRDefault="00A80FBE" w:rsidP="00CD4ACC">
      <w:pPr>
        <w:spacing w:after="240" w:line="480" w:lineRule="auto"/>
        <w:jc w:val="both"/>
        <w:rPr>
          <w:rFonts w:ascii="Times New Roman" w:hAnsi="Times New Roman"/>
          <w:color w:val="000000" w:themeColor="text1"/>
          <w:sz w:val="24"/>
          <w:szCs w:val="24"/>
        </w:rPr>
      </w:pPr>
      <w:r w:rsidRPr="009E72F4">
        <w:rPr>
          <w:rFonts w:ascii="Times New Roman" w:hAnsi="Times New Roman"/>
          <w:color w:val="000000" w:themeColor="text1"/>
          <w:sz w:val="24"/>
          <w:szCs w:val="24"/>
        </w:rPr>
        <w:t xml:space="preserve">Colon26 and MC38 tumor cell lines were treated with chemotherapeutic agents (pemetrexed, carboplatin, paclitaxel, gemcitabine, doxorubicin) for 96 hours. At the end of treatment, culture supernatants were collected </w:t>
      </w:r>
      <w:r w:rsidR="00FD1010" w:rsidRPr="009E72F4">
        <w:rPr>
          <w:rFonts w:ascii="Times New Roman" w:hAnsi="Times New Roman"/>
          <w:color w:val="000000" w:themeColor="text1"/>
          <w:sz w:val="24"/>
          <w:szCs w:val="24"/>
        </w:rPr>
        <w:t xml:space="preserve">and </w:t>
      </w:r>
      <w:r w:rsidR="002D7D61" w:rsidRPr="009E72F4">
        <w:rPr>
          <w:rFonts w:ascii="Times New Roman" w:hAnsi="Times New Roman"/>
          <w:color w:val="000000" w:themeColor="text1"/>
          <w:sz w:val="24"/>
          <w:szCs w:val="24"/>
        </w:rPr>
        <w:t>high mobility group B1 (</w:t>
      </w:r>
      <w:r w:rsidRPr="009E72F4">
        <w:rPr>
          <w:rFonts w:ascii="Times New Roman" w:hAnsi="Times New Roman"/>
          <w:color w:val="000000" w:themeColor="text1"/>
          <w:sz w:val="24"/>
          <w:szCs w:val="24"/>
        </w:rPr>
        <w:t>HMGB1</w:t>
      </w:r>
      <w:r w:rsidR="002D7D61" w:rsidRPr="009E72F4">
        <w:rPr>
          <w:rFonts w:ascii="Times New Roman" w:hAnsi="Times New Roman"/>
          <w:color w:val="000000" w:themeColor="text1"/>
          <w:sz w:val="24"/>
          <w:szCs w:val="24"/>
        </w:rPr>
        <w:t>) protein</w:t>
      </w:r>
      <w:r w:rsidRPr="009E72F4">
        <w:rPr>
          <w:rFonts w:ascii="Times New Roman" w:hAnsi="Times New Roman"/>
          <w:color w:val="000000" w:themeColor="text1"/>
          <w:sz w:val="24"/>
          <w:szCs w:val="24"/>
        </w:rPr>
        <w:t xml:space="preserve"> </w:t>
      </w:r>
      <w:r w:rsidR="00B52FBE" w:rsidRPr="009E72F4">
        <w:rPr>
          <w:rFonts w:ascii="Times New Roman" w:hAnsi="Times New Roman"/>
          <w:color w:val="000000" w:themeColor="text1"/>
          <w:sz w:val="24"/>
          <w:szCs w:val="24"/>
        </w:rPr>
        <w:t>and</w:t>
      </w:r>
      <w:r w:rsidR="002D7D61" w:rsidRPr="009E72F4">
        <w:rPr>
          <w:rFonts w:ascii="Times New Roman" w:hAnsi="Times New Roman"/>
          <w:color w:val="000000" w:themeColor="text1"/>
          <w:sz w:val="24"/>
          <w:szCs w:val="24"/>
        </w:rPr>
        <w:t xml:space="preserve"> calreticulin (</w:t>
      </w:r>
      <w:r w:rsidR="00F21A8E" w:rsidRPr="009E72F4">
        <w:rPr>
          <w:rFonts w:ascii="Times New Roman" w:hAnsi="Times New Roman"/>
          <w:color w:val="000000" w:themeColor="text1"/>
          <w:sz w:val="24"/>
          <w:szCs w:val="24"/>
        </w:rPr>
        <w:t>CRT</w:t>
      </w:r>
      <w:r w:rsidR="002D7D61" w:rsidRPr="009E72F4">
        <w:rPr>
          <w:rFonts w:ascii="Times New Roman" w:hAnsi="Times New Roman"/>
          <w:color w:val="000000" w:themeColor="text1"/>
          <w:sz w:val="24"/>
          <w:szCs w:val="24"/>
        </w:rPr>
        <w:t>)</w:t>
      </w:r>
      <w:r w:rsidR="00F21A8E" w:rsidRPr="009E72F4">
        <w:rPr>
          <w:rFonts w:ascii="Times New Roman" w:hAnsi="Times New Roman"/>
          <w:color w:val="000000" w:themeColor="text1"/>
          <w:sz w:val="24"/>
          <w:szCs w:val="24"/>
        </w:rPr>
        <w:t xml:space="preserve"> </w:t>
      </w:r>
      <w:r w:rsidRPr="009E72F4">
        <w:rPr>
          <w:rFonts w:ascii="Times New Roman" w:hAnsi="Times New Roman"/>
          <w:color w:val="000000" w:themeColor="text1"/>
          <w:sz w:val="24"/>
          <w:szCs w:val="24"/>
        </w:rPr>
        <w:t xml:space="preserve">release </w:t>
      </w:r>
      <w:r w:rsidR="00F21A8E" w:rsidRPr="009E72F4">
        <w:rPr>
          <w:rFonts w:ascii="Times New Roman" w:hAnsi="Times New Roman"/>
          <w:color w:val="000000" w:themeColor="text1"/>
          <w:sz w:val="24"/>
          <w:szCs w:val="24"/>
        </w:rPr>
        <w:t xml:space="preserve">was </w:t>
      </w:r>
      <w:r w:rsidR="00FD1010" w:rsidRPr="009E72F4">
        <w:rPr>
          <w:rFonts w:ascii="Times New Roman" w:hAnsi="Times New Roman"/>
          <w:color w:val="000000" w:themeColor="text1"/>
          <w:sz w:val="24"/>
          <w:szCs w:val="24"/>
        </w:rPr>
        <w:t>measured</w:t>
      </w:r>
      <w:r w:rsidR="00B52FBE" w:rsidRPr="009E72F4">
        <w:rPr>
          <w:rFonts w:ascii="Times New Roman" w:hAnsi="Times New Roman"/>
          <w:color w:val="000000" w:themeColor="text1"/>
          <w:sz w:val="24"/>
          <w:szCs w:val="24"/>
        </w:rPr>
        <w:t xml:space="preserve"> using commercially available kits</w:t>
      </w:r>
      <w:r w:rsidR="002D7D61" w:rsidRPr="009E72F4">
        <w:rPr>
          <w:rFonts w:ascii="Times New Roman" w:hAnsi="Times New Roman"/>
          <w:color w:val="000000" w:themeColor="text1"/>
          <w:sz w:val="24"/>
          <w:szCs w:val="24"/>
        </w:rPr>
        <w:t xml:space="preserve"> (</w:t>
      </w:r>
      <w:r w:rsidR="00B52FBE" w:rsidRPr="009E72F4">
        <w:rPr>
          <w:rFonts w:ascii="Times New Roman" w:hAnsi="Times New Roman"/>
          <w:color w:val="000000" w:themeColor="text1"/>
          <w:sz w:val="24"/>
          <w:szCs w:val="24"/>
        </w:rPr>
        <w:t>IBL</w:t>
      </w:r>
      <w:r w:rsidR="005D3AF9" w:rsidRPr="009E72F4">
        <w:rPr>
          <w:rFonts w:ascii="Times New Roman" w:hAnsi="Times New Roman"/>
          <w:color w:val="000000" w:themeColor="text1"/>
          <w:sz w:val="24"/>
          <w:szCs w:val="24"/>
        </w:rPr>
        <w:t xml:space="preserve"> </w:t>
      </w:r>
      <w:r w:rsidR="00595F8C" w:rsidRPr="009E72F4">
        <w:rPr>
          <w:rFonts w:ascii="Times New Roman" w:hAnsi="Times New Roman"/>
          <w:color w:val="000000" w:themeColor="text1"/>
          <w:sz w:val="24"/>
          <w:szCs w:val="24"/>
        </w:rPr>
        <w:t>International</w:t>
      </w:r>
      <w:r w:rsidR="005D3AF9" w:rsidRPr="009E72F4">
        <w:rPr>
          <w:rFonts w:ascii="Times New Roman" w:hAnsi="Times New Roman"/>
          <w:color w:val="000000" w:themeColor="text1"/>
          <w:sz w:val="24"/>
          <w:szCs w:val="24"/>
        </w:rPr>
        <w:t>, Hamburg, Germany</w:t>
      </w:r>
      <w:r w:rsidR="00B52FBE" w:rsidRPr="009E72F4">
        <w:rPr>
          <w:rFonts w:ascii="Times New Roman" w:hAnsi="Times New Roman"/>
          <w:color w:val="000000" w:themeColor="text1"/>
          <w:sz w:val="24"/>
          <w:szCs w:val="24"/>
        </w:rPr>
        <w:t xml:space="preserve"> and </w:t>
      </w:r>
      <w:r w:rsidRPr="009E72F4">
        <w:rPr>
          <w:rFonts w:ascii="Times New Roman" w:hAnsi="Times New Roman"/>
          <w:color w:val="000000" w:themeColor="text1"/>
          <w:sz w:val="24"/>
          <w:szCs w:val="24"/>
        </w:rPr>
        <w:t>Cloud Clone Corporation, Katy, TX</w:t>
      </w:r>
      <w:r w:rsidR="005D3AF9" w:rsidRPr="009E72F4">
        <w:rPr>
          <w:rFonts w:ascii="Times New Roman" w:hAnsi="Times New Roman"/>
          <w:color w:val="000000" w:themeColor="text1"/>
          <w:sz w:val="24"/>
          <w:szCs w:val="24"/>
        </w:rPr>
        <w:t xml:space="preserve"> respectively</w:t>
      </w:r>
      <w:r w:rsidRPr="009E72F4">
        <w:rPr>
          <w:rFonts w:ascii="Times New Roman" w:hAnsi="Times New Roman"/>
          <w:color w:val="000000" w:themeColor="text1"/>
          <w:sz w:val="24"/>
          <w:szCs w:val="24"/>
        </w:rPr>
        <w:t xml:space="preserve">). The viability of remaining cells was measured by Cell Titer-Glo assay (Promega) according to manufacturer’s protocol. </w:t>
      </w:r>
    </w:p>
    <w:p w14:paraId="7DBBB394" w14:textId="31148C9E" w:rsidR="00FD1010" w:rsidRPr="009E72F4" w:rsidRDefault="00FD1010" w:rsidP="001A6597">
      <w:pPr>
        <w:spacing w:after="0" w:line="480" w:lineRule="auto"/>
        <w:jc w:val="both"/>
        <w:textAlignment w:val="center"/>
        <w:rPr>
          <w:rFonts w:ascii="Times New Roman" w:hAnsi="Times New Roman" w:cs="Times New Roman"/>
          <w:b/>
          <w:sz w:val="24"/>
          <w:szCs w:val="24"/>
        </w:rPr>
      </w:pPr>
      <w:r w:rsidRPr="009E72F4">
        <w:rPr>
          <w:rFonts w:ascii="Times New Roman" w:hAnsi="Times New Roman"/>
          <w:b/>
          <w:iCs/>
          <w:sz w:val="24"/>
          <w:szCs w:val="24"/>
        </w:rPr>
        <w:t>QuantiGene</w:t>
      </w:r>
      <w:r w:rsidRPr="009E72F4">
        <w:rPr>
          <w:rFonts w:ascii="Times New Roman" w:hAnsi="Times New Roman"/>
          <w:b/>
          <w:sz w:val="24"/>
          <w:szCs w:val="24"/>
        </w:rPr>
        <w:t>®</w:t>
      </w:r>
      <w:r w:rsidRPr="009E72F4">
        <w:rPr>
          <w:rFonts w:ascii="Times New Roman" w:hAnsi="Times New Roman"/>
          <w:b/>
          <w:iCs/>
          <w:sz w:val="24"/>
          <w:szCs w:val="24"/>
        </w:rPr>
        <w:t xml:space="preserve"> Plex gene expression analysis </w:t>
      </w:r>
    </w:p>
    <w:p w14:paraId="24E52336" w14:textId="15A3D723" w:rsidR="00FD1010" w:rsidRPr="009E72F4" w:rsidRDefault="00FD1010" w:rsidP="00CD4ACC">
      <w:pPr>
        <w:spacing w:after="240" w:line="480" w:lineRule="auto"/>
        <w:jc w:val="both"/>
        <w:textAlignment w:val="center"/>
        <w:rPr>
          <w:rFonts w:ascii="Times New Roman" w:hAnsi="Times New Roman"/>
          <w:color w:val="000000" w:themeColor="text1"/>
          <w:sz w:val="24"/>
          <w:szCs w:val="24"/>
        </w:rPr>
      </w:pPr>
      <w:r w:rsidRPr="009E72F4">
        <w:rPr>
          <w:rFonts w:ascii="Times New Roman" w:hAnsi="Times New Roman"/>
          <w:color w:val="000000" w:themeColor="text1"/>
          <w:sz w:val="24"/>
          <w:szCs w:val="24"/>
        </w:rPr>
        <w:t xml:space="preserve">Samples were analyzed as described previously </w:t>
      </w:r>
      <w:r w:rsidRPr="009E72F4">
        <w:rPr>
          <w:rFonts w:ascii="Times New Roman" w:hAnsi="Times New Roman"/>
          <w:color w:val="000000" w:themeColor="text1"/>
          <w:sz w:val="24"/>
          <w:szCs w:val="24"/>
        </w:rPr>
        <w:fldChar w:fldCharType="begin"/>
      </w:r>
      <w:r w:rsidR="00803539" w:rsidRPr="009E72F4">
        <w:rPr>
          <w:rFonts w:ascii="Times New Roman" w:hAnsi="Times New Roman"/>
          <w:color w:val="000000" w:themeColor="text1"/>
          <w:sz w:val="24"/>
          <w:szCs w:val="24"/>
        </w:rPr>
        <w:instrText xml:space="preserve"> ADDIN EN.CITE &lt;EndNote&gt;&lt;Cite&gt;&lt;Author&gt;Schaer&lt;/Author&gt;&lt;RecNum&gt;18&lt;/RecNum&gt;&lt;DisplayText&gt;(&lt;style face="italic"&gt;18&lt;/style&gt;)&lt;/DisplayText&gt;&lt;record&gt;&lt;rec-number&gt;18&lt;/rec-number&gt;&lt;foreign-keys&gt;&lt;key app="EN" db-id="tz0fddspvwtr5tedr25xzrvwa0ffzfzafdpa" timestamp="1559161624"&gt;18&lt;/key&gt;&lt;/foreign-keys&gt;&lt;ref-type name="Journal Article"&gt;17&lt;/ref-type&gt;&lt;contributors&gt;&lt;authors&gt;&lt;author&gt;Schaer, David A.&lt;/author&gt;&lt;author&gt;Beckmann, Richard P.&lt;/author&gt;&lt;author&gt;Dempsey, Jack A.&lt;/author&gt;&lt;author&gt;Huber, Lysiane&lt;/author&gt;&lt;author&gt;Forest, Amelie&lt;/author&gt;&lt;author&gt;Amaladas, Nelusha&lt;/author&gt;&lt;author&gt;Li, Yanxia&lt;/author&gt;&lt;author&gt;Wang, Ying Cindy&lt;/author&gt;&lt;author&gt;Rasmussen, Erik R.&lt;/author&gt;&lt;author&gt;Chin, Darin&lt;/author&gt;&lt;author&gt;Capen, Andrew&lt;/author&gt;&lt;author&gt;Carpenito, Carmine&lt;/author&gt;&lt;author&gt;Staschke, Kirk A.&lt;/author&gt;&lt;author&gt;Chung, Linda A.&lt;/author&gt;&lt;author&gt;Litchfield, Lacey M.&lt;/author&gt;&lt;author&gt;Merzoug, Farhana F.&lt;/author&gt;&lt;author&gt;Gong, Xueqian&lt;/author&gt;&lt;author&gt;Iversen, Philip W.&lt;/author&gt;&lt;author&gt;Buchanan, Sean&lt;/author&gt;&lt;author&gt;de Dios, Alfonso&lt;/author&gt;&lt;author&gt;Novosiadly, Ruslan D.&lt;/author&gt;&lt;author&gt;Kalos, Michael&lt;/author&gt;&lt;/authors&gt;&lt;/contributors&gt;&lt;titles&gt;&lt;title&gt;The CDK4/6 Inhibitor Abemaciclib Induces a T Cell Inflamed Tumor Microenvironment and Enhances the Efficacy of PD-L1 Checkpoint Blockade&lt;/title&gt;&lt;secondary-title&gt;Cell Reports&lt;/secondary-title&gt;&lt;/titles&gt;&lt;periodical&gt;&lt;full-title&gt;Cell Reports&lt;/full-title&gt;&lt;/periodical&gt;&lt;pages&gt;2978-2994&lt;/pages&gt;&lt;volume&gt;22&lt;/volume&gt;&lt;number&gt;11&lt;/number&gt;&lt;dates&gt;&lt;/dates&gt;&lt;publisher&gt;Elsevier&lt;/publisher&gt;&lt;isbn&gt;2211-1247&lt;/isbn&gt;&lt;urls&gt;&lt;related-urls&gt;&lt;url&gt;http://dx.doi.org/10.1016/j.celrep.2018.02.053&lt;/url&gt;&lt;/related-urls&gt;&lt;/urls&gt;&lt;electronic-resource-num&gt;10.1016/j.celrep.2018.02.053&lt;/electronic-resource-num&gt;&lt;access-date&gt;2018/04/03&lt;/access-date&gt;&lt;/record&gt;&lt;/Cite&gt;&lt;/EndNote&gt;</w:instrText>
      </w:r>
      <w:r w:rsidRPr="009E72F4">
        <w:rPr>
          <w:rFonts w:ascii="Times New Roman" w:hAnsi="Times New Roman"/>
          <w:color w:val="000000" w:themeColor="text1"/>
          <w:sz w:val="24"/>
          <w:szCs w:val="24"/>
        </w:rPr>
        <w:fldChar w:fldCharType="separate"/>
      </w:r>
      <w:r w:rsidR="00944285" w:rsidRPr="009E72F4">
        <w:rPr>
          <w:rFonts w:ascii="Times New Roman" w:hAnsi="Times New Roman"/>
          <w:noProof/>
          <w:color w:val="000000" w:themeColor="text1"/>
          <w:sz w:val="24"/>
          <w:szCs w:val="24"/>
        </w:rPr>
        <w:t>(</w:t>
      </w:r>
      <w:r w:rsidR="00944285" w:rsidRPr="009E72F4">
        <w:rPr>
          <w:rFonts w:ascii="Times New Roman" w:hAnsi="Times New Roman"/>
          <w:i/>
          <w:noProof/>
          <w:color w:val="000000" w:themeColor="text1"/>
          <w:sz w:val="24"/>
          <w:szCs w:val="24"/>
        </w:rPr>
        <w:t>18</w:t>
      </w:r>
      <w:r w:rsidR="00944285" w:rsidRPr="009E72F4">
        <w:rPr>
          <w:rFonts w:ascii="Times New Roman" w:hAnsi="Times New Roman"/>
          <w:noProof/>
          <w:color w:val="000000" w:themeColor="text1"/>
          <w:sz w:val="24"/>
          <w:szCs w:val="24"/>
        </w:rPr>
        <w:t>)</w:t>
      </w:r>
      <w:r w:rsidRPr="009E72F4">
        <w:rPr>
          <w:rFonts w:ascii="Times New Roman" w:hAnsi="Times New Roman"/>
          <w:color w:val="000000" w:themeColor="text1"/>
          <w:sz w:val="24"/>
          <w:szCs w:val="24"/>
        </w:rPr>
        <w:fldChar w:fldCharType="end"/>
      </w:r>
      <w:r w:rsidRPr="009E72F4">
        <w:rPr>
          <w:rFonts w:ascii="Times New Roman" w:hAnsi="Times New Roman"/>
          <w:color w:val="000000" w:themeColor="text1"/>
          <w:sz w:val="24"/>
          <w:szCs w:val="24"/>
        </w:rPr>
        <w:t xml:space="preserve">, Briefly, 500 ng of total RNA </w:t>
      </w:r>
      <w:r w:rsidR="00A80FBE" w:rsidRPr="009E72F4">
        <w:rPr>
          <w:rFonts w:ascii="Times New Roman" w:hAnsi="Times New Roman"/>
          <w:color w:val="000000" w:themeColor="text1"/>
          <w:sz w:val="24"/>
          <w:szCs w:val="24"/>
        </w:rPr>
        <w:t xml:space="preserve">was isolated from snap-frozen tumor tissue </w:t>
      </w:r>
      <w:r w:rsidRPr="009E72F4">
        <w:rPr>
          <w:rFonts w:ascii="Times New Roman" w:hAnsi="Times New Roman"/>
          <w:color w:val="000000" w:themeColor="text1"/>
          <w:sz w:val="24"/>
          <w:szCs w:val="24"/>
        </w:rPr>
        <w:t xml:space="preserve">and a custom </w:t>
      </w:r>
      <w:r w:rsidR="00585128" w:rsidRPr="009E72F4">
        <w:rPr>
          <w:rFonts w:ascii="Times New Roman" w:hAnsi="Times New Roman"/>
          <w:color w:val="000000" w:themeColor="text1"/>
          <w:sz w:val="24"/>
          <w:szCs w:val="24"/>
        </w:rPr>
        <w:t>o</w:t>
      </w:r>
      <w:r w:rsidR="00A80FBE" w:rsidRPr="009E72F4">
        <w:rPr>
          <w:rFonts w:ascii="Times New Roman" w:hAnsi="Times New Roman"/>
          <w:color w:val="000000" w:themeColor="text1"/>
          <w:sz w:val="24"/>
          <w:szCs w:val="24"/>
        </w:rPr>
        <w:t xml:space="preserve">ligonucleotide </w:t>
      </w:r>
      <w:r w:rsidR="00585128" w:rsidRPr="009E72F4">
        <w:rPr>
          <w:rFonts w:ascii="Times New Roman" w:hAnsi="Times New Roman"/>
          <w:color w:val="000000" w:themeColor="text1"/>
          <w:sz w:val="24"/>
          <w:szCs w:val="24"/>
        </w:rPr>
        <w:t xml:space="preserve">QuantiGene </w:t>
      </w:r>
      <w:r w:rsidR="00A80FBE" w:rsidRPr="009E72F4">
        <w:rPr>
          <w:rFonts w:ascii="Times New Roman" w:hAnsi="Times New Roman"/>
          <w:color w:val="000000" w:themeColor="text1"/>
          <w:sz w:val="24"/>
          <w:szCs w:val="24"/>
        </w:rPr>
        <w:t>probeset designed by Affymetrix (Affymetrix, Santa Clara, CA</w:t>
      </w:r>
      <w:r w:rsidRPr="009E72F4">
        <w:rPr>
          <w:rFonts w:ascii="Times New Roman" w:hAnsi="Times New Roman"/>
          <w:color w:val="000000" w:themeColor="text1"/>
          <w:sz w:val="24"/>
          <w:szCs w:val="24"/>
        </w:rPr>
        <w:t>)</w:t>
      </w:r>
      <w:r w:rsidR="00A80FBE" w:rsidRPr="009E72F4">
        <w:rPr>
          <w:rFonts w:ascii="Times New Roman" w:hAnsi="Times New Roman"/>
          <w:color w:val="000000" w:themeColor="text1"/>
          <w:sz w:val="24"/>
          <w:szCs w:val="24"/>
        </w:rPr>
        <w:t xml:space="preserve"> </w:t>
      </w:r>
      <w:r w:rsidRPr="009E72F4">
        <w:rPr>
          <w:rFonts w:ascii="Times New Roman" w:hAnsi="Times New Roman"/>
          <w:color w:val="000000" w:themeColor="text1"/>
          <w:sz w:val="24"/>
          <w:szCs w:val="24"/>
        </w:rPr>
        <w:t xml:space="preserve">was used to detect immune activation. </w:t>
      </w:r>
      <w:r w:rsidR="00585128" w:rsidRPr="009E72F4">
        <w:rPr>
          <w:rFonts w:ascii="Times New Roman" w:hAnsi="Times New Roman"/>
          <w:color w:val="000000" w:themeColor="text1"/>
          <w:sz w:val="24"/>
          <w:szCs w:val="24"/>
        </w:rPr>
        <w:t>M</w:t>
      </w:r>
      <w:r w:rsidR="00A80FBE" w:rsidRPr="009E72F4">
        <w:rPr>
          <w:rFonts w:ascii="Times New Roman" w:hAnsi="Times New Roman"/>
          <w:color w:val="000000" w:themeColor="text1"/>
          <w:sz w:val="24"/>
          <w:szCs w:val="24"/>
        </w:rPr>
        <w:t xml:space="preserve">agnetic capture beads, the probesets, lysis mixture </w:t>
      </w:r>
      <w:r w:rsidRPr="009E72F4">
        <w:rPr>
          <w:rFonts w:ascii="Times New Roman" w:hAnsi="Times New Roman"/>
          <w:color w:val="000000" w:themeColor="text1"/>
          <w:sz w:val="24"/>
          <w:szCs w:val="24"/>
        </w:rPr>
        <w:t xml:space="preserve">were processed according to manufactures specifications.  </w:t>
      </w:r>
      <w:r w:rsidR="00A80FBE" w:rsidRPr="009E72F4">
        <w:rPr>
          <w:rFonts w:ascii="Times New Roman" w:hAnsi="Times New Roman"/>
          <w:color w:val="000000" w:themeColor="text1"/>
          <w:sz w:val="24"/>
          <w:szCs w:val="24"/>
        </w:rPr>
        <w:t xml:space="preserve">Beads were identified and level of Phycoerythrin was detected on the FLEXMAP 3D Luminex instrument (ThermoFisher, Waltham, MA). </w:t>
      </w:r>
      <w:r w:rsidRPr="009E72F4">
        <w:rPr>
          <w:rFonts w:ascii="Times New Roman" w:hAnsi="Times New Roman"/>
          <w:color w:val="000000" w:themeColor="text1"/>
          <w:sz w:val="24"/>
          <w:szCs w:val="24"/>
        </w:rPr>
        <w:t>Relative gene expression was calculated by normalizing adjusted net MFI to the geometric mean of housekeeping genes (HKG) (adjusted net MFI/geometric mean HKG MFI). Fold change for each gene was then determined compared with the control group. Statistical analysis of the mean fold change for each gene of each treatment group analyzed was then compared with control using ANOVA tests to determine the significance of the difference between groups. Data visualizations were done using TIBCO Spotfire software (Spotfire).</w:t>
      </w:r>
    </w:p>
    <w:p w14:paraId="05849E92" w14:textId="77777777" w:rsidR="00A80FBE" w:rsidRPr="009E72F4" w:rsidRDefault="00A80FBE" w:rsidP="001A6597">
      <w:pPr>
        <w:spacing w:after="0" w:line="480" w:lineRule="auto"/>
        <w:jc w:val="both"/>
        <w:textAlignment w:val="center"/>
        <w:rPr>
          <w:rFonts w:ascii="Times New Roman" w:hAnsi="Times New Roman"/>
          <w:b/>
          <w:iCs/>
          <w:sz w:val="24"/>
          <w:szCs w:val="24"/>
        </w:rPr>
      </w:pPr>
      <w:r w:rsidRPr="009E72F4">
        <w:rPr>
          <w:rFonts w:ascii="Times New Roman" w:hAnsi="Times New Roman"/>
          <w:b/>
          <w:iCs/>
          <w:sz w:val="24"/>
          <w:szCs w:val="24"/>
        </w:rPr>
        <w:t>nCounter gene expression analysis</w:t>
      </w:r>
      <w:r w:rsidR="00944285" w:rsidRPr="009E72F4">
        <w:rPr>
          <w:rFonts w:ascii="Times New Roman" w:hAnsi="Times New Roman"/>
          <w:b/>
          <w:iCs/>
          <w:sz w:val="24"/>
          <w:szCs w:val="24"/>
        </w:rPr>
        <w:t xml:space="preserve"> and pathway analysis </w:t>
      </w:r>
    </w:p>
    <w:p w14:paraId="68EE0F6C" w14:textId="77777777" w:rsidR="00240F0A" w:rsidRPr="009E72F4" w:rsidRDefault="00240F0A" w:rsidP="00CD4ACC">
      <w:pPr>
        <w:spacing w:after="240" w:line="480" w:lineRule="auto"/>
        <w:jc w:val="both"/>
        <w:textAlignment w:val="center"/>
        <w:rPr>
          <w:rFonts w:ascii="Times New Roman" w:hAnsi="Times New Roman"/>
          <w:sz w:val="24"/>
          <w:szCs w:val="24"/>
        </w:rPr>
      </w:pPr>
      <w:r w:rsidRPr="009E72F4">
        <w:rPr>
          <w:rFonts w:ascii="Times New Roman" w:hAnsi="Times New Roman"/>
          <w:sz w:val="24"/>
          <w:szCs w:val="24"/>
        </w:rPr>
        <w:t xml:space="preserve">For high-content gene expression analysis, total RNA (50-100 ng) was used from collected samples in the nCounter® assay (nanoString® Technologies, Seattle, WA) using mouse-specific nCounter® PanCancer Immune Profiling and Myeloid/Innate Immunity codesets to analyze MC38 and Colon26 tumors and human specific nCounter® PanCancer Immune Profiling codeset to analyze pemetrexed-treated primary human T cells . Samples were measured on nanoString Digital Analyzer.  The normalization and analysis of gene expression was performed with an internally-developed, automated workflow named ILAstring prior to ingenuity pathway analysis as describe previously (18).  Planned contrasts were performed to identify differentially expressed genes (DEGs) between the treatment groups and untreated controls </w:t>
      </w:r>
    </w:p>
    <w:p w14:paraId="3757982C" w14:textId="167E9A4C" w:rsidR="00A80FBE" w:rsidRPr="009E72F4" w:rsidRDefault="00160D29" w:rsidP="001A6597">
      <w:pPr>
        <w:spacing w:after="0" w:line="480" w:lineRule="auto"/>
        <w:jc w:val="both"/>
        <w:textAlignment w:val="center"/>
        <w:rPr>
          <w:rFonts w:ascii="Times New Roman" w:hAnsi="Times New Roman" w:cs="Times New Roman"/>
          <w:b/>
          <w:sz w:val="24"/>
          <w:szCs w:val="24"/>
        </w:rPr>
      </w:pPr>
      <w:r w:rsidRPr="009E72F4">
        <w:rPr>
          <w:rFonts w:ascii="Times New Roman" w:hAnsi="Times New Roman" w:cs="Times New Roman"/>
          <w:b/>
          <w:sz w:val="24"/>
          <w:szCs w:val="24"/>
        </w:rPr>
        <w:t>Quantification and statistical analysis</w:t>
      </w:r>
    </w:p>
    <w:p w14:paraId="24F01354" w14:textId="702EC305" w:rsidR="00CD4ACC" w:rsidRPr="009E72F4" w:rsidRDefault="00A80FBE" w:rsidP="009E72F4">
      <w:pPr>
        <w:spacing w:afterLines="200" w:after="480" w:line="480" w:lineRule="auto"/>
        <w:jc w:val="both"/>
        <w:textAlignment w:val="center"/>
        <w:rPr>
          <w:rFonts w:ascii="Times New Roman" w:hAnsi="Times New Roman" w:cs="Times New Roman"/>
          <w:sz w:val="24"/>
          <w:szCs w:val="24"/>
        </w:rPr>
      </w:pPr>
      <w:r w:rsidRPr="009E72F4">
        <w:rPr>
          <w:rFonts w:ascii="Times New Roman" w:hAnsi="Times New Roman" w:cs="Times New Roman"/>
          <w:sz w:val="24"/>
          <w:szCs w:val="24"/>
        </w:rPr>
        <w:t>Group wise statistical comparisons were performed as indicated in each figure using standard paired T tests, one</w:t>
      </w:r>
      <w:r w:rsidR="00585128" w:rsidRPr="009E72F4">
        <w:rPr>
          <w:rFonts w:ascii="Times New Roman" w:hAnsi="Times New Roman" w:cs="Times New Roman"/>
          <w:sz w:val="24"/>
          <w:szCs w:val="24"/>
        </w:rPr>
        <w:t>-</w:t>
      </w:r>
      <w:r w:rsidRPr="009E72F4">
        <w:rPr>
          <w:rFonts w:ascii="Times New Roman" w:hAnsi="Times New Roman" w:cs="Times New Roman"/>
          <w:sz w:val="24"/>
          <w:szCs w:val="24"/>
        </w:rPr>
        <w:t xml:space="preserve">way </w:t>
      </w:r>
      <w:r w:rsidR="002D0EC9" w:rsidRPr="009E72F4">
        <w:rPr>
          <w:rFonts w:ascii="Times New Roman" w:hAnsi="Times New Roman" w:cs="Times New Roman"/>
          <w:sz w:val="24"/>
          <w:szCs w:val="24"/>
        </w:rPr>
        <w:t>ANOVA</w:t>
      </w:r>
      <w:r w:rsidRPr="009E72F4">
        <w:rPr>
          <w:rFonts w:ascii="Times New Roman" w:hAnsi="Times New Roman" w:cs="Times New Roman"/>
          <w:sz w:val="24"/>
          <w:szCs w:val="24"/>
        </w:rPr>
        <w:t xml:space="preserve">, or </w:t>
      </w:r>
      <w:r w:rsidRPr="009E72F4">
        <w:rPr>
          <w:rFonts w:ascii="Times New Roman" w:eastAsia="Times New Roman" w:hAnsi="Times New Roman" w:cs="Times New Roman"/>
          <w:sz w:val="24"/>
          <w:szCs w:val="24"/>
        </w:rPr>
        <w:t xml:space="preserve">two-way </w:t>
      </w:r>
      <w:r w:rsidR="002D0EC9" w:rsidRPr="009E72F4">
        <w:rPr>
          <w:rFonts w:ascii="Times New Roman" w:eastAsia="Times New Roman" w:hAnsi="Times New Roman" w:cs="Times New Roman"/>
          <w:sz w:val="24"/>
          <w:szCs w:val="24"/>
        </w:rPr>
        <w:t xml:space="preserve">ANOVA </w:t>
      </w:r>
      <w:r w:rsidRPr="009E72F4">
        <w:rPr>
          <w:rFonts w:ascii="Times New Roman" w:eastAsia="Times New Roman" w:hAnsi="Times New Roman" w:cs="Times New Roman"/>
          <w:sz w:val="24"/>
          <w:szCs w:val="24"/>
        </w:rPr>
        <w:t xml:space="preserve">models with Tukey’s adjustment per time point, </w:t>
      </w:r>
      <w:r w:rsidRPr="009E72F4">
        <w:rPr>
          <w:rFonts w:ascii="Times New Roman" w:hAnsi="Times New Roman" w:cs="Times New Roman"/>
          <w:sz w:val="24"/>
          <w:szCs w:val="24"/>
        </w:rPr>
        <w:t xml:space="preserve"> comparing </w:t>
      </w:r>
      <w:r w:rsidR="009E72F4" w:rsidRPr="009E72F4">
        <w:rPr>
          <w:rFonts w:ascii="Times New Roman" w:eastAsia="Times New Roman" w:hAnsi="Times New Roman" w:cs="Times New Roman"/>
          <w:sz w:val="24"/>
          <w:szCs w:val="24"/>
        </w:rPr>
        <w:t xml:space="preserve">treatment/dose and time point. </w:t>
      </w:r>
    </w:p>
    <w:sectPr w:rsidR="00CD4ACC" w:rsidRPr="009E72F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99C02" w14:textId="77777777" w:rsidR="004330A7" w:rsidRDefault="004330A7" w:rsidP="008E2E68">
      <w:pPr>
        <w:spacing w:after="0" w:line="240" w:lineRule="auto"/>
      </w:pPr>
      <w:r>
        <w:separator/>
      </w:r>
    </w:p>
  </w:endnote>
  <w:endnote w:type="continuationSeparator" w:id="0">
    <w:p w14:paraId="22678675" w14:textId="77777777" w:rsidR="004330A7" w:rsidRDefault="004330A7" w:rsidP="008E2E68">
      <w:pPr>
        <w:spacing w:after="0" w:line="240" w:lineRule="auto"/>
      </w:pPr>
      <w:r>
        <w:continuationSeparator/>
      </w:r>
    </w:p>
  </w:endnote>
  <w:endnote w:type="continuationNotice" w:id="1">
    <w:p w14:paraId="629B1500" w14:textId="77777777" w:rsidR="004330A7" w:rsidRDefault="00433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Symbol Std 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79642"/>
      <w:docPartObj>
        <w:docPartGallery w:val="Page Numbers (Bottom of Page)"/>
        <w:docPartUnique/>
      </w:docPartObj>
    </w:sdtPr>
    <w:sdtEndPr>
      <w:rPr>
        <w:noProof/>
      </w:rPr>
    </w:sdtEndPr>
    <w:sdtContent>
      <w:p w14:paraId="34443629" w14:textId="1D61348E" w:rsidR="00733757" w:rsidRDefault="00733757">
        <w:pPr>
          <w:pStyle w:val="Footer"/>
          <w:jc w:val="right"/>
        </w:pPr>
        <w:r>
          <w:fldChar w:fldCharType="begin"/>
        </w:r>
        <w:r>
          <w:instrText xml:space="preserve"> PAGE   \* MERGEFORMAT </w:instrText>
        </w:r>
        <w:r>
          <w:fldChar w:fldCharType="separate"/>
        </w:r>
        <w:r w:rsidR="009E72F4">
          <w:rPr>
            <w:noProof/>
          </w:rPr>
          <w:t>1</w:t>
        </w:r>
        <w:r>
          <w:rPr>
            <w:noProof/>
          </w:rPr>
          <w:fldChar w:fldCharType="end"/>
        </w:r>
      </w:p>
    </w:sdtContent>
  </w:sdt>
  <w:p w14:paraId="4D29C676" w14:textId="77777777" w:rsidR="00733757" w:rsidRDefault="00733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3302C" w14:textId="77777777" w:rsidR="004330A7" w:rsidRDefault="004330A7" w:rsidP="008E2E68">
      <w:pPr>
        <w:spacing w:after="0" w:line="240" w:lineRule="auto"/>
      </w:pPr>
      <w:r>
        <w:separator/>
      </w:r>
    </w:p>
  </w:footnote>
  <w:footnote w:type="continuationSeparator" w:id="0">
    <w:p w14:paraId="18A48782" w14:textId="77777777" w:rsidR="004330A7" w:rsidRDefault="004330A7" w:rsidP="008E2E68">
      <w:pPr>
        <w:spacing w:after="0" w:line="240" w:lineRule="auto"/>
      </w:pPr>
      <w:r>
        <w:continuationSeparator/>
      </w:r>
    </w:p>
  </w:footnote>
  <w:footnote w:type="continuationNotice" w:id="1">
    <w:p w14:paraId="476895D8" w14:textId="77777777" w:rsidR="004330A7" w:rsidRDefault="004330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E5A9" w14:textId="6E9BC7E8" w:rsidR="00803539" w:rsidRPr="008E2E68" w:rsidRDefault="00803539">
    <w:pPr>
      <w:pStyle w:val="Header"/>
      <w:rPr>
        <w:i/>
      </w:rPr>
    </w:pPr>
    <w:r w:rsidRPr="008E2E68">
      <w:rPr>
        <w:i/>
      </w:rPr>
      <w:t xml:space="preserve">Schaer &amp; Geeganage </w:t>
    </w:r>
    <w:r w:rsidR="00407F2F">
      <w:rPr>
        <w:i/>
      </w:rPr>
      <w:t>2019</w:t>
    </w:r>
  </w:p>
  <w:p w14:paraId="12624BA8" w14:textId="77777777" w:rsidR="00803539" w:rsidRPr="008E2E68" w:rsidRDefault="00803539">
    <w:pPr>
      <w:pStyle w:val="Header"/>
      <w:rPr>
        <w:i/>
      </w:rPr>
    </w:pPr>
    <w:r w:rsidRPr="008E2E68">
      <w:rPr>
        <w:i/>
      </w:rPr>
      <w:t>Immun</w:t>
    </w:r>
    <w:r>
      <w:rPr>
        <w:i/>
      </w:rPr>
      <w:t>omodulatory</w:t>
    </w:r>
    <w:r w:rsidRPr="008E2E68">
      <w:rPr>
        <w:i/>
      </w:rPr>
      <w:t xml:space="preserve"> effects of </w:t>
    </w:r>
    <w:r>
      <w:rPr>
        <w:i/>
      </w:rPr>
      <w:t>p</w:t>
    </w:r>
    <w:r w:rsidRPr="008E2E68">
      <w:rPr>
        <w:i/>
      </w:rPr>
      <w:t xml:space="preserve">emetrexed </w:t>
    </w: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4070"/>
    <w:multiLevelType w:val="hybridMultilevel"/>
    <w:tmpl w:val="F90C09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C0FD3"/>
    <w:multiLevelType w:val="hybridMultilevel"/>
    <w:tmpl w:val="20E2F378"/>
    <w:lvl w:ilvl="0" w:tplc="358000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E4E86"/>
    <w:multiLevelType w:val="hybridMultilevel"/>
    <w:tmpl w:val="2F88CE68"/>
    <w:lvl w:ilvl="0" w:tplc="04090013">
      <w:start w:val="1"/>
      <w:numFmt w:val="upperRoman"/>
      <w:lvlText w:val="%1."/>
      <w:lvlJc w:val="right"/>
      <w:pPr>
        <w:ind w:left="720" w:hanging="360"/>
      </w:pPr>
    </w:lvl>
    <w:lvl w:ilvl="1" w:tplc="19E49994">
      <w:start w:val="1"/>
      <w:numFmt w:val="upperLetter"/>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10CF0"/>
    <w:multiLevelType w:val="hybridMultilevel"/>
    <w:tmpl w:val="719C074C"/>
    <w:lvl w:ilvl="0" w:tplc="21ECA37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C2B34"/>
    <w:multiLevelType w:val="multilevel"/>
    <w:tmpl w:val="B16028D0"/>
    <w:styleLink w:val="TumorExp"/>
    <w:lvl w:ilvl="0">
      <w:start w:val="1"/>
      <w:numFmt w:val="none"/>
      <w:suff w:val="space"/>
      <w:lvlText w:val="Date:"/>
      <w:lvlJc w:val="left"/>
      <w:pPr>
        <w:ind w:left="360" w:hanging="360"/>
      </w:pPr>
      <w:rPr>
        <w:rFonts w:hint="default"/>
        <w:b/>
        <w:i/>
      </w:rPr>
    </w:lvl>
    <w:lvl w:ilvl="1">
      <w:start w:val="1"/>
      <w:numFmt w:val="none"/>
      <w:suff w:val="space"/>
      <w:lvlText w:val="Exp Goal:"/>
      <w:lvlJc w:val="left"/>
      <w:pPr>
        <w:ind w:left="360" w:hanging="360"/>
      </w:pPr>
      <w:rPr>
        <w:rFonts w:hint="default"/>
        <w:b/>
        <w:i/>
      </w:rPr>
    </w:lvl>
    <w:lvl w:ilvl="2">
      <w:start w:val="1"/>
      <w:numFmt w:val="none"/>
      <w:suff w:val="space"/>
      <w:lvlText w:val="Groups:"/>
      <w:lvlJc w:val="left"/>
      <w:pPr>
        <w:ind w:left="360" w:hanging="360"/>
      </w:pPr>
      <w:rPr>
        <w:rFonts w:hint="default"/>
        <w:b/>
        <w:i/>
      </w:rPr>
    </w:lvl>
    <w:lvl w:ilvl="3">
      <w:start w:val="1"/>
      <w:numFmt w:val="decimal"/>
      <w:suff w:val="space"/>
      <w:lvlText w:val="%4)"/>
      <w:lvlJc w:val="left"/>
      <w:pPr>
        <w:ind w:left="360" w:firstLine="0"/>
      </w:pPr>
      <w:rPr>
        <w:rFonts w:hint="default"/>
      </w:rPr>
    </w:lvl>
    <w:lvl w:ilvl="4">
      <w:start w:val="1"/>
      <w:numFmt w:val="none"/>
      <w:suff w:val="space"/>
      <w:lvlText w:val="Procedure:"/>
      <w:lvlJc w:val="left"/>
      <w:pPr>
        <w:ind w:left="360" w:hanging="360"/>
      </w:pPr>
      <w:rPr>
        <w:rFonts w:hint="default"/>
        <w:b/>
        <w:i/>
      </w:rPr>
    </w:lvl>
    <w:lvl w:ilvl="5">
      <w:start w:val="1"/>
      <w:numFmt w:val="decimal"/>
      <w:suff w:val="space"/>
      <w:lvlText w:val="%6)"/>
      <w:lvlJc w:val="left"/>
      <w:pPr>
        <w:ind w:left="360" w:firstLine="0"/>
      </w:pPr>
      <w:rPr>
        <w:rFonts w:hint="default"/>
      </w:rPr>
    </w:lvl>
    <w:lvl w:ilvl="6">
      <w:start w:val="1"/>
      <w:numFmt w:val="none"/>
      <w:suff w:val="space"/>
      <w:lvlText w:val="Methods:"/>
      <w:lvlJc w:val="left"/>
      <w:pPr>
        <w:ind w:left="360" w:hanging="360"/>
      </w:pPr>
      <w:rPr>
        <w:rFonts w:hint="default"/>
        <w:b/>
        <w:i/>
      </w:rPr>
    </w:lvl>
    <w:lvl w:ilvl="7">
      <w:start w:val="1"/>
      <w:numFmt w:val="bullet"/>
      <w:lvlText w:val=""/>
      <w:lvlJc w:val="left"/>
      <w:pPr>
        <w:ind w:left="360" w:hanging="360"/>
      </w:pPr>
      <w:rPr>
        <w:rFonts w:ascii="Symbol" w:hAnsi="Symbol" w:hint="default"/>
        <w:color w:val="auto"/>
      </w:rPr>
    </w:lvl>
    <w:lvl w:ilvl="8">
      <w:start w:val="1"/>
      <w:numFmt w:val="bullet"/>
      <w:lvlText w:val=""/>
      <w:lvlJc w:val="left"/>
      <w:pPr>
        <w:ind w:left="360" w:hanging="360"/>
      </w:pPr>
      <w:rPr>
        <w:rFonts w:ascii="Symbol" w:hAnsi="Symbol" w:hint="default"/>
      </w:rPr>
    </w:lvl>
  </w:abstractNum>
  <w:abstractNum w:abstractNumId="5" w15:restartNumberingAfterBreak="0">
    <w:nsid w:val="2ED1473C"/>
    <w:multiLevelType w:val="hybridMultilevel"/>
    <w:tmpl w:val="2F88CE68"/>
    <w:lvl w:ilvl="0" w:tplc="04090013">
      <w:start w:val="1"/>
      <w:numFmt w:val="upperRoman"/>
      <w:lvlText w:val="%1."/>
      <w:lvlJc w:val="right"/>
      <w:pPr>
        <w:ind w:left="720" w:hanging="360"/>
      </w:pPr>
    </w:lvl>
    <w:lvl w:ilvl="1" w:tplc="19E49994">
      <w:start w:val="1"/>
      <w:numFmt w:val="upperLetter"/>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740B5"/>
    <w:multiLevelType w:val="multilevel"/>
    <w:tmpl w:val="198087BE"/>
    <w:styleLink w:val="MouseExpPlanning"/>
    <w:lvl w:ilvl="0">
      <w:start w:val="1"/>
      <w:numFmt w:val="none"/>
      <w:suff w:val="space"/>
      <w:lvlText w:val="Date:"/>
      <w:lvlJc w:val="left"/>
      <w:pPr>
        <w:ind w:left="360" w:hanging="360"/>
      </w:pPr>
      <w:rPr>
        <w:rFonts w:hint="default"/>
      </w:rPr>
    </w:lvl>
    <w:lvl w:ilvl="1">
      <w:start w:val="1"/>
      <w:numFmt w:val="none"/>
      <w:lvlText w:val="Exp Goal"/>
      <w:lvlJc w:val="left"/>
      <w:pPr>
        <w:ind w:left="360" w:hanging="360"/>
      </w:pPr>
      <w:rPr>
        <w:rFonts w:hint="default"/>
      </w:rPr>
    </w:lvl>
    <w:lvl w:ilvl="2">
      <w:start w:val="1"/>
      <w:numFmt w:val="none"/>
      <w:lvlText w:val="Groups:"/>
      <w:lvlJc w:val="left"/>
      <w:pPr>
        <w:ind w:left="360" w:hanging="360"/>
      </w:pPr>
      <w:rPr>
        <w:rFonts w:hint="default"/>
      </w:rPr>
    </w:lvl>
    <w:lvl w:ilvl="3">
      <w:start w:val="1"/>
      <w:numFmt w:val="none"/>
      <w:lvlText w:val="Methods:"/>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 w15:restartNumberingAfterBreak="0">
    <w:nsid w:val="4634741D"/>
    <w:multiLevelType w:val="hybridMultilevel"/>
    <w:tmpl w:val="CEFAD72A"/>
    <w:lvl w:ilvl="0" w:tplc="0F5A51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F021B"/>
    <w:multiLevelType w:val="hybridMultilevel"/>
    <w:tmpl w:val="2F88CE68"/>
    <w:lvl w:ilvl="0" w:tplc="04090013">
      <w:start w:val="1"/>
      <w:numFmt w:val="upperRoman"/>
      <w:lvlText w:val="%1."/>
      <w:lvlJc w:val="right"/>
      <w:pPr>
        <w:ind w:left="720" w:hanging="360"/>
      </w:pPr>
    </w:lvl>
    <w:lvl w:ilvl="1" w:tplc="19E49994">
      <w:start w:val="1"/>
      <w:numFmt w:val="upperLetter"/>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6369E"/>
    <w:multiLevelType w:val="hybridMultilevel"/>
    <w:tmpl w:val="05B8A576"/>
    <w:lvl w:ilvl="0" w:tplc="4E023C34">
      <w:start w:val="1"/>
      <w:numFmt w:val="bullet"/>
      <w:lvlText w:val=""/>
      <w:lvlJc w:val="left"/>
      <w:pPr>
        <w:tabs>
          <w:tab w:val="num" w:pos="720"/>
        </w:tabs>
        <w:ind w:left="720" w:hanging="360"/>
      </w:pPr>
      <w:rPr>
        <w:rFonts w:ascii="Wingdings" w:hAnsi="Wingdings" w:hint="default"/>
      </w:rPr>
    </w:lvl>
    <w:lvl w:ilvl="1" w:tplc="00B6AF26" w:tentative="1">
      <w:start w:val="1"/>
      <w:numFmt w:val="bullet"/>
      <w:lvlText w:val=""/>
      <w:lvlJc w:val="left"/>
      <w:pPr>
        <w:tabs>
          <w:tab w:val="num" w:pos="1440"/>
        </w:tabs>
        <w:ind w:left="1440" w:hanging="360"/>
      </w:pPr>
      <w:rPr>
        <w:rFonts w:ascii="Wingdings" w:hAnsi="Wingdings" w:hint="default"/>
      </w:rPr>
    </w:lvl>
    <w:lvl w:ilvl="2" w:tplc="E4A05852" w:tentative="1">
      <w:start w:val="1"/>
      <w:numFmt w:val="bullet"/>
      <w:lvlText w:val=""/>
      <w:lvlJc w:val="left"/>
      <w:pPr>
        <w:tabs>
          <w:tab w:val="num" w:pos="2160"/>
        </w:tabs>
        <w:ind w:left="2160" w:hanging="360"/>
      </w:pPr>
      <w:rPr>
        <w:rFonts w:ascii="Wingdings" w:hAnsi="Wingdings" w:hint="default"/>
      </w:rPr>
    </w:lvl>
    <w:lvl w:ilvl="3" w:tplc="93686CD2" w:tentative="1">
      <w:start w:val="1"/>
      <w:numFmt w:val="bullet"/>
      <w:lvlText w:val=""/>
      <w:lvlJc w:val="left"/>
      <w:pPr>
        <w:tabs>
          <w:tab w:val="num" w:pos="2880"/>
        </w:tabs>
        <w:ind w:left="2880" w:hanging="360"/>
      </w:pPr>
      <w:rPr>
        <w:rFonts w:ascii="Wingdings" w:hAnsi="Wingdings" w:hint="default"/>
      </w:rPr>
    </w:lvl>
    <w:lvl w:ilvl="4" w:tplc="2BE8AF12" w:tentative="1">
      <w:start w:val="1"/>
      <w:numFmt w:val="bullet"/>
      <w:lvlText w:val=""/>
      <w:lvlJc w:val="left"/>
      <w:pPr>
        <w:tabs>
          <w:tab w:val="num" w:pos="3600"/>
        </w:tabs>
        <w:ind w:left="3600" w:hanging="360"/>
      </w:pPr>
      <w:rPr>
        <w:rFonts w:ascii="Wingdings" w:hAnsi="Wingdings" w:hint="default"/>
      </w:rPr>
    </w:lvl>
    <w:lvl w:ilvl="5" w:tplc="D6062E06" w:tentative="1">
      <w:start w:val="1"/>
      <w:numFmt w:val="bullet"/>
      <w:lvlText w:val=""/>
      <w:lvlJc w:val="left"/>
      <w:pPr>
        <w:tabs>
          <w:tab w:val="num" w:pos="4320"/>
        </w:tabs>
        <w:ind w:left="4320" w:hanging="360"/>
      </w:pPr>
      <w:rPr>
        <w:rFonts w:ascii="Wingdings" w:hAnsi="Wingdings" w:hint="default"/>
      </w:rPr>
    </w:lvl>
    <w:lvl w:ilvl="6" w:tplc="0728C7B2" w:tentative="1">
      <w:start w:val="1"/>
      <w:numFmt w:val="bullet"/>
      <w:lvlText w:val=""/>
      <w:lvlJc w:val="left"/>
      <w:pPr>
        <w:tabs>
          <w:tab w:val="num" w:pos="5040"/>
        </w:tabs>
        <w:ind w:left="5040" w:hanging="360"/>
      </w:pPr>
      <w:rPr>
        <w:rFonts w:ascii="Wingdings" w:hAnsi="Wingdings" w:hint="default"/>
      </w:rPr>
    </w:lvl>
    <w:lvl w:ilvl="7" w:tplc="98CA081C" w:tentative="1">
      <w:start w:val="1"/>
      <w:numFmt w:val="bullet"/>
      <w:lvlText w:val=""/>
      <w:lvlJc w:val="left"/>
      <w:pPr>
        <w:tabs>
          <w:tab w:val="num" w:pos="5760"/>
        </w:tabs>
        <w:ind w:left="5760" w:hanging="360"/>
      </w:pPr>
      <w:rPr>
        <w:rFonts w:ascii="Wingdings" w:hAnsi="Wingdings" w:hint="default"/>
      </w:rPr>
    </w:lvl>
    <w:lvl w:ilvl="8" w:tplc="7A6A957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EA3B15"/>
    <w:multiLevelType w:val="hybridMultilevel"/>
    <w:tmpl w:val="0A547324"/>
    <w:lvl w:ilvl="0" w:tplc="6E226C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42740"/>
    <w:multiLevelType w:val="hybridMultilevel"/>
    <w:tmpl w:val="49C0B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4B6C8C"/>
    <w:multiLevelType w:val="hybridMultilevel"/>
    <w:tmpl w:val="2F88CE68"/>
    <w:lvl w:ilvl="0" w:tplc="04090013">
      <w:start w:val="1"/>
      <w:numFmt w:val="upperRoman"/>
      <w:lvlText w:val="%1."/>
      <w:lvlJc w:val="right"/>
      <w:pPr>
        <w:ind w:left="720" w:hanging="360"/>
      </w:pPr>
    </w:lvl>
    <w:lvl w:ilvl="1" w:tplc="19E49994">
      <w:start w:val="1"/>
      <w:numFmt w:val="upperLetter"/>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E4621"/>
    <w:multiLevelType w:val="hybridMultilevel"/>
    <w:tmpl w:val="B360F51E"/>
    <w:lvl w:ilvl="0" w:tplc="1F6E3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23C2B"/>
    <w:multiLevelType w:val="hybridMultilevel"/>
    <w:tmpl w:val="B57E4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466140"/>
    <w:multiLevelType w:val="hybridMultilevel"/>
    <w:tmpl w:val="22380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3"/>
  </w:num>
  <w:num w:numId="6">
    <w:abstractNumId w:val="9"/>
  </w:num>
  <w:num w:numId="7">
    <w:abstractNumId w:val="2"/>
  </w:num>
  <w:num w:numId="8">
    <w:abstractNumId w:val="8"/>
  </w:num>
  <w:num w:numId="9">
    <w:abstractNumId w:val="12"/>
  </w:num>
  <w:num w:numId="10">
    <w:abstractNumId w:val="7"/>
  </w:num>
  <w:num w:numId="11">
    <w:abstractNumId w:val="3"/>
  </w:num>
  <w:num w:numId="12">
    <w:abstractNumId w:val="15"/>
  </w:num>
  <w:num w:numId="13">
    <w:abstractNumId w:val="11"/>
  </w:num>
  <w:num w:numId="14">
    <w:abstractNumId w:val="1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tz0fddspvwtr5tedr25xzrvwa0ffzfzafdpa&quot;&gt;Schaer_Geeganage_  2019_CC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1&lt;/item&gt;&lt;item&gt;42&lt;/item&gt;&lt;item&gt;43&lt;/item&gt;&lt;item&gt;44&lt;/item&gt;&lt;item&gt;45&lt;/item&gt;&lt;item&gt;46&lt;/item&gt;&lt;/record-ids&gt;&lt;/item&gt;&lt;/Libraries&gt;"/>
  </w:docVars>
  <w:rsids>
    <w:rsidRoot w:val="008E2E68"/>
    <w:rsid w:val="0000022F"/>
    <w:rsid w:val="00000A8D"/>
    <w:rsid w:val="00000E1A"/>
    <w:rsid w:val="00005F12"/>
    <w:rsid w:val="000128BA"/>
    <w:rsid w:val="000172D7"/>
    <w:rsid w:val="000175D3"/>
    <w:rsid w:val="00017760"/>
    <w:rsid w:val="00020065"/>
    <w:rsid w:val="000201FA"/>
    <w:rsid w:val="000224A3"/>
    <w:rsid w:val="00022AED"/>
    <w:rsid w:val="000252FC"/>
    <w:rsid w:val="00030AB3"/>
    <w:rsid w:val="0003545C"/>
    <w:rsid w:val="000370D1"/>
    <w:rsid w:val="0003726D"/>
    <w:rsid w:val="00043CC6"/>
    <w:rsid w:val="000446B1"/>
    <w:rsid w:val="00045928"/>
    <w:rsid w:val="00045ADC"/>
    <w:rsid w:val="000465BB"/>
    <w:rsid w:val="00051BA6"/>
    <w:rsid w:val="000520EB"/>
    <w:rsid w:val="000549E6"/>
    <w:rsid w:val="000570AB"/>
    <w:rsid w:val="0005790C"/>
    <w:rsid w:val="00061180"/>
    <w:rsid w:val="00063999"/>
    <w:rsid w:val="00063BC2"/>
    <w:rsid w:val="00063FDC"/>
    <w:rsid w:val="000647FB"/>
    <w:rsid w:val="00067210"/>
    <w:rsid w:val="00067212"/>
    <w:rsid w:val="00072788"/>
    <w:rsid w:val="00074118"/>
    <w:rsid w:val="00074FF7"/>
    <w:rsid w:val="00076F18"/>
    <w:rsid w:val="0008007B"/>
    <w:rsid w:val="00080E2E"/>
    <w:rsid w:val="00083787"/>
    <w:rsid w:val="00083FEF"/>
    <w:rsid w:val="00085DF2"/>
    <w:rsid w:val="000929FA"/>
    <w:rsid w:val="000938A9"/>
    <w:rsid w:val="00095795"/>
    <w:rsid w:val="000A0866"/>
    <w:rsid w:val="000A138B"/>
    <w:rsid w:val="000A4516"/>
    <w:rsid w:val="000A4895"/>
    <w:rsid w:val="000A59CE"/>
    <w:rsid w:val="000A74A6"/>
    <w:rsid w:val="000B4B8F"/>
    <w:rsid w:val="000B5CC3"/>
    <w:rsid w:val="000B6889"/>
    <w:rsid w:val="000C1F95"/>
    <w:rsid w:val="000C24B8"/>
    <w:rsid w:val="000C3595"/>
    <w:rsid w:val="000D3597"/>
    <w:rsid w:val="000D6BEA"/>
    <w:rsid w:val="000D79DA"/>
    <w:rsid w:val="000E0057"/>
    <w:rsid w:val="000E2301"/>
    <w:rsid w:val="000E23E2"/>
    <w:rsid w:val="000E3A45"/>
    <w:rsid w:val="000E49FA"/>
    <w:rsid w:val="000E682B"/>
    <w:rsid w:val="000E7665"/>
    <w:rsid w:val="000F0545"/>
    <w:rsid w:val="000F0983"/>
    <w:rsid w:val="000F1A07"/>
    <w:rsid w:val="000F40C8"/>
    <w:rsid w:val="000F4A6E"/>
    <w:rsid w:val="000F54B6"/>
    <w:rsid w:val="000F5726"/>
    <w:rsid w:val="000F5B29"/>
    <w:rsid w:val="000F6675"/>
    <w:rsid w:val="00100432"/>
    <w:rsid w:val="00106D85"/>
    <w:rsid w:val="00106F84"/>
    <w:rsid w:val="00107A77"/>
    <w:rsid w:val="001133C1"/>
    <w:rsid w:val="00114808"/>
    <w:rsid w:val="00124C02"/>
    <w:rsid w:val="001325FA"/>
    <w:rsid w:val="00134742"/>
    <w:rsid w:val="001352B8"/>
    <w:rsid w:val="001377B6"/>
    <w:rsid w:val="00141C3F"/>
    <w:rsid w:val="001432FF"/>
    <w:rsid w:val="0014681C"/>
    <w:rsid w:val="0015283C"/>
    <w:rsid w:val="0015327D"/>
    <w:rsid w:val="00155E05"/>
    <w:rsid w:val="00157039"/>
    <w:rsid w:val="00160D29"/>
    <w:rsid w:val="001625AC"/>
    <w:rsid w:val="001700DD"/>
    <w:rsid w:val="001705FB"/>
    <w:rsid w:val="0017480C"/>
    <w:rsid w:val="001755D9"/>
    <w:rsid w:val="00175794"/>
    <w:rsid w:val="001772E3"/>
    <w:rsid w:val="00180346"/>
    <w:rsid w:val="001846D6"/>
    <w:rsid w:val="00186CCA"/>
    <w:rsid w:val="00186F5E"/>
    <w:rsid w:val="00191F20"/>
    <w:rsid w:val="00194409"/>
    <w:rsid w:val="0019651B"/>
    <w:rsid w:val="001A46C7"/>
    <w:rsid w:val="001A6597"/>
    <w:rsid w:val="001A7241"/>
    <w:rsid w:val="001B1D85"/>
    <w:rsid w:val="001C0426"/>
    <w:rsid w:val="001C06E0"/>
    <w:rsid w:val="001C1ED0"/>
    <w:rsid w:val="001C6CF0"/>
    <w:rsid w:val="001D36FE"/>
    <w:rsid w:val="001D3B56"/>
    <w:rsid w:val="001D5731"/>
    <w:rsid w:val="001D7DD2"/>
    <w:rsid w:val="001E2165"/>
    <w:rsid w:val="001E4D2F"/>
    <w:rsid w:val="001E542E"/>
    <w:rsid w:val="001E7A83"/>
    <w:rsid w:val="001F017F"/>
    <w:rsid w:val="001F1FF0"/>
    <w:rsid w:val="001F4F4D"/>
    <w:rsid w:val="002025A2"/>
    <w:rsid w:val="0020264F"/>
    <w:rsid w:val="00202DBD"/>
    <w:rsid w:val="002037A0"/>
    <w:rsid w:val="00203BB3"/>
    <w:rsid w:val="002140F2"/>
    <w:rsid w:val="002142CD"/>
    <w:rsid w:val="00217777"/>
    <w:rsid w:val="00217A78"/>
    <w:rsid w:val="00220227"/>
    <w:rsid w:val="002228A8"/>
    <w:rsid w:val="002260E0"/>
    <w:rsid w:val="00226335"/>
    <w:rsid w:val="00227B38"/>
    <w:rsid w:val="00231A73"/>
    <w:rsid w:val="002331DC"/>
    <w:rsid w:val="002338AC"/>
    <w:rsid w:val="00234E20"/>
    <w:rsid w:val="00237469"/>
    <w:rsid w:val="0024042B"/>
    <w:rsid w:val="00240F0A"/>
    <w:rsid w:val="00240F34"/>
    <w:rsid w:val="0024151D"/>
    <w:rsid w:val="00242228"/>
    <w:rsid w:val="00244970"/>
    <w:rsid w:val="002566E2"/>
    <w:rsid w:val="00256AF7"/>
    <w:rsid w:val="002630C7"/>
    <w:rsid w:val="00265553"/>
    <w:rsid w:val="00265CA2"/>
    <w:rsid w:val="00266C5A"/>
    <w:rsid w:val="002675DD"/>
    <w:rsid w:val="002720E6"/>
    <w:rsid w:val="00276525"/>
    <w:rsid w:val="002774C8"/>
    <w:rsid w:val="00277837"/>
    <w:rsid w:val="00277884"/>
    <w:rsid w:val="00281420"/>
    <w:rsid w:val="00282C32"/>
    <w:rsid w:val="00285C9E"/>
    <w:rsid w:val="002923C5"/>
    <w:rsid w:val="002925D6"/>
    <w:rsid w:val="002926F7"/>
    <w:rsid w:val="00294105"/>
    <w:rsid w:val="00297B7D"/>
    <w:rsid w:val="002A05F1"/>
    <w:rsid w:val="002A10C3"/>
    <w:rsid w:val="002A31D6"/>
    <w:rsid w:val="002A34CF"/>
    <w:rsid w:val="002A5A1C"/>
    <w:rsid w:val="002A6284"/>
    <w:rsid w:val="002B069A"/>
    <w:rsid w:val="002B0F06"/>
    <w:rsid w:val="002B1F81"/>
    <w:rsid w:val="002B3779"/>
    <w:rsid w:val="002B3D67"/>
    <w:rsid w:val="002B3F12"/>
    <w:rsid w:val="002C2D77"/>
    <w:rsid w:val="002C4F1E"/>
    <w:rsid w:val="002D0EC9"/>
    <w:rsid w:val="002D40D1"/>
    <w:rsid w:val="002D630D"/>
    <w:rsid w:val="002D6F8D"/>
    <w:rsid w:val="002D76DD"/>
    <w:rsid w:val="002D7D61"/>
    <w:rsid w:val="002E0B75"/>
    <w:rsid w:val="002E180B"/>
    <w:rsid w:val="002E23D4"/>
    <w:rsid w:val="002E3169"/>
    <w:rsid w:val="002E420A"/>
    <w:rsid w:val="002E50E9"/>
    <w:rsid w:val="002E5B32"/>
    <w:rsid w:val="002E6341"/>
    <w:rsid w:val="002E7B95"/>
    <w:rsid w:val="002F0690"/>
    <w:rsid w:val="002F1600"/>
    <w:rsid w:val="002F3320"/>
    <w:rsid w:val="002F34DE"/>
    <w:rsid w:val="002F572F"/>
    <w:rsid w:val="002F7918"/>
    <w:rsid w:val="002F79B9"/>
    <w:rsid w:val="003020AD"/>
    <w:rsid w:val="00302ED9"/>
    <w:rsid w:val="0030372E"/>
    <w:rsid w:val="00304E5E"/>
    <w:rsid w:val="0030738E"/>
    <w:rsid w:val="00310679"/>
    <w:rsid w:val="00314861"/>
    <w:rsid w:val="00320F29"/>
    <w:rsid w:val="00322302"/>
    <w:rsid w:val="0032262B"/>
    <w:rsid w:val="003232AD"/>
    <w:rsid w:val="00326F48"/>
    <w:rsid w:val="00326FBE"/>
    <w:rsid w:val="0033003D"/>
    <w:rsid w:val="00331D15"/>
    <w:rsid w:val="003326D9"/>
    <w:rsid w:val="00333233"/>
    <w:rsid w:val="0033727F"/>
    <w:rsid w:val="003410FA"/>
    <w:rsid w:val="00341F17"/>
    <w:rsid w:val="00344B4A"/>
    <w:rsid w:val="00345BE2"/>
    <w:rsid w:val="00347E17"/>
    <w:rsid w:val="00350A1B"/>
    <w:rsid w:val="003554F7"/>
    <w:rsid w:val="00356779"/>
    <w:rsid w:val="00356E66"/>
    <w:rsid w:val="003621F9"/>
    <w:rsid w:val="0036377E"/>
    <w:rsid w:val="00363E4A"/>
    <w:rsid w:val="00364907"/>
    <w:rsid w:val="003650F7"/>
    <w:rsid w:val="003653CE"/>
    <w:rsid w:val="003662D4"/>
    <w:rsid w:val="00366514"/>
    <w:rsid w:val="00370D0D"/>
    <w:rsid w:val="00370D29"/>
    <w:rsid w:val="003723F6"/>
    <w:rsid w:val="003767B6"/>
    <w:rsid w:val="00382D9A"/>
    <w:rsid w:val="00386487"/>
    <w:rsid w:val="0038739B"/>
    <w:rsid w:val="003921D9"/>
    <w:rsid w:val="00392201"/>
    <w:rsid w:val="00394726"/>
    <w:rsid w:val="00395715"/>
    <w:rsid w:val="00396310"/>
    <w:rsid w:val="003965E6"/>
    <w:rsid w:val="003A0419"/>
    <w:rsid w:val="003A049C"/>
    <w:rsid w:val="003A22AA"/>
    <w:rsid w:val="003A34EF"/>
    <w:rsid w:val="003A5586"/>
    <w:rsid w:val="003A69BD"/>
    <w:rsid w:val="003A750F"/>
    <w:rsid w:val="003A7513"/>
    <w:rsid w:val="003A7A74"/>
    <w:rsid w:val="003B0906"/>
    <w:rsid w:val="003B16F8"/>
    <w:rsid w:val="003B29E9"/>
    <w:rsid w:val="003B3976"/>
    <w:rsid w:val="003B3FA0"/>
    <w:rsid w:val="003B4133"/>
    <w:rsid w:val="003B5E8F"/>
    <w:rsid w:val="003C00F5"/>
    <w:rsid w:val="003C2884"/>
    <w:rsid w:val="003C2C33"/>
    <w:rsid w:val="003C594E"/>
    <w:rsid w:val="003C5B88"/>
    <w:rsid w:val="003C67CD"/>
    <w:rsid w:val="003C6AF7"/>
    <w:rsid w:val="003D5185"/>
    <w:rsid w:val="003D665E"/>
    <w:rsid w:val="003D7A6A"/>
    <w:rsid w:val="003E069D"/>
    <w:rsid w:val="003E3077"/>
    <w:rsid w:val="003E323E"/>
    <w:rsid w:val="003E4461"/>
    <w:rsid w:val="003F0820"/>
    <w:rsid w:val="003F0FD1"/>
    <w:rsid w:val="003F151E"/>
    <w:rsid w:val="003F243C"/>
    <w:rsid w:val="003F3EB9"/>
    <w:rsid w:val="003F5CC0"/>
    <w:rsid w:val="003F6056"/>
    <w:rsid w:val="003F635B"/>
    <w:rsid w:val="003F63A4"/>
    <w:rsid w:val="003F7ADD"/>
    <w:rsid w:val="0040379E"/>
    <w:rsid w:val="00404B6E"/>
    <w:rsid w:val="0040501B"/>
    <w:rsid w:val="00405FCB"/>
    <w:rsid w:val="00407F2F"/>
    <w:rsid w:val="00410A83"/>
    <w:rsid w:val="004135FB"/>
    <w:rsid w:val="004172CB"/>
    <w:rsid w:val="00421844"/>
    <w:rsid w:val="0042570B"/>
    <w:rsid w:val="0042598D"/>
    <w:rsid w:val="00425CB6"/>
    <w:rsid w:val="00425F16"/>
    <w:rsid w:val="00427162"/>
    <w:rsid w:val="00431649"/>
    <w:rsid w:val="004330A7"/>
    <w:rsid w:val="00434459"/>
    <w:rsid w:val="00434D7C"/>
    <w:rsid w:val="00436222"/>
    <w:rsid w:val="00437C4E"/>
    <w:rsid w:val="004411A5"/>
    <w:rsid w:val="00451E92"/>
    <w:rsid w:val="004537B7"/>
    <w:rsid w:val="004574DE"/>
    <w:rsid w:val="00460D08"/>
    <w:rsid w:val="00461E75"/>
    <w:rsid w:val="00462E02"/>
    <w:rsid w:val="00466D7A"/>
    <w:rsid w:val="00467C61"/>
    <w:rsid w:val="004732D0"/>
    <w:rsid w:val="004745E4"/>
    <w:rsid w:val="00477C50"/>
    <w:rsid w:val="00481359"/>
    <w:rsid w:val="004819AC"/>
    <w:rsid w:val="004838C6"/>
    <w:rsid w:val="00485252"/>
    <w:rsid w:val="0048725E"/>
    <w:rsid w:val="00490122"/>
    <w:rsid w:val="00490445"/>
    <w:rsid w:val="00492F94"/>
    <w:rsid w:val="00495DE1"/>
    <w:rsid w:val="00496EF3"/>
    <w:rsid w:val="004A23EF"/>
    <w:rsid w:val="004B0989"/>
    <w:rsid w:val="004B2D5D"/>
    <w:rsid w:val="004B6C13"/>
    <w:rsid w:val="004C0870"/>
    <w:rsid w:val="004C172B"/>
    <w:rsid w:val="004C265A"/>
    <w:rsid w:val="004C36A9"/>
    <w:rsid w:val="004C5DAA"/>
    <w:rsid w:val="004D1FEF"/>
    <w:rsid w:val="004D205C"/>
    <w:rsid w:val="004D211B"/>
    <w:rsid w:val="004D3215"/>
    <w:rsid w:val="004D36BA"/>
    <w:rsid w:val="004D37C0"/>
    <w:rsid w:val="004E1D58"/>
    <w:rsid w:val="004E4EB4"/>
    <w:rsid w:val="004E597D"/>
    <w:rsid w:val="004F38E1"/>
    <w:rsid w:val="004F3A71"/>
    <w:rsid w:val="004F491B"/>
    <w:rsid w:val="004F767A"/>
    <w:rsid w:val="0050163E"/>
    <w:rsid w:val="005046A0"/>
    <w:rsid w:val="00504B06"/>
    <w:rsid w:val="005061B1"/>
    <w:rsid w:val="00512852"/>
    <w:rsid w:val="00512A6C"/>
    <w:rsid w:val="00516ED6"/>
    <w:rsid w:val="00523000"/>
    <w:rsid w:val="00526032"/>
    <w:rsid w:val="0052617F"/>
    <w:rsid w:val="0052648D"/>
    <w:rsid w:val="005306F5"/>
    <w:rsid w:val="00532742"/>
    <w:rsid w:val="00532869"/>
    <w:rsid w:val="00532887"/>
    <w:rsid w:val="005335D8"/>
    <w:rsid w:val="00534FA9"/>
    <w:rsid w:val="0053609F"/>
    <w:rsid w:val="00542588"/>
    <w:rsid w:val="00545F9C"/>
    <w:rsid w:val="005469E3"/>
    <w:rsid w:val="0054702B"/>
    <w:rsid w:val="005470FE"/>
    <w:rsid w:val="0055176B"/>
    <w:rsid w:val="00555482"/>
    <w:rsid w:val="005558FB"/>
    <w:rsid w:val="0055733B"/>
    <w:rsid w:val="005618AA"/>
    <w:rsid w:val="00563460"/>
    <w:rsid w:val="00564DF9"/>
    <w:rsid w:val="005707B8"/>
    <w:rsid w:val="005720CA"/>
    <w:rsid w:val="005839BA"/>
    <w:rsid w:val="00585128"/>
    <w:rsid w:val="005852AD"/>
    <w:rsid w:val="005854C0"/>
    <w:rsid w:val="00587B1A"/>
    <w:rsid w:val="005901C4"/>
    <w:rsid w:val="00590512"/>
    <w:rsid w:val="0059171A"/>
    <w:rsid w:val="0059279F"/>
    <w:rsid w:val="00593B83"/>
    <w:rsid w:val="00594661"/>
    <w:rsid w:val="005947B8"/>
    <w:rsid w:val="00594EA1"/>
    <w:rsid w:val="005957DA"/>
    <w:rsid w:val="00595F8C"/>
    <w:rsid w:val="00597B56"/>
    <w:rsid w:val="005A244F"/>
    <w:rsid w:val="005A4FC4"/>
    <w:rsid w:val="005A53E4"/>
    <w:rsid w:val="005A5911"/>
    <w:rsid w:val="005A5F7B"/>
    <w:rsid w:val="005A603D"/>
    <w:rsid w:val="005A7816"/>
    <w:rsid w:val="005B34E0"/>
    <w:rsid w:val="005B3701"/>
    <w:rsid w:val="005C0247"/>
    <w:rsid w:val="005C20A2"/>
    <w:rsid w:val="005C32FB"/>
    <w:rsid w:val="005C3808"/>
    <w:rsid w:val="005C4CD7"/>
    <w:rsid w:val="005C75DF"/>
    <w:rsid w:val="005D149B"/>
    <w:rsid w:val="005D2B22"/>
    <w:rsid w:val="005D397F"/>
    <w:rsid w:val="005D3AF9"/>
    <w:rsid w:val="005D6885"/>
    <w:rsid w:val="005D6FDC"/>
    <w:rsid w:val="005E0509"/>
    <w:rsid w:val="005E0EA3"/>
    <w:rsid w:val="005E2DBB"/>
    <w:rsid w:val="005E2EB3"/>
    <w:rsid w:val="005E2F8E"/>
    <w:rsid w:val="005E76B3"/>
    <w:rsid w:val="005F22DB"/>
    <w:rsid w:val="005F5920"/>
    <w:rsid w:val="006005C9"/>
    <w:rsid w:val="00600EFD"/>
    <w:rsid w:val="00602E01"/>
    <w:rsid w:val="0060562E"/>
    <w:rsid w:val="006112BE"/>
    <w:rsid w:val="0061157E"/>
    <w:rsid w:val="00614540"/>
    <w:rsid w:val="00617833"/>
    <w:rsid w:val="00621457"/>
    <w:rsid w:val="0062293A"/>
    <w:rsid w:val="00625EC7"/>
    <w:rsid w:val="0062658B"/>
    <w:rsid w:val="00627BA7"/>
    <w:rsid w:val="00632EF1"/>
    <w:rsid w:val="006330E9"/>
    <w:rsid w:val="00633839"/>
    <w:rsid w:val="00633B69"/>
    <w:rsid w:val="0063547A"/>
    <w:rsid w:val="00640F86"/>
    <w:rsid w:val="00643913"/>
    <w:rsid w:val="00646AD2"/>
    <w:rsid w:val="006504BE"/>
    <w:rsid w:val="00651CEC"/>
    <w:rsid w:val="00653AE8"/>
    <w:rsid w:val="00654341"/>
    <w:rsid w:val="00657777"/>
    <w:rsid w:val="006625B3"/>
    <w:rsid w:val="00663A11"/>
    <w:rsid w:val="006646C9"/>
    <w:rsid w:val="00665543"/>
    <w:rsid w:val="006669FB"/>
    <w:rsid w:val="0067050B"/>
    <w:rsid w:val="0067286F"/>
    <w:rsid w:val="006864EF"/>
    <w:rsid w:val="00690039"/>
    <w:rsid w:val="00692F6C"/>
    <w:rsid w:val="00693752"/>
    <w:rsid w:val="0069622C"/>
    <w:rsid w:val="006976A9"/>
    <w:rsid w:val="006978B0"/>
    <w:rsid w:val="006A0E21"/>
    <w:rsid w:val="006A1500"/>
    <w:rsid w:val="006A379B"/>
    <w:rsid w:val="006B345B"/>
    <w:rsid w:val="006B6D3E"/>
    <w:rsid w:val="006C2B33"/>
    <w:rsid w:val="006C2F73"/>
    <w:rsid w:val="006C3152"/>
    <w:rsid w:val="006D1D25"/>
    <w:rsid w:val="006D247B"/>
    <w:rsid w:val="006D3354"/>
    <w:rsid w:val="006D5D45"/>
    <w:rsid w:val="006D70F9"/>
    <w:rsid w:val="006E5E88"/>
    <w:rsid w:val="006E6192"/>
    <w:rsid w:val="006F088B"/>
    <w:rsid w:val="006F1647"/>
    <w:rsid w:val="006F1D09"/>
    <w:rsid w:val="006F1E01"/>
    <w:rsid w:val="006F2033"/>
    <w:rsid w:val="006F415D"/>
    <w:rsid w:val="00701E70"/>
    <w:rsid w:val="00704209"/>
    <w:rsid w:val="00705DE8"/>
    <w:rsid w:val="00707431"/>
    <w:rsid w:val="00711BD4"/>
    <w:rsid w:val="007130DE"/>
    <w:rsid w:val="00723494"/>
    <w:rsid w:val="00724C94"/>
    <w:rsid w:val="00730818"/>
    <w:rsid w:val="00733275"/>
    <w:rsid w:val="00733757"/>
    <w:rsid w:val="00733927"/>
    <w:rsid w:val="00734808"/>
    <w:rsid w:val="007373FD"/>
    <w:rsid w:val="00737B98"/>
    <w:rsid w:val="0075204A"/>
    <w:rsid w:val="007534ED"/>
    <w:rsid w:val="00757A82"/>
    <w:rsid w:val="00760277"/>
    <w:rsid w:val="00763669"/>
    <w:rsid w:val="00766E95"/>
    <w:rsid w:val="00767C8F"/>
    <w:rsid w:val="00774230"/>
    <w:rsid w:val="00775502"/>
    <w:rsid w:val="00780422"/>
    <w:rsid w:val="00782135"/>
    <w:rsid w:val="00784746"/>
    <w:rsid w:val="00786657"/>
    <w:rsid w:val="00787551"/>
    <w:rsid w:val="0079218C"/>
    <w:rsid w:val="007930B4"/>
    <w:rsid w:val="00795A71"/>
    <w:rsid w:val="00796F0C"/>
    <w:rsid w:val="00797B63"/>
    <w:rsid w:val="007A089D"/>
    <w:rsid w:val="007A0B13"/>
    <w:rsid w:val="007A2BC6"/>
    <w:rsid w:val="007A2BE0"/>
    <w:rsid w:val="007A4AA6"/>
    <w:rsid w:val="007A67E7"/>
    <w:rsid w:val="007B1118"/>
    <w:rsid w:val="007B795B"/>
    <w:rsid w:val="007B7BA6"/>
    <w:rsid w:val="007B7FB2"/>
    <w:rsid w:val="007C083E"/>
    <w:rsid w:val="007C1292"/>
    <w:rsid w:val="007C354C"/>
    <w:rsid w:val="007D4709"/>
    <w:rsid w:val="007D5865"/>
    <w:rsid w:val="007D5BB7"/>
    <w:rsid w:val="007D608A"/>
    <w:rsid w:val="007D71B8"/>
    <w:rsid w:val="007D7DE3"/>
    <w:rsid w:val="007E1E4A"/>
    <w:rsid w:val="007E3338"/>
    <w:rsid w:val="007E51D5"/>
    <w:rsid w:val="007E7279"/>
    <w:rsid w:val="007F073B"/>
    <w:rsid w:val="007F16DD"/>
    <w:rsid w:val="007F223C"/>
    <w:rsid w:val="007F226C"/>
    <w:rsid w:val="007F3425"/>
    <w:rsid w:val="007F3BBD"/>
    <w:rsid w:val="007F4769"/>
    <w:rsid w:val="007F5A3C"/>
    <w:rsid w:val="007F654C"/>
    <w:rsid w:val="0080023B"/>
    <w:rsid w:val="008013C6"/>
    <w:rsid w:val="00802E18"/>
    <w:rsid w:val="008030EE"/>
    <w:rsid w:val="0080315B"/>
    <w:rsid w:val="00803539"/>
    <w:rsid w:val="00807FB1"/>
    <w:rsid w:val="00810F8B"/>
    <w:rsid w:val="00813344"/>
    <w:rsid w:val="0081697D"/>
    <w:rsid w:val="00823156"/>
    <w:rsid w:val="008240A6"/>
    <w:rsid w:val="00826C95"/>
    <w:rsid w:val="0083514E"/>
    <w:rsid w:val="008358E3"/>
    <w:rsid w:val="00836BC4"/>
    <w:rsid w:val="0084142F"/>
    <w:rsid w:val="00843A3E"/>
    <w:rsid w:val="00845BB5"/>
    <w:rsid w:val="00850F3D"/>
    <w:rsid w:val="00854CDF"/>
    <w:rsid w:val="00857177"/>
    <w:rsid w:val="008636CD"/>
    <w:rsid w:val="00863B1B"/>
    <w:rsid w:val="00864469"/>
    <w:rsid w:val="00866C14"/>
    <w:rsid w:val="0086761F"/>
    <w:rsid w:val="008716B0"/>
    <w:rsid w:val="0087453B"/>
    <w:rsid w:val="00875169"/>
    <w:rsid w:val="00875DC4"/>
    <w:rsid w:val="008766BA"/>
    <w:rsid w:val="008811FE"/>
    <w:rsid w:val="00882B12"/>
    <w:rsid w:val="00884811"/>
    <w:rsid w:val="00884BC6"/>
    <w:rsid w:val="00896224"/>
    <w:rsid w:val="0089659B"/>
    <w:rsid w:val="00897786"/>
    <w:rsid w:val="008A0469"/>
    <w:rsid w:val="008A175D"/>
    <w:rsid w:val="008A17DA"/>
    <w:rsid w:val="008A2A77"/>
    <w:rsid w:val="008A6F24"/>
    <w:rsid w:val="008B4BBE"/>
    <w:rsid w:val="008B6493"/>
    <w:rsid w:val="008C408B"/>
    <w:rsid w:val="008C41E2"/>
    <w:rsid w:val="008C7457"/>
    <w:rsid w:val="008D3926"/>
    <w:rsid w:val="008D709C"/>
    <w:rsid w:val="008D70B2"/>
    <w:rsid w:val="008D7584"/>
    <w:rsid w:val="008E2E68"/>
    <w:rsid w:val="008E64E7"/>
    <w:rsid w:val="008E7816"/>
    <w:rsid w:val="008F007B"/>
    <w:rsid w:val="008F03AC"/>
    <w:rsid w:val="008F0E02"/>
    <w:rsid w:val="008F1502"/>
    <w:rsid w:val="008F2CD2"/>
    <w:rsid w:val="008F3A51"/>
    <w:rsid w:val="008F41FC"/>
    <w:rsid w:val="008F65E8"/>
    <w:rsid w:val="008F76E0"/>
    <w:rsid w:val="00901184"/>
    <w:rsid w:val="00901CC0"/>
    <w:rsid w:val="00903174"/>
    <w:rsid w:val="00903269"/>
    <w:rsid w:val="00904B74"/>
    <w:rsid w:val="00905290"/>
    <w:rsid w:val="009125C8"/>
    <w:rsid w:val="00916DB7"/>
    <w:rsid w:val="009209DA"/>
    <w:rsid w:val="00921040"/>
    <w:rsid w:val="00925C92"/>
    <w:rsid w:val="00925CF7"/>
    <w:rsid w:val="00931214"/>
    <w:rsid w:val="00935076"/>
    <w:rsid w:val="009375A7"/>
    <w:rsid w:val="00940338"/>
    <w:rsid w:val="00944285"/>
    <w:rsid w:val="00951233"/>
    <w:rsid w:val="00954484"/>
    <w:rsid w:val="00954CF0"/>
    <w:rsid w:val="00957297"/>
    <w:rsid w:val="009604EA"/>
    <w:rsid w:val="00967D72"/>
    <w:rsid w:val="00971BD0"/>
    <w:rsid w:val="00974B0F"/>
    <w:rsid w:val="00974D50"/>
    <w:rsid w:val="009771B7"/>
    <w:rsid w:val="009774FF"/>
    <w:rsid w:val="009802C6"/>
    <w:rsid w:val="00980B59"/>
    <w:rsid w:val="0098361F"/>
    <w:rsid w:val="00986CE2"/>
    <w:rsid w:val="009905BB"/>
    <w:rsid w:val="00990DA0"/>
    <w:rsid w:val="0099130F"/>
    <w:rsid w:val="00991BF9"/>
    <w:rsid w:val="00992DD3"/>
    <w:rsid w:val="0099389C"/>
    <w:rsid w:val="0099564D"/>
    <w:rsid w:val="00996DA1"/>
    <w:rsid w:val="00996FD0"/>
    <w:rsid w:val="009A18C4"/>
    <w:rsid w:val="009A2250"/>
    <w:rsid w:val="009A570E"/>
    <w:rsid w:val="009B27FA"/>
    <w:rsid w:val="009B7846"/>
    <w:rsid w:val="009C2CDE"/>
    <w:rsid w:val="009C4916"/>
    <w:rsid w:val="009C5E24"/>
    <w:rsid w:val="009C6E2E"/>
    <w:rsid w:val="009C729C"/>
    <w:rsid w:val="009D0D32"/>
    <w:rsid w:val="009D3452"/>
    <w:rsid w:val="009E02BD"/>
    <w:rsid w:val="009E225C"/>
    <w:rsid w:val="009E26F4"/>
    <w:rsid w:val="009E6BE9"/>
    <w:rsid w:val="009E72F4"/>
    <w:rsid w:val="009F0A13"/>
    <w:rsid w:val="009F3393"/>
    <w:rsid w:val="009F4884"/>
    <w:rsid w:val="009F53F0"/>
    <w:rsid w:val="00A01C30"/>
    <w:rsid w:val="00A032B6"/>
    <w:rsid w:val="00A0548B"/>
    <w:rsid w:val="00A0657F"/>
    <w:rsid w:val="00A070A9"/>
    <w:rsid w:val="00A1155E"/>
    <w:rsid w:val="00A15DCD"/>
    <w:rsid w:val="00A2151D"/>
    <w:rsid w:val="00A220D4"/>
    <w:rsid w:val="00A23896"/>
    <w:rsid w:val="00A25EE8"/>
    <w:rsid w:val="00A32E57"/>
    <w:rsid w:val="00A36594"/>
    <w:rsid w:val="00A374A4"/>
    <w:rsid w:val="00A41765"/>
    <w:rsid w:val="00A4205C"/>
    <w:rsid w:val="00A47378"/>
    <w:rsid w:val="00A5210E"/>
    <w:rsid w:val="00A54126"/>
    <w:rsid w:val="00A54F59"/>
    <w:rsid w:val="00A604C5"/>
    <w:rsid w:val="00A6058F"/>
    <w:rsid w:val="00A60B49"/>
    <w:rsid w:val="00A642D5"/>
    <w:rsid w:val="00A647CD"/>
    <w:rsid w:val="00A64888"/>
    <w:rsid w:val="00A67C38"/>
    <w:rsid w:val="00A7056D"/>
    <w:rsid w:val="00A73EBD"/>
    <w:rsid w:val="00A74BFE"/>
    <w:rsid w:val="00A75B6F"/>
    <w:rsid w:val="00A80828"/>
    <w:rsid w:val="00A809CB"/>
    <w:rsid w:val="00A80FBE"/>
    <w:rsid w:val="00A83A7D"/>
    <w:rsid w:val="00A87D7D"/>
    <w:rsid w:val="00A91966"/>
    <w:rsid w:val="00A921F4"/>
    <w:rsid w:val="00A937B7"/>
    <w:rsid w:val="00A95F41"/>
    <w:rsid w:val="00AA36C5"/>
    <w:rsid w:val="00AB0781"/>
    <w:rsid w:val="00AB08A8"/>
    <w:rsid w:val="00AB1773"/>
    <w:rsid w:val="00AB25D6"/>
    <w:rsid w:val="00AB5621"/>
    <w:rsid w:val="00AC2D3F"/>
    <w:rsid w:val="00AC33F8"/>
    <w:rsid w:val="00AD6645"/>
    <w:rsid w:val="00AD6A39"/>
    <w:rsid w:val="00AE0127"/>
    <w:rsid w:val="00AE649A"/>
    <w:rsid w:val="00AE72A9"/>
    <w:rsid w:val="00AF13AA"/>
    <w:rsid w:val="00AF4F2A"/>
    <w:rsid w:val="00AF7EEC"/>
    <w:rsid w:val="00B008E3"/>
    <w:rsid w:val="00B03418"/>
    <w:rsid w:val="00B046D5"/>
    <w:rsid w:val="00B0493E"/>
    <w:rsid w:val="00B0694C"/>
    <w:rsid w:val="00B13970"/>
    <w:rsid w:val="00B1523F"/>
    <w:rsid w:val="00B15430"/>
    <w:rsid w:val="00B17771"/>
    <w:rsid w:val="00B207EF"/>
    <w:rsid w:val="00B22DCF"/>
    <w:rsid w:val="00B256DD"/>
    <w:rsid w:val="00B25766"/>
    <w:rsid w:val="00B271EA"/>
    <w:rsid w:val="00B306A5"/>
    <w:rsid w:val="00B342BB"/>
    <w:rsid w:val="00B34FDA"/>
    <w:rsid w:val="00B41379"/>
    <w:rsid w:val="00B41765"/>
    <w:rsid w:val="00B43646"/>
    <w:rsid w:val="00B448A6"/>
    <w:rsid w:val="00B46777"/>
    <w:rsid w:val="00B46E1E"/>
    <w:rsid w:val="00B51045"/>
    <w:rsid w:val="00B52FBE"/>
    <w:rsid w:val="00B5319E"/>
    <w:rsid w:val="00B558F4"/>
    <w:rsid w:val="00B55D80"/>
    <w:rsid w:val="00B600D0"/>
    <w:rsid w:val="00B606C8"/>
    <w:rsid w:val="00B633DE"/>
    <w:rsid w:val="00B6389C"/>
    <w:rsid w:val="00B717C5"/>
    <w:rsid w:val="00B721E8"/>
    <w:rsid w:val="00B729E3"/>
    <w:rsid w:val="00B7329F"/>
    <w:rsid w:val="00B74149"/>
    <w:rsid w:val="00B74777"/>
    <w:rsid w:val="00B76DC3"/>
    <w:rsid w:val="00B773E1"/>
    <w:rsid w:val="00B7779A"/>
    <w:rsid w:val="00B77D19"/>
    <w:rsid w:val="00B80806"/>
    <w:rsid w:val="00B82520"/>
    <w:rsid w:val="00B829E7"/>
    <w:rsid w:val="00B85B94"/>
    <w:rsid w:val="00B9067D"/>
    <w:rsid w:val="00B93AC0"/>
    <w:rsid w:val="00B973D9"/>
    <w:rsid w:val="00BA4B90"/>
    <w:rsid w:val="00BA53BE"/>
    <w:rsid w:val="00BB05A9"/>
    <w:rsid w:val="00BB1109"/>
    <w:rsid w:val="00BB116A"/>
    <w:rsid w:val="00BB428D"/>
    <w:rsid w:val="00BB5EDF"/>
    <w:rsid w:val="00BB64E8"/>
    <w:rsid w:val="00BB7936"/>
    <w:rsid w:val="00BC00CD"/>
    <w:rsid w:val="00BC3D0F"/>
    <w:rsid w:val="00BC433B"/>
    <w:rsid w:val="00BC44FD"/>
    <w:rsid w:val="00BC7F7E"/>
    <w:rsid w:val="00BD021B"/>
    <w:rsid w:val="00BD1B32"/>
    <w:rsid w:val="00BD433F"/>
    <w:rsid w:val="00BE556C"/>
    <w:rsid w:val="00BE5ED4"/>
    <w:rsid w:val="00BE667C"/>
    <w:rsid w:val="00BE74C5"/>
    <w:rsid w:val="00BF122E"/>
    <w:rsid w:val="00BF1D86"/>
    <w:rsid w:val="00BF2ACC"/>
    <w:rsid w:val="00BF35A7"/>
    <w:rsid w:val="00BF50B6"/>
    <w:rsid w:val="00BF5C92"/>
    <w:rsid w:val="00C0158C"/>
    <w:rsid w:val="00C01E18"/>
    <w:rsid w:val="00C02883"/>
    <w:rsid w:val="00C05949"/>
    <w:rsid w:val="00C07252"/>
    <w:rsid w:val="00C105E7"/>
    <w:rsid w:val="00C11219"/>
    <w:rsid w:val="00C1316A"/>
    <w:rsid w:val="00C13427"/>
    <w:rsid w:val="00C20BA2"/>
    <w:rsid w:val="00C210FC"/>
    <w:rsid w:val="00C21B3A"/>
    <w:rsid w:val="00C23F0D"/>
    <w:rsid w:val="00C2425D"/>
    <w:rsid w:val="00C34F74"/>
    <w:rsid w:val="00C37CD9"/>
    <w:rsid w:val="00C41E2A"/>
    <w:rsid w:val="00C4254E"/>
    <w:rsid w:val="00C425F4"/>
    <w:rsid w:val="00C428AD"/>
    <w:rsid w:val="00C44FBB"/>
    <w:rsid w:val="00C47813"/>
    <w:rsid w:val="00C507D7"/>
    <w:rsid w:val="00C52EE4"/>
    <w:rsid w:val="00C56E05"/>
    <w:rsid w:val="00C6320B"/>
    <w:rsid w:val="00C64389"/>
    <w:rsid w:val="00C66142"/>
    <w:rsid w:val="00C72DF1"/>
    <w:rsid w:val="00C73006"/>
    <w:rsid w:val="00C73FEA"/>
    <w:rsid w:val="00C74EA9"/>
    <w:rsid w:val="00C77D1F"/>
    <w:rsid w:val="00C82769"/>
    <w:rsid w:val="00C82C3E"/>
    <w:rsid w:val="00C84223"/>
    <w:rsid w:val="00C87A78"/>
    <w:rsid w:val="00C87ED8"/>
    <w:rsid w:val="00C90CD5"/>
    <w:rsid w:val="00C92C52"/>
    <w:rsid w:val="00C94FBD"/>
    <w:rsid w:val="00C960B3"/>
    <w:rsid w:val="00C9713F"/>
    <w:rsid w:val="00CA105E"/>
    <w:rsid w:val="00CA5413"/>
    <w:rsid w:val="00CA79E9"/>
    <w:rsid w:val="00CB2723"/>
    <w:rsid w:val="00CB2BF0"/>
    <w:rsid w:val="00CB6B86"/>
    <w:rsid w:val="00CC01A0"/>
    <w:rsid w:val="00CC09DA"/>
    <w:rsid w:val="00CC0CE4"/>
    <w:rsid w:val="00CC510C"/>
    <w:rsid w:val="00CC56AE"/>
    <w:rsid w:val="00CC57FA"/>
    <w:rsid w:val="00CC6F30"/>
    <w:rsid w:val="00CD1C29"/>
    <w:rsid w:val="00CD39AA"/>
    <w:rsid w:val="00CD4ACC"/>
    <w:rsid w:val="00CD5D14"/>
    <w:rsid w:val="00CE042F"/>
    <w:rsid w:val="00CE05E1"/>
    <w:rsid w:val="00CE3F08"/>
    <w:rsid w:val="00CE42C0"/>
    <w:rsid w:val="00CF1276"/>
    <w:rsid w:val="00CF1753"/>
    <w:rsid w:val="00CF1B0F"/>
    <w:rsid w:val="00CF2734"/>
    <w:rsid w:val="00CF713B"/>
    <w:rsid w:val="00D01B35"/>
    <w:rsid w:val="00D034F0"/>
    <w:rsid w:val="00D03B88"/>
    <w:rsid w:val="00D10533"/>
    <w:rsid w:val="00D10E60"/>
    <w:rsid w:val="00D14746"/>
    <w:rsid w:val="00D15AB5"/>
    <w:rsid w:val="00D17B06"/>
    <w:rsid w:val="00D201F0"/>
    <w:rsid w:val="00D211C7"/>
    <w:rsid w:val="00D219EE"/>
    <w:rsid w:val="00D21AEE"/>
    <w:rsid w:val="00D22E56"/>
    <w:rsid w:val="00D25D5A"/>
    <w:rsid w:val="00D26F22"/>
    <w:rsid w:val="00D26FA5"/>
    <w:rsid w:val="00D27795"/>
    <w:rsid w:val="00D30FDC"/>
    <w:rsid w:val="00D3448C"/>
    <w:rsid w:val="00D36734"/>
    <w:rsid w:val="00D40DB5"/>
    <w:rsid w:val="00D439E9"/>
    <w:rsid w:val="00D44F75"/>
    <w:rsid w:val="00D46238"/>
    <w:rsid w:val="00D47339"/>
    <w:rsid w:val="00D4770C"/>
    <w:rsid w:val="00D47E58"/>
    <w:rsid w:val="00D513EA"/>
    <w:rsid w:val="00D544B6"/>
    <w:rsid w:val="00D57137"/>
    <w:rsid w:val="00D57A86"/>
    <w:rsid w:val="00D61C18"/>
    <w:rsid w:val="00D61C48"/>
    <w:rsid w:val="00D65010"/>
    <w:rsid w:val="00D65E25"/>
    <w:rsid w:val="00D708F2"/>
    <w:rsid w:val="00D71DAA"/>
    <w:rsid w:val="00D72DEE"/>
    <w:rsid w:val="00D7758D"/>
    <w:rsid w:val="00D906DE"/>
    <w:rsid w:val="00D9076B"/>
    <w:rsid w:val="00D9255A"/>
    <w:rsid w:val="00D95291"/>
    <w:rsid w:val="00D97512"/>
    <w:rsid w:val="00DA05E6"/>
    <w:rsid w:val="00DA1FFB"/>
    <w:rsid w:val="00DA4C12"/>
    <w:rsid w:val="00DA7CBE"/>
    <w:rsid w:val="00DA7E90"/>
    <w:rsid w:val="00DB164A"/>
    <w:rsid w:val="00DB5572"/>
    <w:rsid w:val="00DC3DC4"/>
    <w:rsid w:val="00DC42E4"/>
    <w:rsid w:val="00DC638D"/>
    <w:rsid w:val="00DC68F1"/>
    <w:rsid w:val="00DD1A6F"/>
    <w:rsid w:val="00DD29F9"/>
    <w:rsid w:val="00DD2D0E"/>
    <w:rsid w:val="00DD3504"/>
    <w:rsid w:val="00DD787B"/>
    <w:rsid w:val="00DE0CE3"/>
    <w:rsid w:val="00DE247E"/>
    <w:rsid w:val="00DE2C90"/>
    <w:rsid w:val="00DE6D69"/>
    <w:rsid w:val="00DF0CEB"/>
    <w:rsid w:val="00DF2201"/>
    <w:rsid w:val="00E047B9"/>
    <w:rsid w:val="00E0496F"/>
    <w:rsid w:val="00E1360B"/>
    <w:rsid w:val="00E1581D"/>
    <w:rsid w:val="00E231C4"/>
    <w:rsid w:val="00E25E70"/>
    <w:rsid w:val="00E26804"/>
    <w:rsid w:val="00E308BD"/>
    <w:rsid w:val="00E30B68"/>
    <w:rsid w:val="00E36602"/>
    <w:rsid w:val="00E36977"/>
    <w:rsid w:val="00E36C54"/>
    <w:rsid w:val="00E37136"/>
    <w:rsid w:val="00E407BA"/>
    <w:rsid w:val="00E40BEC"/>
    <w:rsid w:val="00E4306C"/>
    <w:rsid w:val="00E43583"/>
    <w:rsid w:val="00E45E66"/>
    <w:rsid w:val="00E46365"/>
    <w:rsid w:val="00E46551"/>
    <w:rsid w:val="00E47277"/>
    <w:rsid w:val="00E51A77"/>
    <w:rsid w:val="00E528D5"/>
    <w:rsid w:val="00E53B45"/>
    <w:rsid w:val="00E56E75"/>
    <w:rsid w:val="00E61FD2"/>
    <w:rsid w:val="00E6240D"/>
    <w:rsid w:val="00E65644"/>
    <w:rsid w:val="00E65B9E"/>
    <w:rsid w:val="00E66FA9"/>
    <w:rsid w:val="00E67296"/>
    <w:rsid w:val="00E74067"/>
    <w:rsid w:val="00E8025B"/>
    <w:rsid w:val="00E841A7"/>
    <w:rsid w:val="00E84B88"/>
    <w:rsid w:val="00E9110E"/>
    <w:rsid w:val="00E91542"/>
    <w:rsid w:val="00E91C1A"/>
    <w:rsid w:val="00E92A67"/>
    <w:rsid w:val="00E93850"/>
    <w:rsid w:val="00E9436D"/>
    <w:rsid w:val="00E97238"/>
    <w:rsid w:val="00EA1B19"/>
    <w:rsid w:val="00EA2495"/>
    <w:rsid w:val="00EA434D"/>
    <w:rsid w:val="00EA7527"/>
    <w:rsid w:val="00EB0211"/>
    <w:rsid w:val="00EB4E24"/>
    <w:rsid w:val="00EB6DB5"/>
    <w:rsid w:val="00EB6DD6"/>
    <w:rsid w:val="00EB7B6D"/>
    <w:rsid w:val="00EC1A16"/>
    <w:rsid w:val="00EC3407"/>
    <w:rsid w:val="00EC599D"/>
    <w:rsid w:val="00EC6696"/>
    <w:rsid w:val="00EC6870"/>
    <w:rsid w:val="00ED0FD2"/>
    <w:rsid w:val="00ED3482"/>
    <w:rsid w:val="00ED5332"/>
    <w:rsid w:val="00ED7661"/>
    <w:rsid w:val="00EE00D5"/>
    <w:rsid w:val="00EE0174"/>
    <w:rsid w:val="00EE0F39"/>
    <w:rsid w:val="00EE3279"/>
    <w:rsid w:val="00EF024A"/>
    <w:rsid w:val="00EF11B4"/>
    <w:rsid w:val="00EF4012"/>
    <w:rsid w:val="00EF4D78"/>
    <w:rsid w:val="00F00436"/>
    <w:rsid w:val="00F00EB8"/>
    <w:rsid w:val="00F02901"/>
    <w:rsid w:val="00F07E89"/>
    <w:rsid w:val="00F07FE9"/>
    <w:rsid w:val="00F13D4B"/>
    <w:rsid w:val="00F21A8E"/>
    <w:rsid w:val="00F2262E"/>
    <w:rsid w:val="00F25435"/>
    <w:rsid w:val="00F27B62"/>
    <w:rsid w:val="00F31C05"/>
    <w:rsid w:val="00F3271D"/>
    <w:rsid w:val="00F36034"/>
    <w:rsid w:val="00F43697"/>
    <w:rsid w:val="00F47F51"/>
    <w:rsid w:val="00F50794"/>
    <w:rsid w:val="00F510B3"/>
    <w:rsid w:val="00F54356"/>
    <w:rsid w:val="00F544E9"/>
    <w:rsid w:val="00F54B8D"/>
    <w:rsid w:val="00F55AF9"/>
    <w:rsid w:val="00F5679D"/>
    <w:rsid w:val="00F6595A"/>
    <w:rsid w:val="00F7014E"/>
    <w:rsid w:val="00F71AA6"/>
    <w:rsid w:val="00F71F65"/>
    <w:rsid w:val="00F73783"/>
    <w:rsid w:val="00F769BF"/>
    <w:rsid w:val="00F7719F"/>
    <w:rsid w:val="00F8008E"/>
    <w:rsid w:val="00F8142C"/>
    <w:rsid w:val="00F82294"/>
    <w:rsid w:val="00F83909"/>
    <w:rsid w:val="00F84A80"/>
    <w:rsid w:val="00F873BB"/>
    <w:rsid w:val="00F919BE"/>
    <w:rsid w:val="00F92440"/>
    <w:rsid w:val="00F943F7"/>
    <w:rsid w:val="00FA1C6A"/>
    <w:rsid w:val="00FA272A"/>
    <w:rsid w:val="00FA343A"/>
    <w:rsid w:val="00FA652E"/>
    <w:rsid w:val="00FB12D5"/>
    <w:rsid w:val="00FB1CBD"/>
    <w:rsid w:val="00FB304D"/>
    <w:rsid w:val="00FB4A64"/>
    <w:rsid w:val="00FB700C"/>
    <w:rsid w:val="00FB7E22"/>
    <w:rsid w:val="00FB7FE0"/>
    <w:rsid w:val="00FC0F5A"/>
    <w:rsid w:val="00FC284A"/>
    <w:rsid w:val="00FC714C"/>
    <w:rsid w:val="00FD1010"/>
    <w:rsid w:val="00FD27CA"/>
    <w:rsid w:val="00FD368A"/>
    <w:rsid w:val="00FD60FE"/>
    <w:rsid w:val="00FD71DA"/>
    <w:rsid w:val="00FD79F9"/>
    <w:rsid w:val="00FE3A88"/>
    <w:rsid w:val="00FE7B58"/>
    <w:rsid w:val="00FF0254"/>
    <w:rsid w:val="00FF24D8"/>
    <w:rsid w:val="00FF253C"/>
    <w:rsid w:val="00FF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CDC6"/>
  <w15:docId w15:val="{CCAF285E-D8D4-498C-AECD-F1AD1F9C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56A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473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75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ouseExpPlanning">
    <w:name w:val="Mouse Exp Planning"/>
    <w:uiPriority w:val="99"/>
    <w:rsid w:val="004B2D5D"/>
    <w:pPr>
      <w:numPr>
        <w:numId w:val="1"/>
      </w:numPr>
    </w:pPr>
  </w:style>
  <w:style w:type="numbering" w:customStyle="1" w:styleId="TumorExp">
    <w:name w:val="Tumor Exp"/>
    <w:uiPriority w:val="99"/>
    <w:rsid w:val="008E7816"/>
    <w:pPr>
      <w:numPr>
        <w:numId w:val="2"/>
      </w:numPr>
    </w:pPr>
  </w:style>
  <w:style w:type="paragraph" w:styleId="Header">
    <w:name w:val="header"/>
    <w:basedOn w:val="Normal"/>
    <w:link w:val="HeaderChar"/>
    <w:uiPriority w:val="99"/>
    <w:unhideWhenUsed/>
    <w:rsid w:val="008E2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68"/>
  </w:style>
  <w:style w:type="paragraph" w:styleId="Footer">
    <w:name w:val="footer"/>
    <w:basedOn w:val="Normal"/>
    <w:link w:val="FooterChar"/>
    <w:uiPriority w:val="99"/>
    <w:unhideWhenUsed/>
    <w:rsid w:val="008E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E68"/>
  </w:style>
  <w:style w:type="paragraph" w:styleId="ListParagraph">
    <w:name w:val="List Paragraph"/>
    <w:basedOn w:val="Normal"/>
    <w:uiPriority w:val="34"/>
    <w:qFormat/>
    <w:rsid w:val="008E2E68"/>
    <w:pPr>
      <w:ind w:left="720"/>
      <w:contextualSpacing/>
    </w:pPr>
  </w:style>
  <w:style w:type="character" w:styleId="CommentReference">
    <w:name w:val="annotation reference"/>
    <w:basedOn w:val="DefaultParagraphFont"/>
    <w:uiPriority w:val="99"/>
    <w:semiHidden/>
    <w:unhideWhenUsed/>
    <w:rsid w:val="002E5B32"/>
    <w:rPr>
      <w:sz w:val="16"/>
      <w:szCs w:val="16"/>
    </w:rPr>
  </w:style>
  <w:style w:type="paragraph" w:styleId="CommentText">
    <w:name w:val="annotation text"/>
    <w:basedOn w:val="Normal"/>
    <w:link w:val="CommentTextChar"/>
    <w:uiPriority w:val="99"/>
    <w:unhideWhenUsed/>
    <w:rsid w:val="002E5B32"/>
    <w:pPr>
      <w:spacing w:line="240" w:lineRule="auto"/>
    </w:pPr>
    <w:rPr>
      <w:sz w:val="20"/>
      <w:szCs w:val="20"/>
    </w:rPr>
  </w:style>
  <w:style w:type="character" w:customStyle="1" w:styleId="CommentTextChar">
    <w:name w:val="Comment Text Char"/>
    <w:basedOn w:val="DefaultParagraphFont"/>
    <w:link w:val="CommentText"/>
    <w:uiPriority w:val="99"/>
    <w:rsid w:val="002E5B32"/>
    <w:rPr>
      <w:sz w:val="20"/>
      <w:szCs w:val="20"/>
    </w:rPr>
  </w:style>
  <w:style w:type="paragraph" w:styleId="CommentSubject">
    <w:name w:val="annotation subject"/>
    <w:basedOn w:val="CommentText"/>
    <w:next w:val="CommentText"/>
    <w:link w:val="CommentSubjectChar"/>
    <w:uiPriority w:val="99"/>
    <w:semiHidden/>
    <w:unhideWhenUsed/>
    <w:rsid w:val="002E5B32"/>
    <w:rPr>
      <w:b/>
      <w:bCs/>
    </w:rPr>
  </w:style>
  <w:style w:type="character" w:customStyle="1" w:styleId="CommentSubjectChar">
    <w:name w:val="Comment Subject Char"/>
    <w:basedOn w:val="CommentTextChar"/>
    <w:link w:val="CommentSubject"/>
    <w:uiPriority w:val="99"/>
    <w:semiHidden/>
    <w:rsid w:val="002E5B32"/>
    <w:rPr>
      <w:b/>
      <w:bCs/>
      <w:sz w:val="20"/>
      <w:szCs w:val="20"/>
    </w:rPr>
  </w:style>
  <w:style w:type="paragraph" w:styleId="BalloonText">
    <w:name w:val="Balloon Text"/>
    <w:basedOn w:val="Normal"/>
    <w:link w:val="BalloonTextChar"/>
    <w:uiPriority w:val="99"/>
    <w:semiHidden/>
    <w:unhideWhenUsed/>
    <w:rsid w:val="002E5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B32"/>
    <w:rPr>
      <w:rFonts w:ascii="Segoe UI" w:hAnsi="Segoe UI" w:cs="Segoe UI"/>
      <w:sz w:val="18"/>
      <w:szCs w:val="18"/>
    </w:rPr>
  </w:style>
  <w:style w:type="paragraph" w:customStyle="1" w:styleId="EndNoteBibliographyTitle">
    <w:name w:val="EndNote Bibliography Title"/>
    <w:basedOn w:val="Normal"/>
    <w:link w:val="EndNoteBibliographyTitleChar"/>
    <w:rsid w:val="00EF024A"/>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EF024A"/>
    <w:rPr>
      <w:rFonts w:ascii="Times New Roman" w:hAnsi="Times New Roman" w:cs="Times New Roman"/>
      <w:noProof/>
    </w:rPr>
  </w:style>
  <w:style w:type="paragraph" w:customStyle="1" w:styleId="EndNoteBibliography">
    <w:name w:val="EndNote Bibliography"/>
    <w:basedOn w:val="Normal"/>
    <w:link w:val="EndNoteBibliographyChar"/>
    <w:rsid w:val="00EF024A"/>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EF024A"/>
    <w:rPr>
      <w:rFonts w:ascii="Times New Roman" w:hAnsi="Times New Roman" w:cs="Times New Roman"/>
      <w:noProof/>
    </w:rPr>
  </w:style>
  <w:style w:type="paragraph" w:styleId="Revision">
    <w:name w:val="Revision"/>
    <w:hidden/>
    <w:uiPriority w:val="99"/>
    <w:semiHidden/>
    <w:rsid w:val="004F3A71"/>
  </w:style>
  <w:style w:type="paragraph" w:styleId="NormalWeb">
    <w:name w:val="Normal (Web)"/>
    <w:basedOn w:val="Normal"/>
    <w:uiPriority w:val="99"/>
    <w:semiHidden/>
    <w:unhideWhenUsed/>
    <w:rsid w:val="00492F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B45"/>
    <w:rPr>
      <w:strike w:val="0"/>
      <w:dstrike w:val="0"/>
      <w:color w:val="1659D8"/>
      <w:u w:val="none"/>
      <w:effect w:val="none"/>
    </w:rPr>
  </w:style>
  <w:style w:type="paragraph" w:customStyle="1" w:styleId="Default">
    <w:name w:val="Default"/>
    <w:rsid w:val="000C3595"/>
    <w:pPr>
      <w:autoSpaceDE w:val="0"/>
      <w:autoSpaceDN w:val="0"/>
      <w:adjustRightInd w:val="0"/>
    </w:pPr>
    <w:rPr>
      <w:rFonts w:ascii="ITC Symbol Std Book" w:hAnsi="ITC Symbol Std Book" w:cs="ITC Symbol Std Book"/>
      <w:color w:val="000000"/>
      <w:sz w:val="24"/>
      <w:szCs w:val="24"/>
    </w:rPr>
  </w:style>
  <w:style w:type="character" w:customStyle="1" w:styleId="A8">
    <w:name w:val="A8"/>
    <w:uiPriority w:val="99"/>
    <w:rsid w:val="000C3595"/>
    <w:rPr>
      <w:rFonts w:cs="ITC Symbol Std Book"/>
      <w:color w:val="57585A"/>
      <w:sz w:val="11"/>
      <w:szCs w:val="11"/>
      <w:u w:val="single"/>
    </w:rPr>
  </w:style>
  <w:style w:type="character" w:styleId="Strong">
    <w:name w:val="Strong"/>
    <w:basedOn w:val="DefaultParagraphFont"/>
    <w:uiPriority w:val="22"/>
    <w:qFormat/>
    <w:rsid w:val="006D247B"/>
    <w:rPr>
      <w:b/>
      <w:bCs/>
    </w:rPr>
  </w:style>
  <w:style w:type="character" w:styleId="FollowedHyperlink">
    <w:name w:val="FollowedHyperlink"/>
    <w:basedOn w:val="DefaultParagraphFont"/>
    <w:uiPriority w:val="99"/>
    <w:semiHidden/>
    <w:unhideWhenUsed/>
    <w:rsid w:val="00CB2723"/>
    <w:rPr>
      <w:color w:val="800080" w:themeColor="followedHyperlink"/>
      <w:u w:val="single"/>
    </w:rPr>
  </w:style>
  <w:style w:type="character" w:customStyle="1" w:styleId="Heading1Char">
    <w:name w:val="Heading 1 Char"/>
    <w:basedOn w:val="DefaultParagraphFont"/>
    <w:link w:val="Heading1"/>
    <w:uiPriority w:val="9"/>
    <w:rsid w:val="00256AF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4733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C75DF"/>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8751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1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D105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D105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D105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D1053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766">
      <w:bodyDiv w:val="1"/>
      <w:marLeft w:val="0"/>
      <w:marRight w:val="0"/>
      <w:marTop w:val="0"/>
      <w:marBottom w:val="0"/>
      <w:divBdr>
        <w:top w:val="none" w:sz="0" w:space="0" w:color="auto"/>
        <w:left w:val="none" w:sz="0" w:space="0" w:color="auto"/>
        <w:bottom w:val="none" w:sz="0" w:space="0" w:color="auto"/>
        <w:right w:val="none" w:sz="0" w:space="0" w:color="auto"/>
      </w:divBdr>
      <w:divsChild>
        <w:div w:id="48042446">
          <w:marLeft w:val="1440"/>
          <w:marRight w:val="0"/>
          <w:marTop w:val="58"/>
          <w:marBottom w:val="0"/>
          <w:divBdr>
            <w:top w:val="none" w:sz="0" w:space="0" w:color="auto"/>
            <w:left w:val="none" w:sz="0" w:space="0" w:color="auto"/>
            <w:bottom w:val="none" w:sz="0" w:space="0" w:color="auto"/>
            <w:right w:val="none" w:sz="0" w:space="0" w:color="auto"/>
          </w:divBdr>
        </w:div>
        <w:div w:id="219099006">
          <w:marLeft w:val="1440"/>
          <w:marRight w:val="0"/>
          <w:marTop w:val="58"/>
          <w:marBottom w:val="0"/>
          <w:divBdr>
            <w:top w:val="none" w:sz="0" w:space="0" w:color="auto"/>
            <w:left w:val="none" w:sz="0" w:space="0" w:color="auto"/>
            <w:bottom w:val="none" w:sz="0" w:space="0" w:color="auto"/>
            <w:right w:val="none" w:sz="0" w:space="0" w:color="auto"/>
          </w:divBdr>
        </w:div>
        <w:div w:id="827287239">
          <w:marLeft w:val="1440"/>
          <w:marRight w:val="0"/>
          <w:marTop w:val="58"/>
          <w:marBottom w:val="0"/>
          <w:divBdr>
            <w:top w:val="none" w:sz="0" w:space="0" w:color="auto"/>
            <w:left w:val="none" w:sz="0" w:space="0" w:color="auto"/>
            <w:bottom w:val="none" w:sz="0" w:space="0" w:color="auto"/>
            <w:right w:val="none" w:sz="0" w:space="0" w:color="auto"/>
          </w:divBdr>
        </w:div>
        <w:div w:id="1096711027">
          <w:marLeft w:val="806"/>
          <w:marRight w:val="0"/>
          <w:marTop w:val="77"/>
          <w:marBottom w:val="0"/>
          <w:divBdr>
            <w:top w:val="none" w:sz="0" w:space="0" w:color="auto"/>
            <w:left w:val="none" w:sz="0" w:space="0" w:color="auto"/>
            <w:bottom w:val="none" w:sz="0" w:space="0" w:color="auto"/>
            <w:right w:val="none" w:sz="0" w:space="0" w:color="auto"/>
          </w:divBdr>
        </w:div>
        <w:div w:id="1370257581">
          <w:marLeft w:val="1440"/>
          <w:marRight w:val="0"/>
          <w:marTop w:val="58"/>
          <w:marBottom w:val="0"/>
          <w:divBdr>
            <w:top w:val="none" w:sz="0" w:space="0" w:color="auto"/>
            <w:left w:val="none" w:sz="0" w:space="0" w:color="auto"/>
            <w:bottom w:val="none" w:sz="0" w:space="0" w:color="auto"/>
            <w:right w:val="none" w:sz="0" w:space="0" w:color="auto"/>
          </w:divBdr>
        </w:div>
      </w:divsChild>
    </w:div>
    <w:div w:id="14969146">
      <w:bodyDiv w:val="1"/>
      <w:marLeft w:val="0"/>
      <w:marRight w:val="0"/>
      <w:marTop w:val="0"/>
      <w:marBottom w:val="0"/>
      <w:divBdr>
        <w:top w:val="none" w:sz="0" w:space="0" w:color="auto"/>
        <w:left w:val="none" w:sz="0" w:space="0" w:color="auto"/>
        <w:bottom w:val="none" w:sz="0" w:space="0" w:color="auto"/>
        <w:right w:val="none" w:sz="0" w:space="0" w:color="auto"/>
      </w:divBdr>
    </w:div>
    <w:div w:id="16736974">
      <w:bodyDiv w:val="1"/>
      <w:marLeft w:val="0"/>
      <w:marRight w:val="0"/>
      <w:marTop w:val="0"/>
      <w:marBottom w:val="0"/>
      <w:divBdr>
        <w:top w:val="none" w:sz="0" w:space="0" w:color="auto"/>
        <w:left w:val="none" w:sz="0" w:space="0" w:color="auto"/>
        <w:bottom w:val="none" w:sz="0" w:space="0" w:color="auto"/>
        <w:right w:val="none" w:sz="0" w:space="0" w:color="auto"/>
      </w:divBdr>
    </w:div>
    <w:div w:id="49039615">
      <w:bodyDiv w:val="1"/>
      <w:marLeft w:val="0"/>
      <w:marRight w:val="0"/>
      <w:marTop w:val="0"/>
      <w:marBottom w:val="0"/>
      <w:divBdr>
        <w:top w:val="none" w:sz="0" w:space="0" w:color="auto"/>
        <w:left w:val="none" w:sz="0" w:space="0" w:color="auto"/>
        <w:bottom w:val="none" w:sz="0" w:space="0" w:color="auto"/>
        <w:right w:val="none" w:sz="0" w:space="0" w:color="auto"/>
      </w:divBdr>
      <w:divsChild>
        <w:div w:id="1133910131">
          <w:marLeft w:val="403"/>
          <w:marRight w:val="0"/>
          <w:marTop w:val="48"/>
          <w:marBottom w:val="0"/>
          <w:divBdr>
            <w:top w:val="none" w:sz="0" w:space="0" w:color="auto"/>
            <w:left w:val="none" w:sz="0" w:space="0" w:color="auto"/>
            <w:bottom w:val="none" w:sz="0" w:space="0" w:color="auto"/>
            <w:right w:val="none" w:sz="0" w:space="0" w:color="auto"/>
          </w:divBdr>
        </w:div>
        <w:div w:id="1340081279">
          <w:marLeft w:val="403"/>
          <w:marRight w:val="0"/>
          <w:marTop w:val="48"/>
          <w:marBottom w:val="0"/>
          <w:divBdr>
            <w:top w:val="none" w:sz="0" w:space="0" w:color="auto"/>
            <w:left w:val="none" w:sz="0" w:space="0" w:color="auto"/>
            <w:bottom w:val="none" w:sz="0" w:space="0" w:color="auto"/>
            <w:right w:val="none" w:sz="0" w:space="0" w:color="auto"/>
          </w:divBdr>
        </w:div>
        <w:div w:id="1408646131">
          <w:marLeft w:val="403"/>
          <w:marRight w:val="0"/>
          <w:marTop w:val="48"/>
          <w:marBottom w:val="0"/>
          <w:divBdr>
            <w:top w:val="none" w:sz="0" w:space="0" w:color="auto"/>
            <w:left w:val="none" w:sz="0" w:space="0" w:color="auto"/>
            <w:bottom w:val="none" w:sz="0" w:space="0" w:color="auto"/>
            <w:right w:val="none" w:sz="0" w:space="0" w:color="auto"/>
          </w:divBdr>
        </w:div>
      </w:divsChild>
    </w:div>
    <w:div w:id="81680062">
      <w:bodyDiv w:val="1"/>
      <w:marLeft w:val="0"/>
      <w:marRight w:val="0"/>
      <w:marTop w:val="0"/>
      <w:marBottom w:val="0"/>
      <w:divBdr>
        <w:top w:val="none" w:sz="0" w:space="0" w:color="auto"/>
        <w:left w:val="none" w:sz="0" w:space="0" w:color="auto"/>
        <w:bottom w:val="none" w:sz="0" w:space="0" w:color="auto"/>
        <w:right w:val="none" w:sz="0" w:space="0" w:color="auto"/>
      </w:divBdr>
    </w:div>
    <w:div w:id="95907875">
      <w:bodyDiv w:val="1"/>
      <w:marLeft w:val="0"/>
      <w:marRight w:val="0"/>
      <w:marTop w:val="0"/>
      <w:marBottom w:val="0"/>
      <w:divBdr>
        <w:top w:val="none" w:sz="0" w:space="0" w:color="auto"/>
        <w:left w:val="none" w:sz="0" w:space="0" w:color="auto"/>
        <w:bottom w:val="none" w:sz="0" w:space="0" w:color="auto"/>
        <w:right w:val="none" w:sz="0" w:space="0" w:color="auto"/>
      </w:divBdr>
    </w:div>
    <w:div w:id="117183828">
      <w:bodyDiv w:val="1"/>
      <w:marLeft w:val="0"/>
      <w:marRight w:val="0"/>
      <w:marTop w:val="0"/>
      <w:marBottom w:val="0"/>
      <w:divBdr>
        <w:top w:val="none" w:sz="0" w:space="0" w:color="auto"/>
        <w:left w:val="none" w:sz="0" w:space="0" w:color="auto"/>
        <w:bottom w:val="none" w:sz="0" w:space="0" w:color="auto"/>
        <w:right w:val="none" w:sz="0" w:space="0" w:color="auto"/>
      </w:divBdr>
      <w:divsChild>
        <w:div w:id="2114930336">
          <w:marLeft w:val="547"/>
          <w:marRight w:val="0"/>
          <w:marTop w:val="77"/>
          <w:marBottom w:val="0"/>
          <w:divBdr>
            <w:top w:val="none" w:sz="0" w:space="0" w:color="auto"/>
            <w:left w:val="none" w:sz="0" w:space="0" w:color="auto"/>
            <w:bottom w:val="none" w:sz="0" w:space="0" w:color="auto"/>
            <w:right w:val="none" w:sz="0" w:space="0" w:color="auto"/>
          </w:divBdr>
        </w:div>
      </w:divsChild>
    </w:div>
    <w:div w:id="194923351">
      <w:bodyDiv w:val="1"/>
      <w:marLeft w:val="0"/>
      <w:marRight w:val="0"/>
      <w:marTop w:val="0"/>
      <w:marBottom w:val="0"/>
      <w:divBdr>
        <w:top w:val="none" w:sz="0" w:space="0" w:color="auto"/>
        <w:left w:val="none" w:sz="0" w:space="0" w:color="auto"/>
        <w:bottom w:val="none" w:sz="0" w:space="0" w:color="auto"/>
        <w:right w:val="none" w:sz="0" w:space="0" w:color="auto"/>
      </w:divBdr>
      <w:divsChild>
        <w:div w:id="869295028">
          <w:marLeft w:val="0"/>
          <w:marRight w:val="0"/>
          <w:marTop w:val="0"/>
          <w:marBottom w:val="105"/>
          <w:divBdr>
            <w:top w:val="none" w:sz="0" w:space="0" w:color="auto"/>
            <w:left w:val="none" w:sz="0" w:space="0" w:color="auto"/>
            <w:bottom w:val="none" w:sz="0" w:space="0" w:color="auto"/>
            <w:right w:val="none" w:sz="0" w:space="0" w:color="auto"/>
          </w:divBdr>
          <w:divsChild>
            <w:div w:id="85738462">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208445527">
              <w:marLeft w:val="0"/>
              <w:marRight w:val="0"/>
              <w:marTop w:val="0"/>
              <w:marBottom w:val="0"/>
              <w:divBdr>
                <w:top w:val="none" w:sz="0" w:space="0" w:color="auto"/>
                <w:left w:val="none" w:sz="0" w:space="0" w:color="auto"/>
                <w:bottom w:val="none" w:sz="0" w:space="0" w:color="auto"/>
                <w:right w:val="none" w:sz="0" w:space="0" w:color="auto"/>
              </w:divBdr>
            </w:div>
            <w:div w:id="1480227063">
              <w:marLeft w:val="0"/>
              <w:marRight w:val="0"/>
              <w:marTop w:val="0"/>
              <w:marBottom w:val="0"/>
              <w:divBdr>
                <w:top w:val="none" w:sz="0" w:space="0" w:color="auto"/>
                <w:left w:val="none" w:sz="0" w:space="0" w:color="auto"/>
                <w:bottom w:val="none" w:sz="0" w:space="0" w:color="auto"/>
                <w:right w:val="none" w:sz="0" w:space="0" w:color="auto"/>
              </w:divBdr>
            </w:div>
            <w:div w:id="20737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089">
      <w:bodyDiv w:val="1"/>
      <w:marLeft w:val="0"/>
      <w:marRight w:val="0"/>
      <w:marTop w:val="0"/>
      <w:marBottom w:val="0"/>
      <w:divBdr>
        <w:top w:val="none" w:sz="0" w:space="0" w:color="auto"/>
        <w:left w:val="none" w:sz="0" w:space="0" w:color="auto"/>
        <w:bottom w:val="none" w:sz="0" w:space="0" w:color="auto"/>
        <w:right w:val="none" w:sz="0" w:space="0" w:color="auto"/>
      </w:divBdr>
    </w:div>
    <w:div w:id="219442822">
      <w:bodyDiv w:val="1"/>
      <w:marLeft w:val="0"/>
      <w:marRight w:val="0"/>
      <w:marTop w:val="0"/>
      <w:marBottom w:val="0"/>
      <w:divBdr>
        <w:top w:val="none" w:sz="0" w:space="0" w:color="auto"/>
        <w:left w:val="none" w:sz="0" w:space="0" w:color="auto"/>
        <w:bottom w:val="none" w:sz="0" w:space="0" w:color="auto"/>
        <w:right w:val="none" w:sz="0" w:space="0" w:color="auto"/>
      </w:divBdr>
      <w:divsChild>
        <w:div w:id="86118787">
          <w:marLeft w:val="274"/>
          <w:marRight w:val="0"/>
          <w:marTop w:val="0"/>
          <w:marBottom w:val="0"/>
          <w:divBdr>
            <w:top w:val="none" w:sz="0" w:space="0" w:color="auto"/>
            <w:left w:val="none" w:sz="0" w:space="0" w:color="auto"/>
            <w:bottom w:val="none" w:sz="0" w:space="0" w:color="auto"/>
            <w:right w:val="none" w:sz="0" w:space="0" w:color="auto"/>
          </w:divBdr>
        </w:div>
        <w:div w:id="661544914">
          <w:marLeft w:val="274"/>
          <w:marRight w:val="0"/>
          <w:marTop w:val="0"/>
          <w:marBottom w:val="0"/>
          <w:divBdr>
            <w:top w:val="none" w:sz="0" w:space="0" w:color="auto"/>
            <w:left w:val="none" w:sz="0" w:space="0" w:color="auto"/>
            <w:bottom w:val="none" w:sz="0" w:space="0" w:color="auto"/>
            <w:right w:val="none" w:sz="0" w:space="0" w:color="auto"/>
          </w:divBdr>
        </w:div>
        <w:div w:id="775490795">
          <w:marLeft w:val="274"/>
          <w:marRight w:val="0"/>
          <w:marTop w:val="0"/>
          <w:marBottom w:val="0"/>
          <w:divBdr>
            <w:top w:val="none" w:sz="0" w:space="0" w:color="auto"/>
            <w:left w:val="none" w:sz="0" w:space="0" w:color="auto"/>
            <w:bottom w:val="none" w:sz="0" w:space="0" w:color="auto"/>
            <w:right w:val="none" w:sz="0" w:space="0" w:color="auto"/>
          </w:divBdr>
        </w:div>
        <w:div w:id="863520004">
          <w:marLeft w:val="274"/>
          <w:marRight w:val="0"/>
          <w:marTop w:val="0"/>
          <w:marBottom w:val="0"/>
          <w:divBdr>
            <w:top w:val="none" w:sz="0" w:space="0" w:color="auto"/>
            <w:left w:val="none" w:sz="0" w:space="0" w:color="auto"/>
            <w:bottom w:val="none" w:sz="0" w:space="0" w:color="auto"/>
            <w:right w:val="none" w:sz="0" w:space="0" w:color="auto"/>
          </w:divBdr>
        </w:div>
        <w:div w:id="1140734345">
          <w:marLeft w:val="274"/>
          <w:marRight w:val="0"/>
          <w:marTop w:val="0"/>
          <w:marBottom w:val="0"/>
          <w:divBdr>
            <w:top w:val="none" w:sz="0" w:space="0" w:color="auto"/>
            <w:left w:val="none" w:sz="0" w:space="0" w:color="auto"/>
            <w:bottom w:val="none" w:sz="0" w:space="0" w:color="auto"/>
            <w:right w:val="none" w:sz="0" w:space="0" w:color="auto"/>
          </w:divBdr>
        </w:div>
        <w:div w:id="1361396069">
          <w:marLeft w:val="994"/>
          <w:marRight w:val="0"/>
          <w:marTop w:val="0"/>
          <w:marBottom w:val="0"/>
          <w:divBdr>
            <w:top w:val="none" w:sz="0" w:space="0" w:color="auto"/>
            <w:left w:val="none" w:sz="0" w:space="0" w:color="auto"/>
            <w:bottom w:val="none" w:sz="0" w:space="0" w:color="auto"/>
            <w:right w:val="none" w:sz="0" w:space="0" w:color="auto"/>
          </w:divBdr>
        </w:div>
        <w:div w:id="1474910994">
          <w:marLeft w:val="994"/>
          <w:marRight w:val="0"/>
          <w:marTop w:val="0"/>
          <w:marBottom w:val="0"/>
          <w:divBdr>
            <w:top w:val="none" w:sz="0" w:space="0" w:color="auto"/>
            <w:left w:val="none" w:sz="0" w:space="0" w:color="auto"/>
            <w:bottom w:val="none" w:sz="0" w:space="0" w:color="auto"/>
            <w:right w:val="none" w:sz="0" w:space="0" w:color="auto"/>
          </w:divBdr>
        </w:div>
      </w:divsChild>
    </w:div>
    <w:div w:id="228810343">
      <w:bodyDiv w:val="1"/>
      <w:marLeft w:val="0"/>
      <w:marRight w:val="0"/>
      <w:marTop w:val="0"/>
      <w:marBottom w:val="0"/>
      <w:divBdr>
        <w:top w:val="none" w:sz="0" w:space="0" w:color="auto"/>
        <w:left w:val="none" w:sz="0" w:space="0" w:color="auto"/>
        <w:bottom w:val="none" w:sz="0" w:space="0" w:color="auto"/>
        <w:right w:val="none" w:sz="0" w:space="0" w:color="auto"/>
      </w:divBdr>
    </w:div>
    <w:div w:id="246576738">
      <w:bodyDiv w:val="1"/>
      <w:marLeft w:val="0"/>
      <w:marRight w:val="0"/>
      <w:marTop w:val="0"/>
      <w:marBottom w:val="0"/>
      <w:divBdr>
        <w:top w:val="none" w:sz="0" w:space="0" w:color="auto"/>
        <w:left w:val="none" w:sz="0" w:space="0" w:color="auto"/>
        <w:bottom w:val="none" w:sz="0" w:space="0" w:color="auto"/>
        <w:right w:val="none" w:sz="0" w:space="0" w:color="auto"/>
      </w:divBdr>
    </w:div>
    <w:div w:id="323164760">
      <w:bodyDiv w:val="1"/>
      <w:marLeft w:val="0"/>
      <w:marRight w:val="0"/>
      <w:marTop w:val="0"/>
      <w:marBottom w:val="0"/>
      <w:divBdr>
        <w:top w:val="none" w:sz="0" w:space="0" w:color="auto"/>
        <w:left w:val="none" w:sz="0" w:space="0" w:color="auto"/>
        <w:bottom w:val="none" w:sz="0" w:space="0" w:color="auto"/>
        <w:right w:val="none" w:sz="0" w:space="0" w:color="auto"/>
      </w:divBdr>
    </w:div>
    <w:div w:id="325399897">
      <w:bodyDiv w:val="1"/>
      <w:marLeft w:val="0"/>
      <w:marRight w:val="0"/>
      <w:marTop w:val="0"/>
      <w:marBottom w:val="0"/>
      <w:divBdr>
        <w:top w:val="none" w:sz="0" w:space="0" w:color="auto"/>
        <w:left w:val="none" w:sz="0" w:space="0" w:color="auto"/>
        <w:bottom w:val="none" w:sz="0" w:space="0" w:color="auto"/>
        <w:right w:val="none" w:sz="0" w:space="0" w:color="auto"/>
      </w:divBdr>
    </w:div>
    <w:div w:id="419762106">
      <w:bodyDiv w:val="1"/>
      <w:marLeft w:val="0"/>
      <w:marRight w:val="0"/>
      <w:marTop w:val="0"/>
      <w:marBottom w:val="0"/>
      <w:divBdr>
        <w:top w:val="none" w:sz="0" w:space="0" w:color="auto"/>
        <w:left w:val="none" w:sz="0" w:space="0" w:color="auto"/>
        <w:bottom w:val="none" w:sz="0" w:space="0" w:color="auto"/>
        <w:right w:val="none" w:sz="0" w:space="0" w:color="auto"/>
      </w:divBdr>
    </w:div>
    <w:div w:id="434596742">
      <w:bodyDiv w:val="1"/>
      <w:marLeft w:val="0"/>
      <w:marRight w:val="0"/>
      <w:marTop w:val="0"/>
      <w:marBottom w:val="0"/>
      <w:divBdr>
        <w:top w:val="none" w:sz="0" w:space="0" w:color="auto"/>
        <w:left w:val="none" w:sz="0" w:space="0" w:color="auto"/>
        <w:bottom w:val="none" w:sz="0" w:space="0" w:color="auto"/>
        <w:right w:val="none" w:sz="0" w:space="0" w:color="auto"/>
      </w:divBdr>
      <w:divsChild>
        <w:div w:id="41641730">
          <w:marLeft w:val="274"/>
          <w:marRight w:val="0"/>
          <w:marTop w:val="0"/>
          <w:marBottom w:val="0"/>
          <w:divBdr>
            <w:top w:val="none" w:sz="0" w:space="0" w:color="auto"/>
            <w:left w:val="none" w:sz="0" w:space="0" w:color="auto"/>
            <w:bottom w:val="none" w:sz="0" w:space="0" w:color="auto"/>
            <w:right w:val="none" w:sz="0" w:space="0" w:color="auto"/>
          </w:divBdr>
        </w:div>
        <w:div w:id="80025258">
          <w:marLeft w:val="274"/>
          <w:marRight w:val="0"/>
          <w:marTop w:val="0"/>
          <w:marBottom w:val="0"/>
          <w:divBdr>
            <w:top w:val="none" w:sz="0" w:space="0" w:color="auto"/>
            <w:left w:val="none" w:sz="0" w:space="0" w:color="auto"/>
            <w:bottom w:val="none" w:sz="0" w:space="0" w:color="auto"/>
            <w:right w:val="none" w:sz="0" w:space="0" w:color="auto"/>
          </w:divBdr>
        </w:div>
        <w:div w:id="1527518106">
          <w:marLeft w:val="274"/>
          <w:marRight w:val="0"/>
          <w:marTop w:val="0"/>
          <w:marBottom w:val="0"/>
          <w:divBdr>
            <w:top w:val="none" w:sz="0" w:space="0" w:color="auto"/>
            <w:left w:val="none" w:sz="0" w:space="0" w:color="auto"/>
            <w:bottom w:val="none" w:sz="0" w:space="0" w:color="auto"/>
            <w:right w:val="none" w:sz="0" w:space="0" w:color="auto"/>
          </w:divBdr>
        </w:div>
        <w:div w:id="1846240270">
          <w:marLeft w:val="994"/>
          <w:marRight w:val="0"/>
          <w:marTop w:val="0"/>
          <w:marBottom w:val="0"/>
          <w:divBdr>
            <w:top w:val="none" w:sz="0" w:space="0" w:color="auto"/>
            <w:left w:val="none" w:sz="0" w:space="0" w:color="auto"/>
            <w:bottom w:val="none" w:sz="0" w:space="0" w:color="auto"/>
            <w:right w:val="none" w:sz="0" w:space="0" w:color="auto"/>
          </w:divBdr>
        </w:div>
      </w:divsChild>
    </w:div>
    <w:div w:id="473185003">
      <w:bodyDiv w:val="1"/>
      <w:marLeft w:val="0"/>
      <w:marRight w:val="0"/>
      <w:marTop w:val="0"/>
      <w:marBottom w:val="0"/>
      <w:divBdr>
        <w:top w:val="none" w:sz="0" w:space="0" w:color="auto"/>
        <w:left w:val="none" w:sz="0" w:space="0" w:color="auto"/>
        <w:bottom w:val="none" w:sz="0" w:space="0" w:color="auto"/>
        <w:right w:val="none" w:sz="0" w:space="0" w:color="auto"/>
      </w:divBdr>
    </w:div>
    <w:div w:id="479200804">
      <w:bodyDiv w:val="1"/>
      <w:marLeft w:val="0"/>
      <w:marRight w:val="0"/>
      <w:marTop w:val="0"/>
      <w:marBottom w:val="0"/>
      <w:divBdr>
        <w:top w:val="none" w:sz="0" w:space="0" w:color="auto"/>
        <w:left w:val="none" w:sz="0" w:space="0" w:color="auto"/>
        <w:bottom w:val="none" w:sz="0" w:space="0" w:color="auto"/>
        <w:right w:val="none" w:sz="0" w:space="0" w:color="auto"/>
      </w:divBdr>
    </w:div>
    <w:div w:id="543031333">
      <w:bodyDiv w:val="1"/>
      <w:marLeft w:val="0"/>
      <w:marRight w:val="0"/>
      <w:marTop w:val="0"/>
      <w:marBottom w:val="0"/>
      <w:divBdr>
        <w:top w:val="none" w:sz="0" w:space="0" w:color="auto"/>
        <w:left w:val="none" w:sz="0" w:space="0" w:color="auto"/>
        <w:bottom w:val="none" w:sz="0" w:space="0" w:color="auto"/>
        <w:right w:val="none" w:sz="0" w:space="0" w:color="auto"/>
      </w:divBdr>
    </w:div>
    <w:div w:id="564992152">
      <w:bodyDiv w:val="1"/>
      <w:marLeft w:val="0"/>
      <w:marRight w:val="0"/>
      <w:marTop w:val="0"/>
      <w:marBottom w:val="0"/>
      <w:divBdr>
        <w:top w:val="none" w:sz="0" w:space="0" w:color="auto"/>
        <w:left w:val="none" w:sz="0" w:space="0" w:color="auto"/>
        <w:bottom w:val="none" w:sz="0" w:space="0" w:color="auto"/>
        <w:right w:val="none" w:sz="0" w:space="0" w:color="auto"/>
      </w:divBdr>
      <w:divsChild>
        <w:div w:id="1359699008">
          <w:marLeft w:val="1166"/>
          <w:marRight w:val="0"/>
          <w:marTop w:val="53"/>
          <w:marBottom w:val="0"/>
          <w:divBdr>
            <w:top w:val="none" w:sz="0" w:space="0" w:color="auto"/>
            <w:left w:val="none" w:sz="0" w:space="0" w:color="auto"/>
            <w:bottom w:val="none" w:sz="0" w:space="0" w:color="auto"/>
            <w:right w:val="none" w:sz="0" w:space="0" w:color="auto"/>
          </w:divBdr>
        </w:div>
      </w:divsChild>
    </w:div>
    <w:div w:id="627584424">
      <w:bodyDiv w:val="1"/>
      <w:marLeft w:val="0"/>
      <w:marRight w:val="0"/>
      <w:marTop w:val="0"/>
      <w:marBottom w:val="0"/>
      <w:divBdr>
        <w:top w:val="none" w:sz="0" w:space="0" w:color="auto"/>
        <w:left w:val="none" w:sz="0" w:space="0" w:color="auto"/>
        <w:bottom w:val="none" w:sz="0" w:space="0" w:color="auto"/>
        <w:right w:val="none" w:sz="0" w:space="0" w:color="auto"/>
      </w:divBdr>
    </w:div>
    <w:div w:id="638803197">
      <w:bodyDiv w:val="1"/>
      <w:marLeft w:val="0"/>
      <w:marRight w:val="0"/>
      <w:marTop w:val="0"/>
      <w:marBottom w:val="0"/>
      <w:divBdr>
        <w:top w:val="none" w:sz="0" w:space="0" w:color="auto"/>
        <w:left w:val="none" w:sz="0" w:space="0" w:color="auto"/>
        <w:bottom w:val="none" w:sz="0" w:space="0" w:color="auto"/>
        <w:right w:val="none" w:sz="0" w:space="0" w:color="auto"/>
      </w:divBdr>
    </w:div>
    <w:div w:id="664472845">
      <w:bodyDiv w:val="1"/>
      <w:marLeft w:val="0"/>
      <w:marRight w:val="0"/>
      <w:marTop w:val="0"/>
      <w:marBottom w:val="0"/>
      <w:divBdr>
        <w:top w:val="none" w:sz="0" w:space="0" w:color="auto"/>
        <w:left w:val="none" w:sz="0" w:space="0" w:color="auto"/>
        <w:bottom w:val="none" w:sz="0" w:space="0" w:color="auto"/>
        <w:right w:val="none" w:sz="0" w:space="0" w:color="auto"/>
      </w:divBdr>
    </w:div>
    <w:div w:id="715081208">
      <w:bodyDiv w:val="1"/>
      <w:marLeft w:val="0"/>
      <w:marRight w:val="0"/>
      <w:marTop w:val="0"/>
      <w:marBottom w:val="0"/>
      <w:divBdr>
        <w:top w:val="none" w:sz="0" w:space="0" w:color="auto"/>
        <w:left w:val="none" w:sz="0" w:space="0" w:color="auto"/>
        <w:bottom w:val="none" w:sz="0" w:space="0" w:color="auto"/>
        <w:right w:val="none" w:sz="0" w:space="0" w:color="auto"/>
      </w:divBdr>
    </w:div>
    <w:div w:id="725563578">
      <w:bodyDiv w:val="1"/>
      <w:marLeft w:val="0"/>
      <w:marRight w:val="0"/>
      <w:marTop w:val="0"/>
      <w:marBottom w:val="0"/>
      <w:divBdr>
        <w:top w:val="none" w:sz="0" w:space="0" w:color="auto"/>
        <w:left w:val="none" w:sz="0" w:space="0" w:color="auto"/>
        <w:bottom w:val="none" w:sz="0" w:space="0" w:color="auto"/>
        <w:right w:val="none" w:sz="0" w:space="0" w:color="auto"/>
      </w:divBdr>
    </w:div>
    <w:div w:id="735781451">
      <w:bodyDiv w:val="1"/>
      <w:marLeft w:val="0"/>
      <w:marRight w:val="0"/>
      <w:marTop w:val="0"/>
      <w:marBottom w:val="0"/>
      <w:divBdr>
        <w:top w:val="none" w:sz="0" w:space="0" w:color="auto"/>
        <w:left w:val="none" w:sz="0" w:space="0" w:color="auto"/>
        <w:bottom w:val="none" w:sz="0" w:space="0" w:color="auto"/>
        <w:right w:val="none" w:sz="0" w:space="0" w:color="auto"/>
      </w:divBdr>
    </w:div>
    <w:div w:id="772408195">
      <w:bodyDiv w:val="1"/>
      <w:marLeft w:val="0"/>
      <w:marRight w:val="0"/>
      <w:marTop w:val="0"/>
      <w:marBottom w:val="0"/>
      <w:divBdr>
        <w:top w:val="none" w:sz="0" w:space="0" w:color="auto"/>
        <w:left w:val="none" w:sz="0" w:space="0" w:color="auto"/>
        <w:bottom w:val="none" w:sz="0" w:space="0" w:color="auto"/>
        <w:right w:val="none" w:sz="0" w:space="0" w:color="auto"/>
      </w:divBdr>
    </w:div>
    <w:div w:id="793213551">
      <w:bodyDiv w:val="1"/>
      <w:marLeft w:val="0"/>
      <w:marRight w:val="0"/>
      <w:marTop w:val="0"/>
      <w:marBottom w:val="0"/>
      <w:divBdr>
        <w:top w:val="none" w:sz="0" w:space="0" w:color="auto"/>
        <w:left w:val="none" w:sz="0" w:space="0" w:color="auto"/>
        <w:bottom w:val="none" w:sz="0" w:space="0" w:color="auto"/>
        <w:right w:val="none" w:sz="0" w:space="0" w:color="auto"/>
      </w:divBdr>
    </w:div>
    <w:div w:id="834344045">
      <w:bodyDiv w:val="1"/>
      <w:marLeft w:val="0"/>
      <w:marRight w:val="0"/>
      <w:marTop w:val="0"/>
      <w:marBottom w:val="0"/>
      <w:divBdr>
        <w:top w:val="none" w:sz="0" w:space="0" w:color="auto"/>
        <w:left w:val="none" w:sz="0" w:space="0" w:color="auto"/>
        <w:bottom w:val="none" w:sz="0" w:space="0" w:color="auto"/>
        <w:right w:val="none" w:sz="0" w:space="0" w:color="auto"/>
      </w:divBdr>
    </w:div>
    <w:div w:id="890575367">
      <w:bodyDiv w:val="1"/>
      <w:marLeft w:val="0"/>
      <w:marRight w:val="0"/>
      <w:marTop w:val="0"/>
      <w:marBottom w:val="0"/>
      <w:divBdr>
        <w:top w:val="none" w:sz="0" w:space="0" w:color="auto"/>
        <w:left w:val="none" w:sz="0" w:space="0" w:color="auto"/>
        <w:bottom w:val="none" w:sz="0" w:space="0" w:color="auto"/>
        <w:right w:val="none" w:sz="0" w:space="0" w:color="auto"/>
      </w:divBdr>
    </w:div>
    <w:div w:id="910046568">
      <w:bodyDiv w:val="1"/>
      <w:marLeft w:val="0"/>
      <w:marRight w:val="0"/>
      <w:marTop w:val="0"/>
      <w:marBottom w:val="0"/>
      <w:divBdr>
        <w:top w:val="none" w:sz="0" w:space="0" w:color="auto"/>
        <w:left w:val="none" w:sz="0" w:space="0" w:color="auto"/>
        <w:bottom w:val="none" w:sz="0" w:space="0" w:color="auto"/>
        <w:right w:val="none" w:sz="0" w:space="0" w:color="auto"/>
      </w:divBdr>
    </w:div>
    <w:div w:id="917713762">
      <w:bodyDiv w:val="1"/>
      <w:marLeft w:val="0"/>
      <w:marRight w:val="0"/>
      <w:marTop w:val="0"/>
      <w:marBottom w:val="0"/>
      <w:divBdr>
        <w:top w:val="none" w:sz="0" w:space="0" w:color="auto"/>
        <w:left w:val="none" w:sz="0" w:space="0" w:color="auto"/>
        <w:bottom w:val="none" w:sz="0" w:space="0" w:color="auto"/>
        <w:right w:val="none" w:sz="0" w:space="0" w:color="auto"/>
      </w:divBdr>
    </w:div>
    <w:div w:id="927618793">
      <w:bodyDiv w:val="1"/>
      <w:marLeft w:val="0"/>
      <w:marRight w:val="0"/>
      <w:marTop w:val="0"/>
      <w:marBottom w:val="0"/>
      <w:divBdr>
        <w:top w:val="none" w:sz="0" w:space="0" w:color="auto"/>
        <w:left w:val="none" w:sz="0" w:space="0" w:color="auto"/>
        <w:bottom w:val="none" w:sz="0" w:space="0" w:color="auto"/>
        <w:right w:val="none" w:sz="0" w:space="0" w:color="auto"/>
      </w:divBdr>
    </w:div>
    <w:div w:id="957225131">
      <w:bodyDiv w:val="1"/>
      <w:marLeft w:val="0"/>
      <w:marRight w:val="0"/>
      <w:marTop w:val="0"/>
      <w:marBottom w:val="0"/>
      <w:divBdr>
        <w:top w:val="none" w:sz="0" w:space="0" w:color="auto"/>
        <w:left w:val="none" w:sz="0" w:space="0" w:color="auto"/>
        <w:bottom w:val="none" w:sz="0" w:space="0" w:color="auto"/>
        <w:right w:val="none" w:sz="0" w:space="0" w:color="auto"/>
      </w:divBdr>
    </w:div>
    <w:div w:id="982810123">
      <w:bodyDiv w:val="1"/>
      <w:marLeft w:val="0"/>
      <w:marRight w:val="0"/>
      <w:marTop w:val="0"/>
      <w:marBottom w:val="0"/>
      <w:divBdr>
        <w:top w:val="none" w:sz="0" w:space="0" w:color="auto"/>
        <w:left w:val="none" w:sz="0" w:space="0" w:color="auto"/>
        <w:bottom w:val="none" w:sz="0" w:space="0" w:color="auto"/>
        <w:right w:val="none" w:sz="0" w:space="0" w:color="auto"/>
      </w:divBdr>
    </w:div>
    <w:div w:id="1022242389">
      <w:bodyDiv w:val="1"/>
      <w:marLeft w:val="0"/>
      <w:marRight w:val="0"/>
      <w:marTop w:val="0"/>
      <w:marBottom w:val="0"/>
      <w:divBdr>
        <w:top w:val="none" w:sz="0" w:space="0" w:color="auto"/>
        <w:left w:val="none" w:sz="0" w:space="0" w:color="auto"/>
        <w:bottom w:val="none" w:sz="0" w:space="0" w:color="auto"/>
        <w:right w:val="none" w:sz="0" w:space="0" w:color="auto"/>
      </w:divBdr>
    </w:div>
    <w:div w:id="1032345304">
      <w:bodyDiv w:val="1"/>
      <w:marLeft w:val="0"/>
      <w:marRight w:val="0"/>
      <w:marTop w:val="0"/>
      <w:marBottom w:val="0"/>
      <w:divBdr>
        <w:top w:val="none" w:sz="0" w:space="0" w:color="auto"/>
        <w:left w:val="none" w:sz="0" w:space="0" w:color="auto"/>
        <w:bottom w:val="none" w:sz="0" w:space="0" w:color="auto"/>
        <w:right w:val="none" w:sz="0" w:space="0" w:color="auto"/>
      </w:divBdr>
    </w:div>
    <w:div w:id="1114906284">
      <w:bodyDiv w:val="1"/>
      <w:marLeft w:val="0"/>
      <w:marRight w:val="0"/>
      <w:marTop w:val="0"/>
      <w:marBottom w:val="0"/>
      <w:divBdr>
        <w:top w:val="none" w:sz="0" w:space="0" w:color="auto"/>
        <w:left w:val="none" w:sz="0" w:space="0" w:color="auto"/>
        <w:bottom w:val="none" w:sz="0" w:space="0" w:color="auto"/>
        <w:right w:val="none" w:sz="0" w:space="0" w:color="auto"/>
      </w:divBdr>
    </w:div>
    <w:div w:id="1183515004">
      <w:bodyDiv w:val="1"/>
      <w:marLeft w:val="0"/>
      <w:marRight w:val="0"/>
      <w:marTop w:val="0"/>
      <w:marBottom w:val="0"/>
      <w:divBdr>
        <w:top w:val="none" w:sz="0" w:space="0" w:color="auto"/>
        <w:left w:val="none" w:sz="0" w:space="0" w:color="auto"/>
        <w:bottom w:val="none" w:sz="0" w:space="0" w:color="auto"/>
        <w:right w:val="none" w:sz="0" w:space="0" w:color="auto"/>
      </w:divBdr>
    </w:div>
    <w:div w:id="1199587745">
      <w:bodyDiv w:val="1"/>
      <w:marLeft w:val="0"/>
      <w:marRight w:val="0"/>
      <w:marTop w:val="0"/>
      <w:marBottom w:val="0"/>
      <w:divBdr>
        <w:top w:val="none" w:sz="0" w:space="0" w:color="auto"/>
        <w:left w:val="none" w:sz="0" w:space="0" w:color="auto"/>
        <w:bottom w:val="none" w:sz="0" w:space="0" w:color="auto"/>
        <w:right w:val="none" w:sz="0" w:space="0" w:color="auto"/>
      </w:divBdr>
    </w:div>
    <w:div w:id="1212497539">
      <w:bodyDiv w:val="1"/>
      <w:marLeft w:val="0"/>
      <w:marRight w:val="0"/>
      <w:marTop w:val="0"/>
      <w:marBottom w:val="0"/>
      <w:divBdr>
        <w:top w:val="none" w:sz="0" w:space="0" w:color="auto"/>
        <w:left w:val="none" w:sz="0" w:space="0" w:color="auto"/>
        <w:bottom w:val="none" w:sz="0" w:space="0" w:color="auto"/>
        <w:right w:val="none" w:sz="0" w:space="0" w:color="auto"/>
      </w:divBdr>
    </w:div>
    <w:div w:id="1253320890">
      <w:bodyDiv w:val="1"/>
      <w:marLeft w:val="0"/>
      <w:marRight w:val="0"/>
      <w:marTop w:val="0"/>
      <w:marBottom w:val="0"/>
      <w:divBdr>
        <w:top w:val="none" w:sz="0" w:space="0" w:color="auto"/>
        <w:left w:val="none" w:sz="0" w:space="0" w:color="auto"/>
        <w:bottom w:val="none" w:sz="0" w:space="0" w:color="auto"/>
        <w:right w:val="none" w:sz="0" w:space="0" w:color="auto"/>
      </w:divBdr>
    </w:div>
    <w:div w:id="1254512740">
      <w:bodyDiv w:val="1"/>
      <w:marLeft w:val="0"/>
      <w:marRight w:val="0"/>
      <w:marTop w:val="0"/>
      <w:marBottom w:val="0"/>
      <w:divBdr>
        <w:top w:val="none" w:sz="0" w:space="0" w:color="auto"/>
        <w:left w:val="none" w:sz="0" w:space="0" w:color="auto"/>
        <w:bottom w:val="none" w:sz="0" w:space="0" w:color="auto"/>
        <w:right w:val="none" w:sz="0" w:space="0" w:color="auto"/>
      </w:divBdr>
    </w:div>
    <w:div w:id="1280800055">
      <w:bodyDiv w:val="1"/>
      <w:marLeft w:val="0"/>
      <w:marRight w:val="0"/>
      <w:marTop w:val="0"/>
      <w:marBottom w:val="0"/>
      <w:divBdr>
        <w:top w:val="none" w:sz="0" w:space="0" w:color="auto"/>
        <w:left w:val="none" w:sz="0" w:space="0" w:color="auto"/>
        <w:bottom w:val="none" w:sz="0" w:space="0" w:color="auto"/>
        <w:right w:val="none" w:sz="0" w:space="0" w:color="auto"/>
      </w:divBdr>
    </w:div>
    <w:div w:id="1365524257">
      <w:bodyDiv w:val="1"/>
      <w:marLeft w:val="0"/>
      <w:marRight w:val="0"/>
      <w:marTop w:val="0"/>
      <w:marBottom w:val="0"/>
      <w:divBdr>
        <w:top w:val="none" w:sz="0" w:space="0" w:color="auto"/>
        <w:left w:val="none" w:sz="0" w:space="0" w:color="auto"/>
        <w:bottom w:val="none" w:sz="0" w:space="0" w:color="auto"/>
        <w:right w:val="none" w:sz="0" w:space="0" w:color="auto"/>
      </w:divBdr>
    </w:div>
    <w:div w:id="1434670489">
      <w:bodyDiv w:val="1"/>
      <w:marLeft w:val="0"/>
      <w:marRight w:val="0"/>
      <w:marTop w:val="0"/>
      <w:marBottom w:val="0"/>
      <w:divBdr>
        <w:top w:val="none" w:sz="0" w:space="0" w:color="auto"/>
        <w:left w:val="none" w:sz="0" w:space="0" w:color="auto"/>
        <w:bottom w:val="none" w:sz="0" w:space="0" w:color="auto"/>
        <w:right w:val="none" w:sz="0" w:space="0" w:color="auto"/>
      </w:divBdr>
    </w:div>
    <w:div w:id="1435586674">
      <w:bodyDiv w:val="1"/>
      <w:marLeft w:val="0"/>
      <w:marRight w:val="0"/>
      <w:marTop w:val="0"/>
      <w:marBottom w:val="0"/>
      <w:divBdr>
        <w:top w:val="none" w:sz="0" w:space="0" w:color="auto"/>
        <w:left w:val="none" w:sz="0" w:space="0" w:color="auto"/>
        <w:bottom w:val="none" w:sz="0" w:space="0" w:color="auto"/>
        <w:right w:val="none" w:sz="0" w:space="0" w:color="auto"/>
      </w:divBdr>
    </w:div>
    <w:div w:id="1504516884">
      <w:bodyDiv w:val="1"/>
      <w:marLeft w:val="0"/>
      <w:marRight w:val="0"/>
      <w:marTop w:val="0"/>
      <w:marBottom w:val="0"/>
      <w:divBdr>
        <w:top w:val="none" w:sz="0" w:space="0" w:color="auto"/>
        <w:left w:val="none" w:sz="0" w:space="0" w:color="auto"/>
        <w:bottom w:val="none" w:sz="0" w:space="0" w:color="auto"/>
        <w:right w:val="none" w:sz="0" w:space="0" w:color="auto"/>
      </w:divBdr>
    </w:div>
    <w:div w:id="1504970968">
      <w:bodyDiv w:val="1"/>
      <w:marLeft w:val="0"/>
      <w:marRight w:val="0"/>
      <w:marTop w:val="0"/>
      <w:marBottom w:val="0"/>
      <w:divBdr>
        <w:top w:val="none" w:sz="0" w:space="0" w:color="auto"/>
        <w:left w:val="none" w:sz="0" w:space="0" w:color="auto"/>
        <w:bottom w:val="none" w:sz="0" w:space="0" w:color="auto"/>
        <w:right w:val="none" w:sz="0" w:space="0" w:color="auto"/>
      </w:divBdr>
    </w:div>
    <w:div w:id="1550723353">
      <w:bodyDiv w:val="1"/>
      <w:marLeft w:val="0"/>
      <w:marRight w:val="0"/>
      <w:marTop w:val="0"/>
      <w:marBottom w:val="0"/>
      <w:divBdr>
        <w:top w:val="none" w:sz="0" w:space="0" w:color="auto"/>
        <w:left w:val="none" w:sz="0" w:space="0" w:color="auto"/>
        <w:bottom w:val="none" w:sz="0" w:space="0" w:color="auto"/>
        <w:right w:val="none" w:sz="0" w:space="0" w:color="auto"/>
      </w:divBdr>
    </w:div>
    <w:div w:id="1558783829">
      <w:bodyDiv w:val="1"/>
      <w:marLeft w:val="0"/>
      <w:marRight w:val="0"/>
      <w:marTop w:val="0"/>
      <w:marBottom w:val="0"/>
      <w:divBdr>
        <w:top w:val="none" w:sz="0" w:space="0" w:color="auto"/>
        <w:left w:val="none" w:sz="0" w:space="0" w:color="auto"/>
        <w:bottom w:val="none" w:sz="0" w:space="0" w:color="auto"/>
        <w:right w:val="none" w:sz="0" w:space="0" w:color="auto"/>
      </w:divBdr>
    </w:div>
    <w:div w:id="1577741450">
      <w:bodyDiv w:val="1"/>
      <w:marLeft w:val="0"/>
      <w:marRight w:val="0"/>
      <w:marTop w:val="0"/>
      <w:marBottom w:val="0"/>
      <w:divBdr>
        <w:top w:val="none" w:sz="0" w:space="0" w:color="auto"/>
        <w:left w:val="none" w:sz="0" w:space="0" w:color="auto"/>
        <w:bottom w:val="none" w:sz="0" w:space="0" w:color="auto"/>
        <w:right w:val="none" w:sz="0" w:space="0" w:color="auto"/>
      </w:divBdr>
    </w:div>
    <w:div w:id="1637098587">
      <w:bodyDiv w:val="1"/>
      <w:marLeft w:val="0"/>
      <w:marRight w:val="0"/>
      <w:marTop w:val="0"/>
      <w:marBottom w:val="0"/>
      <w:divBdr>
        <w:top w:val="none" w:sz="0" w:space="0" w:color="auto"/>
        <w:left w:val="none" w:sz="0" w:space="0" w:color="auto"/>
        <w:bottom w:val="none" w:sz="0" w:space="0" w:color="auto"/>
        <w:right w:val="none" w:sz="0" w:space="0" w:color="auto"/>
      </w:divBdr>
    </w:div>
    <w:div w:id="1698776370">
      <w:bodyDiv w:val="1"/>
      <w:marLeft w:val="0"/>
      <w:marRight w:val="0"/>
      <w:marTop w:val="0"/>
      <w:marBottom w:val="0"/>
      <w:divBdr>
        <w:top w:val="none" w:sz="0" w:space="0" w:color="auto"/>
        <w:left w:val="none" w:sz="0" w:space="0" w:color="auto"/>
        <w:bottom w:val="none" w:sz="0" w:space="0" w:color="auto"/>
        <w:right w:val="none" w:sz="0" w:space="0" w:color="auto"/>
      </w:divBdr>
    </w:div>
    <w:div w:id="1705253381">
      <w:bodyDiv w:val="1"/>
      <w:marLeft w:val="0"/>
      <w:marRight w:val="0"/>
      <w:marTop w:val="0"/>
      <w:marBottom w:val="0"/>
      <w:divBdr>
        <w:top w:val="none" w:sz="0" w:space="0" w:color="auto"/>
        <w:left w:val="none" w:sz="0" w:space="0" w:color="auto"/>
        <w:bottom w:val="none" w:sz="0" w:space="0" w:color="auto"/>
        <w:right w:val="none" w:sz="0" w:space="0" w:color="auto"/>
      </w:divBdr>
    </w:div>
    <w:div w:id="1754013663">
      <w:bodyDiv w:val="1"/>
      <w:marLeft w:val="0"/>
      <w:marRight w:val="0"/>
      <w:marTop w:val="0"/>
      <w:marBottom w:val="0"/>
      <w:divBdr>
        <w:top w:val="none" w:sz="0" w:space="0" w:color="auto"/>
        <w:left w:val="none" w:sz="0" w:space="0" w:color="auto"/>
        <w:bottom w:val="none" w:sz="0" w:space="0" w:color="auto"/>
        <w:right w:val="none" w:sz="0" w:space="0" w:color="auto"/>
      </w:divBdr>
    </w:div>
    <w:div w:id="1781609968">
      <w:bodyDiv w:val="1"/>
      <w:marLeft w:val="0"/>
      <w:marRight w:val="0"/>
      <w:marTop w:val="0"/>
      <w:marBottom w:val="0"/>
      <w:divBdr>
        <w:top w:val="none" w:sz="0" w:space="0" w:color="auto"/>
        <w:left w:val="none" w:sz="0" w:space="0" w:color="auto"/>
        <w:bottom w:val="none" w:sz="0" w:space="0" w:color="auto"/>
        <w:right w:val="none" w:sz="0" w:space="0" w:color="auto"/>
      </w:divBdr>
    </w:div>
    <w:div w:id="1866476018">
      <w:bodyDiv w:val="1"/>
      <w:marLeft w:val="0"/>
      <w:marRight w:val="0"/>
      <w:marTop w:val="0"/>
      <w:marBottom w:val="0"/>
      <w:divBdr>
        <w:top w:val="none" w:sz="0" w:space="0" w:color="auto"/>
        <w:left w:val="none" w:sz="0" w:space="0" w:color="auto"/>
        <w:bottom w:val="none" w:sz="0" w:space="0" w:color="auto"/>
        <w:right w:val="none" w:sz="0" w:space="0" w:color="auto"/>
      </w:divBdr>
      <w:divsChild>
        <w:div w:id="538474390">
          <w:marLeft w:val="274"/>
          <w:marRight w:val="0"/>
          <w:marTop w:val="0"/>
          <w:marBottom w:val="0"/>
          <w:divBdr>
            <w:top w:val="none" w:sz="0" w:space="0" w:color="auto"/>
            <w:left w:val="none" w:sz="0" w:space="0" w:color="auto"/>
            <w:bottom w:val="none" w:sz="0" w:space="0" w:color="auto"/>
            <w:right w:val="none" w:sz="0" w:space="0" w:color="auto"/>
          </w:divBdr>
        </w:div>
        <w:div w:id="1152019021">
          <w:marLeft w:val="274"/>
          <w:marRight w:val="0"/>
          <w:marTop w:val="0"/>
          <w:marBottom w:val="0"/>
          <w:divBdr>
            <w:top w:val="none" w:sz="0" w:space="0" w:color="auto"/>
            <w:left w:val="none" w:sz="0" w:space="0" w:color="auto"/>
            <w:bottom w:val="none" w:sz="0" w:space="0" w:color="auto"/>
            <w:right w:val="none" w:sz="0" w:space="0" w:color="auto"/>
          </w:divBdr>
        </w:div>
        <w:div w:id="1449621685">
          <w:marLeft w:val="274"/>
          <w:marRight w:val="0"/>
          <w:marTop w:val="0"/>
          <w:marBottom w:val="0"/>
          <w:divBdr>
            <w:top w:val="none" w:sz="0" w:space="0" w:color="auto"/>
            <w:left w:val="none" w:sz="0" w:space="0" w:color="auto"/>
            <w:bottom w:val="none" w:sz="0" w:space="0" w:color="auto"/>
            <w:right w:val="none" w:sz="0" w:space="0" w:color="auto"/>
          </w:divBdr>
        </w:div>
      </w:divsChild>
    </w:div>
    <w:div w:id="1881746586">
      <w:bodyDiv w:val="1"/>
      <w:marLeft w:val="0"/>
      <w:marRight w:val="0"/>
      <w:marTop w:val="0"/>
      <w:marBottom w:val="0"/>
      <w:divBdr>
        <w:top w:val="none" w:sz="0" w:space="0" w:color="auto"/>
        <w:left w:val="none" w:sz="0" w:space="0" w:color="auto"/>
        <w:bottom w:val="none" w:sz="0" w:space="0" w:color="auto"/>
        <w:right w:val="none" w:sz="0" w:space="0" w:color="auto"/>
      </w:divBdr>
    </w:div>
    <w:div w:id="1911233217">
      <w:bodyDiv w:val="1"/>
      <w:marLeft w:val="0"/>
      <w:marRight w:val="0"/>
      <w:marTop w:val="0"/>
      <w:marBottom w:val="0"/>
      <w:divBdr>
        <w:top w:val="none" w:sz="0" w:space="0" w:color="auto"/>
        <w:left w:val="none" w:sz="0" w:space="0" w:color="auto"/>
        <w:bottom w:val="none" w:sz="0" w:space="0" w:color="auto"/>
        <w:right w:val="none" w:sz="0" w:space="0" w:color="auto"/>
      </w:divBdr>
    </w:div>
    <w:div w:id="2071804191">
      <w:bodyDiv w:val="1"/>
      <w:marLeft w:val="0"/>
      <w:marRight w:val="0"/>
      <w:marTop w:val="0"/>
      <w:marBottom w:val="0"/>
      <w:divBdr>
        <w:top w:val="none" w:sz="0" w:space="0" w:color="auto"/>
        <w:left w:val="none" w:sz="0" w:space="0" w:color="auto"/>
        <w:bottom w:val="none" w:sz="0" w:space="0" w:color="auto"/>
        <w:right w:val="none" w:sz="0" w:space="0" w:color="auto"/>
      </w:divBdr>
    </w:div>
    <w:div w:id="2076081857">
      <w:bodyDiv w:val="1"/>
      <w:marLeft w:val="0"/>
      <w:marRight w:val="0"/>
      <w:marTop w:val="0"/>
      <w:marBottom w:val="0"/>
      <w:divBdr>
        <w:top w:val="none" w:sz="0" w:space="0" w:color="auto"/>
        <w:left w:val="none" w:sz="0" w:space="0" w:color="auto"/>
        <w:bottom w:val="none" w:sz="0" w:space="0" w:color="auto"/>
        <w:right w:val="none" w:sz="0" w:space="0" w:color="auto"/>
      </w:divBdr>
    </w:div>
    <w:div w:id="2076662217">
      <w:bodyDiv w:val="1"/>
      <w:marLeft w:val="0"/>
      <w:marRight w:val="0"/>
      <w:marTop w:val="0"/>
      <w:marBottom w:val="0"/>
      <w:divBdr>
        <w:top w:val="none" w:sz="0" w:space="0" w:color="auto"/>
        <w:left w:val="none" w:sz="0" w:space="0" w:color="auto"/>
        <w:bottom w:val="none" w:sz="0" w:space="0" w:color="auto"/>
        <w:right w:val="none" w:sz="0" w:space="0" w:color="auto"/>
      </w:divBdr>
    </w:div>
    <w:div w:id="2127189890">
      <w:bodyDiv w:val="1"/>
      <w:marLeft w:val="0"/>
      <w:marRight w:val="0"/>
      <w:marTop w:val="0"/>
      <w:marBottom w:val="0"/>
      <w:divBdr>
        <w:top w:val="none" w:sz="0" w:space="0" w:color="auto"/>
        <w:left w:val="none" w:sz="0" w:space="0" w:color="auto"/>
        <w:bottom w:val="none" w:sz="0" w:space="0" w:color="auto"/>
        <w:right w:val="none" w:sz="0" w:space="0" w:color="auto"/>
      </w:divBdr>
    </w:div>
    <w:div w:id="2130008487">
      <w:bodyDiv w:val="1"/>
      <w:marLeft w:val="0"/>
      <w:marRight w:val="0"/>
      <w:marTop w:val="0"/>
      <w:marBottom w:val="0"/>
      <w:divBdr>
        <w:top w:val="none" w:sz="0" w:space="0" w:color="auto"/>
        <w:left w:val="none" w:sz="0" w:space="0" w:color="auto"/>
        <w:bottom w:val="none" w:sz="0" w:space="0" w:color="auto"/>
        <w:right w:val="none" w:sz="0" w:space="0" w:color="auto"/>
      </w:divBdr>
    </w:div>
    <w:div w:id="2135974904">
      <w:bodyDiv w:val="1"/>
      <w:marLeft w:val="0"/>
      <w:marRight w:val="0"/>
      <w:marTop w:val="0"/>
      <w:marBottom w:val="0"/>
      <w:divBdr>
        <w:top w:val="none" w:sz="0" w:space="0" w:color="auto"/>
        <w:left w:val="none" w:sz="0" w:space="0" w:color="auto"/>
        <w:bottom w:val="none" w:sz="0" w:space="0" w:color="auto"/>
        <w:right w:val="none" w:sz="0" w:space="0" w:color="auto"/>
      </w:divBdr>
    </w:div>
    <w:div w:id="21436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752DF970FE341A9E7734F32AA22FD" ma:contentTypeVersion="8" ma:contentTypeDescription="Create a new document." ma:contentTypeScope="" ma:versionID="c69b13a59136fddee1afa8bf648ee139">
  <xsd:schema xmlns:xsd="http://www.w3.org/2001/XMLSchema" xmlns:xs="http://www.w3.org/2001/XMLSchema" xmlns:p="http://schemas.microsoft.com/office/2006/metadata/properties" xmlns:ns2="33648e8c-5399-4ce0-994e-2f4ddb1c4614" targetNamespace="http://schemas.microsoft.com/office/2006/metadata/properties" ma:root="true" ma:fieldsID="fcae2065975ef2fdfcadd90e96785773" ns2:_="">
    <xsd:import namespace="33648e8c-5399-4ce0-994e-2f4ddb1c4614"/>
    <xsd:element name="properties">
      <xsd:complexType>
        <xsd:sequence>
          <xsd:element name="documentManagement">
            <xsd:complexType>
              <xsd:all>
                <xsd:element ref="ns2:TaxCatchAll" minOccurs="0"/>
                <xsd:element ref="ns2:TaxCatchAllLabel" minOccurs="0"/>
                <xsd:element ref="ns2:EnterpriseDocumentLanguageTaxHTField0" minOccurs="0"/>
                <xsd:element ref="ns2:EnterpriseRecordSeriesCod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48e8c-5399-4ce0-994e-2f4ddb1c461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7b8c5aab-9a72-435f-ab3b-911c985a0b73}" ma:internalName="TaxCatchAll" ma:showField="CatchAllData" ma:web="f77e0220-8b1f-4dbb-9a84-4f752f70a89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7b8c5aab-9a72-435f-ab3b-911c985a0b73}" ma:internalName="TaxCatchAllLabel" ma:readOnly="true" ma:showField="CatchAllDataLabel" ma:web="f77e0220-8b1f-4dbb-9a84-4f752f70a89b">
      <xsd:complexType>
        <xsd:complexContent>
          <xsd:extension base="dms:MultiChoiceLookup">
            <xsd:sequence>
              <xsd:element name="Value" type="dms:Lookup" maxOccurs="unbounded" minOccurs="0" nillable="true"/>
            </xsd:sequence>
          </xsd:extension>
        </xsd:complexContent>
      </xsd:complexType>
    </xsd:element>
    <xsd:element name="EnterpriseDocumentLanguageTaxHTField0" ma:index="9" ma:taxonomy="true" ma:internalName="EnterpriseDocumentLanguageTaxHTField0" ma:taxonomyFieldName="EnterpriseDocumentLanguage" ma:displayName="Lilly Document Language" ma:readOnly="false" ma:default="2;#eng|39540796-0396-4e54-afe9-a602f28bbe8f" ma:fieldId="{93e5a5e9-0ea5-4512-9a61-30e562d954b4}" ma:sspId="dc7d05db-9a88-43f7-9979-b3027636d983" ma:termSetId="29d92dd9-4caf-4659-961a-1591fcb1f2f5" ma:anchorId="00000000-0000-0000-0000-000000000000" ma:open="false" ma:isKeyword="false">
      <xsd:complexType>
        <xsd:sequence>
          <xsd:element ref="pc:Terms" minOccurs="0" maxOccurs="1"/>
        </xsd:sequence>
      </xsd:complexType>
    </xsd:element>
    <xsd:element name="EnterpriseRecordSeriesCodeTaxHTField0" ma:index="11" ma:taxonomy="true" ma:internalName="EnterpriseRecordSeriesCodeTaxHTField0" ma:taxonomyFieldName="EnterpriseRecordSeriesCode" ma:displayName="Lilly Record Series Code" ma:readOnly="false" ma:default="1;#ADM130|70dc3311-3e76-421c-abfa-d108df48853c" ma:fieldId="{23eb9118-512f-4e30-ae67-b759512ccd2b}" ma:sspId="dc7d05db-9a88-43f7-9979-b3027636d983" ma:termSetId="596d0819-e4b3-4e25-8f9b-94317537e49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648e8c-5399-4ce0-994e-2f4ddb1c4614">
      <Value>2</Value>
      <Value>1</Value>
    </TaxCatchAll>
    <EnterpriseDocumentLanguageTaxHTField0 xmlns="33648e8c-5399-4ce0-994e-2f4ddb1c4614">
      <Terms xmlns="http://schemas.microsoft.com/office/infopath/2007/PartnerControls">
        <TermInfo xmlns="http://schemas.microsoft.com/office/infopath/2007/PartnerControls">
          <TermName xmlns="http://schemas.microsoft.com/office/infopath/2007/PartnerControls">eng</TermName>
          <TermId xmlns="http://schemas.microsoft.com/office/infopath/2007/PartnerControls">39540796-0396-4e54-afe9-a602f28bbe8f</TermId>
        </TermInfo>
      </Terms>
    </EnterpriseDocumentLanguageTaxHTField0>
    <EnterpriseRecordSeriesCodeTaxHTField0 xmlns="33648e8c-5399-4ce0-994e-2f4ddb1c4614">
      <Terms xmlns="http://schemas.microsoft.com/office/infopath/2007/PartnerControls">
        <TermInfo xmlns="http://schemas.microsoft.com/office/infopath/2007/PartnerControls">
          <TermName xmlns="http://schemas.microsoft.com/office/infopath/2007/PartnerControls">ADM130</TermName>
          <TermId xmlns="http://schemas.microsoft.com/office/infopath/2007/PartnerControls">70dc3311-3e76-421c-abfa-d108df48853c</TermId>
        </TermInfo>
      </Terms>
    </EnterpriseRecordSeriesCodeTaxHTField0>
  </documentManagement>
</p:properties>
</file>

<file path=customXml/item4.xml><?xml version="1.0" encoding="utf-8"?>
<?mso-contentType ?>
<SharedContentType xmlns="Microsoft.SharePoint.Taxonomy.ContentTypeSync" SourceId="dc7d05db-9a88-43f7-9979-b3027636d98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D16F-17E7-4641-8387-0B2A946ED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48e8c-5399-4ce0-994e-2f4ddb1c4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2B9FA-D5E6-49D2-809C-EA442FF76E64}">
  <ds:schemaRefs>
    <ds:schemaRef ds:uri="http://schemas.microsoft.com/sharepoint/v3/contenttype/forms"/>
  </ds:schemaRefs>
</ds:datastoreItem>
</file>

<file path=customXml/itemProps3.xml><?xml version="1.0" encoding="utf-8"?>
<ds:datastoreItem xmlns:ds="http://schemas.openxmlformats.org/officeDocument/2006/customXml" ds:itemID="{43C18EC6-E79B-4F56-9737-F6D5A9C6B3D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3648e8c-5399-4ce0-994e-2f4ddb1c4614"/>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95AFF4B-5BFE-4DF7-86C5-6ED5CAAF8B25}">
  <ds:schemaRefs>
    <ds:schemaRef ds:uri="Microsoft.SharePoint.Taxonomy.ContentTypeSync"/>
  </ds:schemaRefs>
</ds:datastoreItem>
</file>

<file path=customXml/itemProps5.xml><?xml version="1.0" encoding="utf-8"?>
<ds:datastoreItem xmlns:ds="http://schemas.openxmlformats.org/officeDocument/2006/customXml" ds:itemID="{024F32BB-AA15-4DFB-A1F8-5A02F409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Schaer</dc:creator>
  <cp:lastModifiedBy>Novosiadly, Ruslan</cp:lastModifiedBy>
  <cp:revision>2</cp:revision>
  <cp:lastPrinted>2018-02-09T16:58:00Z</cp:lastPrinted>
  <dcterms:created xsi:type="dcterms:W3CDTF">2019-07-20T18:33:00Z</dcterms:created>
  <dcterms:modified xsi:type="dcterms:W3CDTF">2019-07-20T18:33:00Z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0x010100436752DF970FE341A9E7734F32AA22FD</vt:lpwstr>
  </property>
  <property fmtid="{D5CDD505-2E9C-101B-9397-08002B2CF9AE}" pid="3" name="EnterpriseDocumentLanguage">
    <vt:lpwstr>2;#eng|39540796-0396-4e54-afe9-a602f28bbe8f</vt:lpwstr>
  </property>
  <property fmtid="{D5CDD505-2E9C-101B-9397-08002B2CF9AE}" pid="4" name="EnterpriseRecordSeriesCode">
    <vt:lpwstr>1;#ADM130|70dc3311-3e76-421c-abfa-d108df48853c</vt:lpwstr>
  </property>
</Properties>
</file>