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3AAE7" w14:textId="77777777" w:rsidR="00FE6FAC" w:rsidRPr="00734AF1" w:rsidRDefault="00FE6FAC" w:rsidP="00FE6FAC">
      <w:pPr>
        <w:spacing w:line="240" w:lineRule="auto"/>
      </w:pPr>
    </w:p>
    <w:p w14:paraId="4A302B4C" w14:textId="77777777" w:rsidR="00FE6FAC" w:rsidRPr="0072073D" w:rsidRDefault="00FE6FAC" w:rsidP="00FE6FAC">
      <w:r w:rsidRPr="0072073D">
        <w:rPr>
          <w:noProof/>
        </w:rPr>
        <w:drawing>
          <wp:anchor distT="0" distB="0" distL="114300" distR="114300" simplePos="0" relativeHeight="251659264" behindDoc="0" locked="0" layoutInCell="1" allowOverlap="1" wp14:anchorId="4AF54E1A" wp14:editId="3FC20D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505700" cy="469963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Fig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9D21C" w14:textId="77777777" w:rsidR="00FE6FAC" w:rsidRPr="0072073D" w:rsidRDefault="00FE6FAC" w:rsidP="00FE6FAC"/>
    <w:p w14:paraId="6EFE4B4B" w14:textId="77777777" w:rsidR="00FE6FAC" w:rsidRPr="0072073D" w:rsidRDefault="00FE6FAC" w:rsidP="00FE6FAC"/>
    <w:p w14:paraId="2C9B7542" w14:textId="77777777" w:rsidR="00FE6FAC" w:rsidRPr="0072073D" w:rsidRDefault="00FE6FAC" w:rsidP="00FE6FAC"/>
    <w:p w14:paraId="62EE25F0" w14:textId="77777777" w:rsidR="00FE6FAC" w:rsidRPr="0072073D" w:rsidRDefault="00FE6FAC" w:rsidP="00FE6FAC"/>
    <w:p w14:paraId="65325488" w14:textId="77777777" w:rsidR="00FE6FAC" w:rsidRPr="0072073D" w:rsidRDefault="00FE6FAC" w:rsidP="00FE6FAC"/>
    <w:p w14:paraId="56E1D845" w14:textId="77777777" w:rsidR="00FE6FAC" w:rsidRPr="0072073D" w:rsidRDefault="00FE6FAC" w:rsidP="00FE6FAC"/>
    <w:p w14:paraId="3132BA5D" w14:textId="77777777" w:rsidR="00FE6FAC" w:rsidRPr="0072073D" w:rsidRDefault="00FE6FAC" w:rsidP="00FE6FAC"/>
    <w:p w14:paraId="02245FD3" w14:textId="77777777" w:rsidR="00FE6FAC" w:rsidRPr="0072073D" w:rsidRDefault="00FE6FAC" w:rsidP="00FE6FAC"/>
    <w:p w14:paraId="487CD38E" w14:textId="77777777" w:rsidR="00FE6FAC" w:rsidRPr="0072073D" w:rsidRDefault="00FE6FAC" w:rsidP="00FE6FAC"/>
    <w:p w14:paraId="77CCC760" w14:textId="77777777" w:rsidR="00FE6FAC" w:rsidRPr="0072073D" w:rsidRDefault="00FE6FAC" w:rsidP="00FE6FAC"/>
    <w:p w14:paraId="0609A816" w14:textId="77777777" w:rsidR="00FE6FAC" w:rsidRPr="0072073D" w:rsidRDefault="00FE6FAC" w:rsidP="00FE6FAC"/>
    <w:p w14:paraId="3B82115C" w14:textId="77777777" w:rsidR="00FE6FAC" w:rsidRPr="0072073D" w:rsidRDefault="00FE6FAC" w:rsidP="00FE6FAC"/>
    <w:p w14:paraId="07E0C733" w14:textId="77777777" w:rsidR="00FE6FAC" w:rsidRPr="0072073D" w:rsidRDefault="00FE6FAC" w:rsidP="00FE6FAC">
      <w:pPr>
        <w:spacing w:after="200" w:line="240" w:lineRule="auto"/>
      </w:pPr>
      <w:r w:rsidRPr="0072073D">
        <w:rPr>
          <w:b/>
        </w:rPr>
        <w:t xml:space="preserve">Supplementary Fig. S1. </w:t>
      </w:r>
      <w:r w:rsidRPr="0072073D">
        <w:rPr>
          <w:b/>
          <w:bCs/>
        </w:rPr>
        <w:t xml:space="preserve">Gating strategy used in clinical flow cytometric analysis to measure OX40 RO in peripheral T cells and </w:t>
      </w:r>
      <w:proofErr w:type="spellStart"/>
      <w:r w:rsidRPr="0072073D">
        <w:rPr>
          <w:b/>
          <w:bCs/>
        </w:rPr>
        <w:t>Tregs</w:t>
      </w:r>
      <w:proofErr w:type="spellEnd"/>
      <w:r w:rsidRPr="0072073D">
        <w:rPr>
          <w:b/>
          <w:bCs/>
        </w:rPr>
        <w:t xml:space="preserve"> in patients treated with BMS-986178</w:t>
      </w:r>
      <w:r w:rsidRPr="0072073D">
        <w:rPr>
          <w:b/>
        </w:rPr>
        <w:t xml:space="preserve">. </w:t>
      </w:r>
      <w:r w:rsidRPr="0072073D">
        <w:t>FSC, forward scatter; SSC, side scatter.</w:t>
      </w:r>
    </w:p>
    <w:p w14:paraId="55469BA9" w14:textId="77777777" w:rsidR="00FE6FAC" w:rsidRPr="0072073D" w:rsidRDefault="00FE6FAC" w:rsidP="00FE6FAC">
      <w:pPr>
        <w:spacing w:line="240" w:lineRule="auto"/>
      </w:pPr>
    </w:p>
    <w:p w14:paraId="10CE7BB6" w14:textId="77777777" w:rsidR="00FE6FAC" w:rsidRPr="0072073D" w:rsidRDefault="00FE6FAC" w:rsidP="00FE6FAC">
      <w:pPr>
        <w:spacing w:line="240" w:lineRule="auto"/>
      </w:pPr>
    </w:p>
    <w:p w14:paraId="5C6CBC5F" w14:textId="77777777" w:rsidR="00FE6FAC" w:rsidRPr="0072073D" w:rsidRDefault="00FE6FAC" w:rsidP="00FE6FAC">
      <w:pPr>
        <w:spacing w:line="240" w:lineRule="auto"/>
      </w:pPr>
    </w:p>
    <w:p w14:paraId="52837EBF" w14:textId="77777777" w:rsidR="00FE6FAC" w:rsidRPr="0072073D" w:rsidRDefault="00FE6FAC" w:rsidP="00FE6FAC">
      <w:pPr>
        <w:spacing w:line="240" w:lineRule="auto"/>
      </w:pPr>
    </w:p>
    <w:p w14:paraId="19A2575B" w14:textId="77777777" w:rsidR="00FE6FAC" w:rsidRPr="0072073D" w:rsidRDefault="00FE6FAC" w:rsidP="00FE6FAC">
      <w:r w:rsidRPr="0072073D">
        <w:rPr>
          <w:noProof/>
        </w:rPr>
        <w:drawing>
          <wp:anchor distT="0" distB="0" distL="114300" distR="114300" simplePos="0" relativeHeight="251660288" behindDoc="0" locked="0" layoutInCell="1" allowOverlap="1" wp14:anchorId="129ACFFF" wp14:editId="582A3503">
            <wp:simplePos x="0" y="0"/>
            <wp:positionH relativeFrom="margin">
              <wp:posOffset>965200</wp:posOffset>
            </wp:positionH>
            <wp:positionV relativeFrom="paragraph">
              <wp:posOffset>114300</wp:posOffset>
            </wp:positionV>
            <wp:extent cx="5095240" cy="47117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Fig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DFC1A" w14:textId="77777777" w:rsidR="00FE6FAC" w:rsidRPr="0072073D" w:rsidRDefault="00FE6FAC" w:rsidP="00FE6FAC"/>
    <w:p w14:paraId="41BD3435" w14:textId="77777777" w:rsidR="00FE6FAC" w:rsidRPr="0072073D" w:rsidRDefault="00FE6FAC" w:rsidP="00FE6FAC"/>
    <w:p w14:paraId="1288A907" w14:textId="77777777" w:rsidR="00FE6FAC" w:rsidRPr="0072073D" w:rsidRDefault="00FE6FAC" w:rsidP="00FE6FAC"/>
    <w:p w14:paraId="1FC927DE" w14:textId="77777777" w:rsidR="00FE6FAC" w:rsidRPr="0072073D" w:rsidRDefault="00FE6FAC" w:rsidP="00FE6FAC"/>
    <w:p w14:paraId="030B3D94" w14:textId="77777777" w:rsidR="00FE6FAC" w:rsidRPr="0072073D" w:rsidRDefault="00FE6FAC" w:rsidP="00FE6FAC"/>
    <w:p w14:paraId="614606A5" w14:textId="77777777" w:rsidR="00FE6FAC" w:rsidRPr="0072073D" w:rsidRDefault="00FE6FAC" w:rsidP="00FE6FAC"/>
    <w:p w14:paraId="5679C467" w14:textId="77777777" w:rsidR="00FE6FAC" w:rsidRPr="0072073D" w:rsidRDefault="00FE6FAC" w:rsidP="00FE6FAC"/>
    <w:p w14:paraId="187099CF" w14:textId="77777777" w:rsidR="00FE6FAC" w:rsidRPr="0072073D" w:rsidRDefault="00FE6FAC" w:rsidP="00FE6FAC"/>
    <w:p w14:paraId="32C94D60" w14:textId="77777777" w:rsidR="00FE6FAC" w:rsidRPr="0072073D" w:rsidRDefault="00FE6FAC" w:rsidP="00FE6FAC"/>
    <w:p w14:paraId="6FAA3809" w14:textId="77777777" w:rsidR="00FE6FAC" w:rsidRPr="0072073D" w:rsidRDefault="00FE6FAC" w:rsidP="00FE6FAC"/>
    <w:p w14:paraId="70349B24" w14:textId="77777777" w:rsidR="00FE6FAC" w:rsidRPr="0072073D" w:rsidRDefault="00FE6FAC" w:rsidP="00FE6FAC"/>
    <w:p w14:paraId="2D30A73F" w14:textId="77777777" w:rsidR="00FE6FAC" w:rsidRPr="0072073D" w:rsidRDefault="00FE6FAC" w:rsidP="00FE6FAC"/>
    <w:p w14:paraId="3E8CD668" w14:textId="77777777" w:rsidR="00FE6FAC" w:rsidRPr="0072073D" w:rsidRDefault="00FE6FAC" w:rsidP="00FE6FAC"/>
    <w:p w14:paraId="3C0A284D" w14:textId="77777777" w:rsidR="00FE6FAC" w:rsidRPr="0072073D" w:rsidRDefault="00FE6FAC" w:rsidP="00FE6FAC">
      <w:pPr>
        <w:spacing w:after="200" w:line="240" w:lineRule="auto"/>
      </w:pPr>
      <w:r w:rsidRPr="0072073D">
        <w:rPr>
          <w:b/>
        </w:rPr>
        <w:t xml:space="preserve">Supplementary Fig. S2. </w:t>
      </w:r>
      <w:r w:rsidRPr="0072073D">
        <w:rPr>
          <w:b/>
          <w:bCs/>
        </w:rPr>
        <w:t>Gating strategy used in flow cytometric analysis to measure OX40 RO in murine syngeneic model.</w:t>
      </w:r>
    </w:p>
    <w:p w14:paraId="6CB8E79D" w14:textId="0F313505" w:rsidR="00FE6FAC" w:rsidRPr="0072073D" w:rsidRDefault="00FE6FAC" w:rsidP="00FE6FAC">
      <w:pPr>
        <w:spacing w:after="200" w:line="240" w:lineRule="auto"/>
        <w:rPr>
          <w:b/>
        </w:rPr>
      </w:pPr>
      <w:commentRangeStart w:id="0"/>
      <w:commentRangeStart w:id="1"/>
      <w:commentRangeEnd w:id="0"/>
      <w:commentRangeEnd w:id="1"/>
    </w:p>
    <w:p w14:paraId="0C9A637B" w14:textId="77777777" w:rsidR="00FE6FAC" w:rsidRPr="0072073D" w:rsidRDefault="00FE6FAC" w:rsidP="00FE6FAC">
      <w:pPr>
        <w:tabs>
          <w:tab w:val="num" w:pos="720"/>
        </w:tabs>
        <w:spacing w:after="200" w:line="276" w:lineRule="auto"/>
      </w:pPr>
    </w:p>
    <w:p w14:paraId="78AD9748" w14:textId="77777777" w:rsidR="0072073D" w:rsidRDefault="004A2083" w:rsidP="00C24E0A">
      <w:pPr>
        <w:tabs>
          <w:tab w:val="num" w:pos="720"/>
        </w:tabs>
        <w:spacing w:after="200" w:line="276" w:lineRule="auto"/>
        <w:rPr>
          <w:b/>
        </w:rPr>
      </w:pPr>
      <w:r w:rsidRPr="0072073D">
        <w:rPr>
          <w:noProof/>
        </w:rPr>
        <w:lastRenderedPageBreak/>
        <w:drawing>
          <wp:inline distT="0" distB="0" distL="0" distR="0" wp14:anchorId="05FCE0DE" wp14:editId="0BE0C443">
            <wp:extent cx="6050280" cy="3764162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5631" cy="381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73D">
        <w:rPr>
          <w:b/>
        </w:rPr>
        <w:t xml:space="preserve"> </w:t>
      </w:r>
    </w:p>
    <w:p w14:paraId="19E71976" w14:textId="7E575D92" w:rsidR="00FE6FAC" w:rsidRPr="0072073D" w:rsidRDefault="00FE6FAC" w:rsidP="00C24E0A">
      <w:pPr>
        <w:tabs>
          <w:tab w:val="num" w:pos="720"/>
        </w:tabs>
        <w:spacing w:after="200" w:line="276" w:lineRule="auto"/>
      </w:pPr>
      <w:r w:rsidRPr="0072073D">
        <w:rPr>
          <w:b/>
        </w:rPr>
        <w:t xml:space="preserve">Supplementary Fig. S3. </w:t>
      </w:r>
      <w:r w:rsidRPr="0072073D">
        <w:rPr>
          <w:b/>
          <w:bCs/>
        </w:rPr>
        <w:t>Characterization of BMS-986178.</w:t>
      </w:r>
      <w:r w:rsidRPr="0072073D">
        <w:t xml:space="preserve"> </w:t>
      </w:r>
      <w:r w:rsidRPr="0072073D">
        <w:rPr>
          <w:b/>
        </w:rPr>
        <w:t>(A)</w:t>
      </w:r>
      <w:r w:rsidRPr="0072073D">
        <w:t xml:space="preserve"> Human CD4</w:t>
      </w:r>
      <w:r w:rsidRPr="0072073D">
        <w:rPr>
          <w:vertAlign w:val="superscript"/>
        </w:rPr>
        <w:t>+</w:t>
      </w:r>
      <w:r w:rsidRPr="0072073D">
        <w:t xml:space="preserve"> T cells were activated by anti-CD3/CD28 and then BMS-986178 binding to T cells was assessed by flow cytometry. </w:t>
      </w:r>
      <w:r w:rsidRPr="0072073D">
        <w:rPr>
          <w:b/>
        </w:rPr>
        <w:t>(B)</w:t>
      </w:r>
      <w:r w:rsidRPr="0072073D">
        <w:t xml:space="preserve"> Soluble human OX40L-his fusion protein was incubated with activated human CD4</w:t>
      </w:r>
      <w:r w:rsidRPr="0072073D">
        <w:rPr>
          <w:vertAlign w:val="superscript"/>
        </w:rPr>
        <w:t>+</w:t>
      </w:r>
      <w:r w:rsidRPr="0072073D">
        <w:t xml:space="preserve"> T cells and then blocking of OX40:OX40L interactions by BMS-986178 was assessed by flow cytometry. </w:t>
      </w:r>
      <w:r w:rsidRPr="0072073D">
        <w:rPr>
          <w:b/>
        </w:rPr>
        <w:t>(C</w:t>
      </w:r>
      <w:r w:rsidR="00C24E0A" w:rsidRPr="0072073D">
        <w:rPr>
          <w:b/>
        </w:rPr>
        <w:t xml:space="preserve"> and D</w:t>
      </w:r>
      <w:r w:rsidRPr="0072073D">
        <w:rPr>
          <w:b/>
        </w:rPr>
        <w:t>)</w:t>
      </w:r>
      <w:r w:rsidRPr="0072073D">
        <w:t xml:space="preserve"> Human CD4</w:t>
      </w:r>
      <w:r w:rsidRPr="0072073D">
        <w:rPr>
          <w:vertAlign w:val="superscript"/>
        </w:rPr>
        <w:t>+</w:t>
      </w:r>
      <w:r w:rsidRPr="0072073D">
        <w:t xml:space="preserve"> T cells were incubated with CHO cells expressing human anti-CD3 (OKT3) ± CD32a (to allow </w:t>
      </w:r>
      <w:proofErr w:type="spellStart"/>
      <w:r w:rsidRPr="0072073D">
        <w:t>FcR</w:t>
      </w:r>
      <w:proofErr w:type="spellEnd"/>
      <w:r w:rsidRPr="0072073D">
        <w:t xml:space="preserve"> cross-linking) and indicated doses of BMS-986178. IFN-γ production by T cells was measured by ELISA</w:t>
      </w:r>
      <w:r w:rsidR="00C24E0A" w:rsidRPr="0072073D">
        <w:t xml:space="preserve"> (C) and T cell proliferation was measured by 3[H]-thymidine incorporation (D). (</w:t>
      </w:r>
      <w:r w:rsidR="00C24E0A" w:rsidRPr="0072073D">
        <w:rPr>
          <w:b/>
        </w:rPr>
        <w:t>E</w:t>
      </w:r>
      <w:r w:rsidR="00C24E0A" w:rsidRPr="0072073D">
        <w:t xml:space="preserve">) Human PBMCs were stimulated by superantigen </w:t>
      </w:r>
      <w:r w:rsidR="0087155A" w:rsidRPr="0072073D">
        <w:t xml:space="preserve">with either IgG1 isotype or BMS-986178 </w:t>
      </w:r>
      <w:r w:rsidR="00C24E0A" w:rsidRPr="0072073D">
        <w:t>in the presence of soluble F(ab’)2 cross link antibody</w:t>
      </w:r>
      <w:r w:rsidR="0087155A" w:rsidRPr="0072073D">
        <w:t xml:space="preserve"> IL-2 production was measured by ELISA. (</w:t>
      </w:r>
      <w:r w:rsidR="0087155A" w:rsidRPr="0072073D">
        <w:rPr>
          <w:b/>
        </w:rPr>
        <w:t>F</w:t>
      </w:r>
      <w:r w:rsidR="0087155A" w:rsidRPr="0072073D">
        <w:t xml:space="preserve">) </w:t>
      </w:r>
      <w:r w:rsidR="00840691" w:rsidRPr="0072073D">
        <w:t xml:space="preserve">CFSE-labeled naive CD4+ T cells were stimulated with plate-bound anti-CD3 in the present of isotype control or </w:t>
      </w:r>
      <w:r w:rsidR="00931A52" w:rsidRPr="0072073D">
        <w:t>BMS-986178</w:t>
      </w:r>
      <w:r w:rsidR="00840691" w:rsidRPr="0072073D">
        <w:t xml:space="preserve"> with cross like secondary antibody at indicated TGFβ concentrations. TGFβ</w:t>
      </w:r>
      <w:r w:rsidR="00931A52" w:rsidRPr="0072073D">
        <w:t>–mediated induction of FOXP3</w:t>
      </w:r>
      <w:r w:rsidR="00840691" w:rsidRPr="0072073D">
        <w:t xml:space="preserve"> </w:t>
      </w:r>
      <w:r w:rsidR="00931A52" w:rsidRPr="0072073D">
        <w:t>expression</w:t>
      </w:r>
      <w:r w:rsidR="00840691" w:rsidRPr="0072073D">
        <w:t xml:space="preserve"> was measured by flow cytometry.</w:t>
      </w:r>
    </w:p>
    <w:p w14:paraId="158B3AA1" w14:textId="77777777" w:rsidR="00FE6FAC" w:rsidRPr="0072073D" w:rsidRDefault="00FE6FAC" w:rsidP="00FE6FAC">
      <w:pPr>
        <w:tabs>
          <w:tab w:val="num" w:pos="720"/>
        </w:tabs>
        <w:spacing w:after="200" w:line="276" w:lineRule="auto"/>
        <w:sectPr w:rsidR="00FE6FAC" w:rsidRPr="0072073D" w:rsidSect="00290131">
          <w:headerReference w:type="default" r:id="rId9"/>
          <w:footerReference w:type="default" r:id="rId10"/>
          <w:footnotePr>
            <w:numFmt w:val="lowerLetter"/>
          </w:footnotePr>
          <w:endnotePr>
            <w:numFmt w:val="decimal"/>
          </w:endnotePr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9550237" w14:textId="77777777" w:rsidR="00FE6FAC" w:rsidRPr="0072073D" w:rsidRDefault="00FE6FAC" w:rsidP="00FE6FAC">
      <w:pPr>
        <w:spacing w:after="200" w:line="240" w:lineRule="auto"/>
        <w:rPr>
          <w:b/>
        </w:rPr>
      </w:pPr>
      <w:r w:rsidRPr="0072073D">
        <w:rPr>
          <w:b/>
          <w:noProof/>
        </w:rPr>
        <w:lastRenderedPageBreak/>
        <w:drawing>
          <wp:inline distT="0" distB="0" distL="0" distR="0" wp14:anchorId="6CBD65D9" wp14:editId="38F91D16">
            <wp:extent cx="5943600" cy="241476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2B5A5" w14:textId="77777777" w:rsidR="00FE6FAC" w:rsidRPr="0072073D" w:rsidRDefault="00FE6FAC" w:rsidP="00FE6FAC">
      <w:pPr>
        <w:spacing w:after="200" w:line="276" w:lineRule="auto"/>
      </w:pPr>
      <w:r w:rsidRPr="0072073D">
        <w:rPr>
          <w:b/>
        </w:rPr>
        <w:t>Supplementary Fig. S4.</w:t>
      </w:r>
      <w:r w:rsidRPr="0072073D">
        <w:t xml:space="preserve"> </w:t>
      </w:r>
      <w:r w:rsidRPr="0072073D">
        <w:rPr>
          <w:b/>
          <w:bCs/>
        </w:rPr>
        <w:t>BMS-986178 ± nivolumab or ipilimumab increased levels of proliferating (Ki67</w:t>
      </w:r>
      <w:r w:rsidRPr="0072073D">
        <w:rPr>
          <w:b/>
          <w:bCs/>
          <w:vertAlign w:val="superscript"/>
        </w:rPr>
        <w:t>+</w:t>
      </w:r>
      <w:r w:rsidRPr="0072073D">
        <w:rPr>
          <w:b/>
          <w:bCs/>
        </w:rPr>
        <w:t>) CD4</w:t>
      </w:r>
      <w:r w:rsidRPr="0072073D">
        <w:rPr>
          <w:b/>
          <w:bCs/>
          <w:vertAlign w:val="superscript"/>
        </w:rPr>
        <w:t>+</w:t>
      </w:r>
      <w:r w:rsidRPr="0072073D">
        <w:rPr>
          <w:b/>
          <w:bCs/>
        </w:rPr>
        <w:t xml:space="preserve"> and CD8</w:t>
      </w:r>
      <w:r w:rsidRPr="0072073D">
        <w:rPr>
          <w:b/>
          <w:bCs/>
          <w:vertAlign w:val="superscript"/>
        </w:rPr>
        <w:t>+</w:t>
      </w:r>
      <w:r w:rsidRPr="0072073D">
        <w:rPr>
          <w:b/>
          <w:bCs/>
        </w:rPr>
        <w:t xml:space="preserve"> populations in patients with advanced solid tumors</w:t>
      </w:r>
      <w:r w:rsidRPr="0072073D">
        <w:rPr>
          <w:b/>
        </w:rPr>
        <w:t xml:space="preserve">. </w:t>
      </w:r>
      <w:r w:rsidRPr="0072073D">
        <w:t>Graph shows fold increase in (Ki67</w:t>
      </w:r>
      <w:r w:rsidRPr="0072073D">
        <w:rPr>
          <w:rStyle w:val="BMSSuperscript"/>
        </w:rPr>
        <w:t>+</w:t>
      </w:r>
      <w:r w:rsidRPr="0072073D">
        <w:t>) CD4</w:t>
      </w:r>
      <w:r w:rsidRPr="0072073D">
        <w:rPr>
          <w:rStyle w:val="BMSSuperscript"/>
        </w:rPr>
        <w:t>+</w:t>
      </w:r>
      <w:r w:rsidRPr="0072073D">
        <w:t xml:space="preserve"> and CD8</w:t>
      </w:r>
      <w:r w:rsidRPr="0072073D">
        <w:rPr>
          <w:rStyle w:val="BMSSuperscript"/>
        </w:rPr>
        <w:t>+</w:t>
      </w:r>
      <w:r w:rsidRPr="0072073D">
        <w:t xml:space="preserve"> T-cell populations (posttreatment compared with baseline). </w:t>
      </w:r>
      <w:r w:rsidRPr="0072073D">
        <w:rPr>
          <w:b/>
          <w:bCs/>
        </w:rPr>
        <w:t xml:space="preserve">(A) </w:t>
      </w:r>
      <w:r w:rsidRPr="0072073D">
        <w:t>Ki67</w:t>
      </w:r>
      <w:r w:rsidRPr="0072073D">
        <w:rPr>
          <w:vertAlign w:val="superscript"/>
        </w:rPr>
        <w:t>+</w:t>
      </w:r>
      <w:r w:rsidRPr="0072073D">
        <w:t>CD4</w:t>
      </w:r>
      <w:r w:rsidRPr="0072073D">
        <w:rPr>
          <w:vertAlign w:val="superscript"/>
        </w:rPr>
        <w:t>+</w:t>
      </w:r>
      <w:r w:rsidRPr="0072073D">
        <w:t xml:space="preserve"> effector memory cells, </w:t>
      </w:r>
      <w:r w:rsidRPr="0072073D">
        <w:rPr>
          <w:b/>
          <w:bCs/>
        </w:rPr>
        <w:t>(B)</w:t>
      </w:r>
      <w:r w:rsidRPr="0072073D">
        <w:t xml:space="preserve"> Ki67</w:t>
      </w:r>
      <w:r w:rsidRPr="0072073D">
        <w:rPr>
          <w:vertAlign w:val="superscript"/>
        </w:rPr>
        <w:t>+</w:t>
      </w:r>
      <w:r w:rsidRPr="0072073D">
        <w:t>CD38</w:t>
      </w:r>
      <w:r w:rsidRPr="0072073D">
        <w:rPr>
          <w:vertAlign w:val="superscript"/>
        </w:rPr>
        <w:t>+</w:t>
      </w:r>
      <w:r w:rsidRPr="0072073D">
        <w:t>HLA-DR</w:t>
      </w:r>
      <w:r w:rsidRPr="0072073D">
        <w:rPr>
          <w:vertAlign w:val="superscript"/>
        </w:rPr>
        <w:t>+</w:t>
      </w:r>
      <w:r w:rsidRPr="0072073D">
        <w:t>CD4</w:t>
      </w:r>
      <w:r w:rsidRPr="0072073D">
        <w:rPr>
          <w:vertAlign w:val="superscript"/>
        </w:rPr>
        <w:t>+</w:t>
      </w:r>
      <w:r w:rsidRPr="0072073D">
        <w:t xml:space="preserve"> effector cells, and </w:t>
      </w:r>
      <w:r w:rsidRPr="0072073D">
        <w:rPr>
          <w:b/>
          <w:bCs/>
        </w:rPr>
        <w:t xml:space="preserve">(C) </w:t>
      </w:r>
      <w:r w:rsidRPr="0072073D">
        <w:t>Ki67</w:t>
      </w:r>
      <w:r w:rsidRPr="0072073D">
        <w:rPr>
          <w:vertAlign w:val="superscript"/>
        </w:rPr>
        <w:t>+</w:t>
      </w:r>
      <w:r w:rsidRPr="0072073D">
        <w:t>CD8</w:t>
      </w:r>
      <w:r w:rsidRPr="0072073D">
        <w:rPr>
          <w:vertAlign w:val="superscript"/>
        </w:rPr>
        <w:t>+</w:t>
      </w:r>
      <w:r w:rsidRPr="0072073D">
        <w:t xml:space="preserve"> effector memory cells in patient peripheral blood at C1D2 of BMS-986178 monotherapy cohort and C1D8 of NIVO or IPI combination cohorts. See Fig. 1 for modulation at other time points. IPI, ipilimumab; NIVO, nivolumab.</w:t>
      </w:r>
    </w:p>
    <w:p w14:paraId="333F6797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2275CE05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1C6D5835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29DD9A2F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3570C801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42B59A6A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4BF1BC5C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13D3E5D3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43247F4F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6A34C141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04E6C65D" w14:textId="77777777" w:rsidR="00FE6FAC" w:rsidRPr="0072073D" w:rsidRDefault="00FE6FAC" w:rsidP="00FE6FAC">
      <w:pPr>
        <w:spacing w:after="200" w:line="240" w:lineRule="auto"/>
        <w:rPr>
          <w:b/>
        </w:rPr>
      </w:pPr>
      <w:bookmarkStart w:id="2" w:name="_GoBack"/>
      <w:bookmarkEnd w:id="2"/>
    </w:p>
    <w:p w14:paraId="245498E8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5C7ABBD2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6B844253" w14:textId="77777777" w:rsidR="00FE6FAC" w:rsidRPr="0072073D" w:rsidRDefault="00FE6FAC" w:rsidP="00FE6FAC">
      <w:pPr>
        <w:spacing w:after="200" w:line="240" w:lineRule="auto"/>
        <w:rPr>
          <w:b/>
        </w:rPr>
      </w:pPr>
      <w:r w:rsidRPr="0072073D">
        <w:rPr>
          <w:b/>
          <w:noProof/>
        </w:rPr>
        <w:lastRenderedPageBreak/>
        <w:drawing>
          <wp:inline distT="0" distB="0" distL="0" distR="0" wp14:anchorId="47DD9428" wp14:editId="1A89A118">
            <wp:extent cx="5581015" cy="5869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Fig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5E97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05C6AB30" w14:textId="77777777" w:rsidR="00FE6FAC" w:rsidRPr="0072073D" w:rsidRDefault="00FE6FAC" w:rsidP="00FE6FAC">
      <w:pPr>
        <w:spacing w:after="200" w:line="240" w:lineRule="auto"/>
        <w:sectPr w:rsidR="00FE6FAC" w:rsidRPr="0072073D" w:rsidSect="00E26852">
          <w:footnotePr>
            <w:numFmt w:val="lowerLetter"/>
          </w:footnotePr>
          <w:endnotePr>
            <w:numFmt w:val="decimal"/>
          </w:endnote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2073D">
        <w:rPr>
          <w:b/>
        </w:rPr>
        <w:t xml:space="preserve">Supplementary Fig. S5. </w:t>
      </w:r>
      <w:r w:rsidRPr="0072073D">
        <w:rPr>
          <w:b/>
          <w:bCs/>
        </w:rPr>
        <w:t xml:space="preserve">BMS-986178 ± nivolumab or ipilimumab increased proinflammatory cytokines. </w:t>
      </w:r>
      <w:r w:rsidRPr="0072073D">
        <w:t xml:space="preserve">Modulation of patient serum levels of </w:t>
      </w:r>
      <w:r w:rsidRPr="0072073D">
        <w:rPr>
          <w:b/>
          <w:bCs/>
        </w:rPr>
        <w:t xml:space="preserve">(A) </w:t>
      </w:r>
      <w:r w:rsidRPr="0072073D">
        <w:t xml:space="preserve">IFN-γ, </w:t>
      </w:r>
      <w:r w:rsidRPr="0072073D">
        <w:rPr>
          <w:b/>
          <w:bCs/>
        </w:rPr>
        <w:t>(B)</w:t>
      </w:r>
      <w:r w:rsidRPr="0072073D">
        <w:t xml:space="preserve"> IP-10, and </w:t>
      </w:r>
      <w:r w:rsidRPr="0072073D">
        <w:rPr>
          <w:b/>
          <w:bCs/>
        </w:rPr>
        <w:t>(C)</w:t>
      </w:r>
      <w:r w:rsidRPr="0072073D">
        <w:rPr>
          <w:b/>
        </w:rPr>
        <w:t xml:space="preserve"> </w:t>
      </w:r>
      <w:r w:rsidRPr="0072073D">
        <w:t xml:space="preserve">CXCL9 at pretreatment (C1D1) and various posttreatment time points as measured by Luminex. See Supplementary Table S4 for summary of </w:t>
      </w:r>
      <w:r w:rsidRPr="0072073D">
        <w:rPr>
          <w:i/>
        </w:rPr>
        <w:t>P</w:t>
      </w:r>
      <w:r w:rsidRPr="0072073D">
        <w:t xml:space="preserve"> values. </w:t>
      </w:r>
    </w:p>
    <w:p w14:paraId="31A20C3B" w14:textId="77777777" w:rsidR="00FE6FAC" w:rsidRPr="0072073D" w:rsidRDefault="00FE6FAC" w:rsidP="00FE6FAC">
      <w:pPr>
        <w:spacing w:after="200" w:line="240" w:lineRule="auto"/>
        <w:rPr>
          <w:b/>
        </w:rPr>
      </w:pPr>
      <w:r w:rsidRPr="0072073D">
        <w:rPr>
          <w:b/>
          <w:noProof/>
        </w:rPr>
        <w:lastRenderedPageBreak/>
        <w:drawing>
          <wp:inline distT="0" distB="0" distL="0" distR="0" wp14:anchorId="2CF5D20A" wp14:editId="6D878593">
            <wp:extent cx="7289826" cy="40767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lFig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111" cy="407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0B53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390B4B77" w14:textId="77777777" w:rsidR="00FE6FAC" w:rsidRPr="0072073D" w:rsidRDefault="00FE6FAC" w:rsidP="00FE6FAC">
      <w:pPr>
        <w:spacing w:after="200" w:line="240" w:lineRule="auto"/>
      </w:pPr>
      <w:r w:rsidRPr="0072073D">
        <w:rPr>
          <w:b/>
        </w:rPr>
        <w:t xml:space="preserve">Supplementary Fig. S6. </w:t>
      </w:r>
      <w:r w:rsidRPr="0072073D">
        <w:rPr>
          <w:b/>
          <w:bCs/>
        </w:rPr>
        <w:t xml:space="preserve">Anti-OX40 agonist combined with anti–PD-1 or anti–CTLA-4 enhanced antitumor activity in syngeneic CT26 mouse model. </w:t>
      </w:r>
      <w:r w:rsidRPr="0072073D">
        <w:rPr>
          <w:b/>
        </w:rPr>
        <w:t>(A)</w:t>
      </w:r>
      <w:r w:rsidRPr="0072073D">
        <w:t xml:space="preserve"> Tumor volumes of mice treated with IgG isotype control or anti-OX40 at indicated doses. </w:t>
      </w:r>
      <w:r w:rsidRPr="0072073D">
        <w:rPr>
          <w:b/>
        </w:rPr>
        <w:t>(B)</w:t>
      </w:r>
      <w:r w:rsidRPr="0072073D">
        <w:t xml:space="preserve"> Tumor volumes of mice treated with anti–PD-1 or anti–PD-1 plus anti-OX40 at indicated doses. </w:t>
      </w:r>
      <w:r w:rsidRPr="0072073D">
        <w:rPr>
          <w:b/>
        </w:rPr>
        <w:t>(C)</w:t>
      </w:r>
      <w:r w:rsidRPr="0072073D">
        <w:t xml:space="preserve"> Tumor volumes of mice treated with anti–CTLA-4 or anti–CTLA-4 plus anti-OX40 at indicated doses. N = 10 mice per group. Doses and dose schedules are described in the Materials and Methods. TF, tumor free.</w:t>
      </w:r>
    </w:p>
    <w:p w14:paraId="015AE5AF" w14:textId="77777777" w:rsidR="00FE6FAC" w:rsidRPr="0072073D" w:rsidRDefault="00FE6FAC" w:rsidP="00FE6FAC">
      <w:pPr>
        <w:spacing w:after="200" w:line="240" w:lineRule="auto"/>
        <w:rPr>
          <w:b/>
        </w:rPr>
      </w:pPr>
      <w:r w:rsidRPr="0072073D">
        <w:rPr>
          <w:b/>
          <w:noProof/>
        </w:rPr>
        <w:lastRenderedPageBreak/>
        <w:drawing>
          <wp:inline distT="0" distB="0" distL="0" distR="0" wp14:anchorId="031C3E3C" wp14:editId="6D8C3193">
            <wp:extent cx="7620000" cy="36887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pplFig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08B3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429C6F41" w14:textId="11E66999" w:rsidR="00731895" w:rsidRPr="0072073D" w:rsidRDefault="00FE6FAC" w:rsidP="00FE6FAC">
      <w:pPr>
        <w:spacing w:after="200" w:line="240" w:lineRule="auto"/>
      </w:pPr>
      <w:r w:rsidRPr="0072073D">
        <w:rPr>
          <w:b/>
        </w:rPr>
        <w:t xml:space="preserve">Supplementary Fig. S7. </w:t>
      </w:r>
      <w:r w:rsidRPr="0072073D">
        <w:rPr>
          <w:b/>
          <w:bCs/>
        </w:rPr>
        <w:t>Concurrent OX40.23-mIgG1 and anti–PD-1 combination treatment was comparable to sequential</w:t>
      </w:r>
      <w:r w:rsidRPr="0072073D">
        <w:rPr>
          <w:b/>
          <w:bCs/>
        </w:rPr>
        <w:br/>
        <w:t xml:space="preserve">dosing. </w:t>
      </w:r>
      <w:r w:rsidRPr="0072073D">
        <w:rPr>
          <w:b/>
        </w:rPr>
        <w:t>Top row:</w:t>
      </w:r>
      <w:r w:rsidRPr="0072073D">
        <w:t xml:space="preserve"> Tumor volumes of mice that received concurrent dosing with OX40.23-mIgG1 at indicated doses and anti–PD-1 10 mg/kg on day 5 post-implantation. Control mice received anti–PD-1 alone. </w:t>
      </w:r>
      <w:r w:rsidRPr="0072073D">
        <w:rPr>
          <w:b/>
        </w:rPr>
        <w:t>Bottom row:</w:t>
      </w:r>
      <w:r w:rsidRPr="0072073D">
        <w:t xml:space="preserve"> Tumor volumes of mice that received OX40.23-mIgG1 at indicated doses on day 5 post-implantation followed by anti–PD-1 10 mg/kg on day 10 post-implantation. Control mice received anti–PD-1 alone on day 10.</w:t>
      </w:r>
    </w:p>
    <w:p w14:paraId="4F6DC47C" w14:textId="77777777" w:rsidR="00731895" w:rsidRPr="0072073D" w:rsidRDefault="00731895">
      <w:pPr>
        <w:spacing w:after="160" w:line="259" w:lineRule="auto"/>
      </w:pPr>
      <w:r w:rsidRPr="0072073D">
        <w:br w:type="page"/>
      </w:r>
    </w:p>
    <w:p w14:paraId="115C02DC" w14:textId="3D221BA3" w:rsidR="00FE6FAC" w:rsidRPr="0072073D" w:rsidRDefault="0086566F" w:rsidP="00FE6FAC">
      <w:pPr>
        <w:spacing w:after="200" w:line="240" w:lineRule="auto"/>
      </w:pPr>
      <w:r w:rsidRPr="0072073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89C468" wp14:editId="21D2810E">
            <wp:simplePos x="0" y="0"/>
            <wp:positionH relativeFrom="column">
              <wp:posOffset>335280</wp:posOffset>
            </wp:positionH>
            <wp:positionV relativeFrom="paragraph">
              <wp:posOffset>5080</wp:posOffset>
            </wp:positionV>
            <wp:extent cx="4386580" cy="3768090"/>
            <wp:effectExtent l="0" t="0" r="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4E6BF" w14:textId="6170BD7C" w:rsidR="00FE6FAC" w:rsidRPr="0072073D" w:rsidRDefault="00FE6FAC" w:rsidP="00FE6FAC">
      <w:pPr>
        <w:spacing w:line="240" w:lineRule="auto"/>
      </w:pPr>
    </w:p>
    <w:p w14:paraId="35F5EE7C" w14:textId="396685E2" w:rsidR="00720A89" w:rsidRPr="0072073D" w:rsidRDefault="00720A89" w:rsidP="00720A89">
      <w:pPr>
        <w:spacing w:after="160" w:line="259" w:lineRule="auto"/>
      </w:pPr>
      <w:r w:rsidRPr="0072073D">
        <w:rPr>
          <w:b/>
          <w:bCs/>
        </w:rPr>
        <w:t>Supplementary Fig. S8.</w:t>
      </w:r>
      <w:r w:rsidR="00801F98" w:rsidRPr="0072073D">
        <w:rPr>
          <w:b/>
          <w:bCs/>
        </w:rPr>
        <w:t xml:space="preserve"> </w:t>
      </w:r>
      <w:r w:rsidRPr="0072073D">
        <w:rPr>
          <w:b/>
          <w:bCs/>
        </w:rPr>
        <w:t>Correlation between early T cell activation markers and tumor responses to anti-OX40 and anti-PD-1 combination therapy.</w:t>
      </w:r>
      <w:r w:rsidRPr="0072073D">
        <w:t xml:space="preserve"> Mice treated with combination of anti-OX40 and anti-PD-1 were separated into two groups based on tumor progression statue at Day 20. Tumor volume &gt;100 mm</w:t>
      </w:r>
      <w:r w:rsidRPr="0072073D">
        <w:rPr>
          <w:vertAlign w:val="superscript"/>
        </w:rPr>
        <w:t>3</w:t>
      </w:r>
      <w:r w:rsidRPr="0072073D">
        <w:t xml:space="preserve"> was considered as progressive disease, and tumor volume ≤100 mm</w:t>
      </w:r>
      <w:r w:rsidRPr="0072073D">
        <w:rPr>
          <w:vertAlign w:val="superscript"/>
        </w:rPr>
        <w:t xml:space="preserve">3 </w:t>
      </w:r>
      <w:r w:rsidRPr="0072073D">
        <w:t xml:space="preserve">was considered as regression. Percentage of Ki67+ CD8+ at Day 12, when there was no clear separation of tumor volume, were positively correlated to tumor response at later time point (Day 20). **, P&lt;0.05. </w:t>
      </w:r>
    </w:p>
    <w:p w14:paraId="7C28DDDC" w14:textId="77777777" w:rsidR="00801F98" w:rsidRPr="0072073D" w:rsidRDefault="00801F98" w:rsidP="00720A89">
      <w:pPr>
        <w:spacing w:after="160" w:line="259" w:lineRule="auto"/>
        <w:rPr>
          <w:b/>
          <w:bCs/>
        </w:rPr>
      </w:pPr>
    </w:p>
    <w:p w14:paraId="73798833" w14:textId="57034BA1" w:rsidR="00801F98" w:rsidRPr="0072073D" w:rsidRDefault="00801F98" w:rsidP="00720A89">
      <w:pPr>
        <w:spacing w:after="160" w:line="259" w:lineRule="auto"/>
        <w:rPr>
          <w:b/>
          <w:bCs/>
        </w:rPr>
      </w:pPr>
    </w:p>
    <w:p w14:paraId="5D50052B" w14:textId="04E0AD3C" w:rsidR="00801F98" w:rsidRPr="0072073D" w:rsidRDefault="00801F98" w:rsidP="00720A89">
      <w:pPr>
        <w:spacing w:after="160" w:line="259" w:lineRule="auto"/>
        <w:rPr>
          <w:b/>
          <w:bCs/>
        </w:rPr>
      </w:pPr>
      <w:r w:rsidRPr="0072073D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C26574" wp14:editId="3A629224">
            <wp:simplePos x="0" y="0"/>
            <wp:positionH relativeFrom="margin">
              <wp:align>left</wp:align>
            </wp:positionH>
            <wp:positionV relativeFrom="paragraph">
              <wp:posOffset>90</wp:posOffset>
            </wp:positionV>
            <wp:extent cx="3668395" cy="3789045"/>
            <wp:effectExtent l="0" t="0" r="8255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E9F55" w14:textId="61274939" w:rsidR="00720A89" w:rsidRPr="0072073D" w:rsidRDefault="00720A89" w:rsidP="00720A89">
      <w:pPr>
        <w:spacing w:after="160" w:line="259" w:lineRule="auto"/>
      </w:pPr>
      <w:r w:rsidRPr="0072073D">
        <w:rPr>
          <w:b/>
          <w:bCs/>
        </w:rPr>
        <w:t>Supplementary Fig. S9. Anti-mouse OX40 antibody demonstrated high RO in preclinical model</w:t>
      </w:r>
      <w:r w:rsidRPr="0072073D">
        <w:t xml:space="preserve">. Anti-mouse OX40 antibody demonstrated similar </w:t>
      </w:r>
      <w:proofErr w:type="spellStart"/>
      <w:r w:rsidR="0086566F" w:rsidRPr="0072073D">
        <w:t>intratumoral</w:t>
      </w:r>
      <w:proofErr w:type="spellEnd"/>
      <w:r w:rsidR="0086566F" w:rsidRPr="0072073D">
        <w:t xml:space="preserve"> dose-dependent RO changes </w:t>
      </w:r>
      <w:r w:rsidRPr="0072073D">
        <w:t xml:space="preserve">between </w:t>
      </w:r>
      <w:proofErr w:type="spellStart"/>
      <w:r w:rsidRPr="0072073D">
        <w:t>Treg</w:t>
      </w:r>
      <w:proofErr w:type="spellEnd"/>
      <w:r w:rsidRPr="0072073D">
        <w:t xml:space="preserve"> (CD4+, CD25+, GITR+, ICOS-high) and </w:t>
      </w:r>
      <w:proofErr w:type="spellStart"/>
      <w:r w:rsidRPr="0072073D">
        <w:t>Teff</w:t>
      </w:r>
      <w:proofErr w:type="spellEnd"/>
      <w:r w:rsidRPr="0072073D">
        <w:t xml:space="preserve"> (CD4+, GITR-, CD44+, CD45RB-, ICOS-mid) in tumor. Percent RO was evaluated at Day 13 post implantation from mice treated with anti-OX40 single doses. </w:t>
      </w:r>
    </w:p>
    <w:p w14:paraId="7EA1D6B8" w14:textId="28830C20" w:rsidR="00731895" w:rsidRPr="0072073D" w:rsidRDefault="00731895">
      <w:pPr>
        <w:spacing w:after="160" w:line="259" w:lineRule="auto"/>
      </w:pPr>
      <w:r w:rsidRPr="0072073D">
        <w:br w:type="page"/>
      </w:r>
    </w:p>
    <w:p w14:paraId="5AB842B6" w14:textId="5AA46F7C" w:rsidR="00734AF1" w:rsidRPr="0072073D" w:rsidRDefault="00734AF1" w:rsidP="00FE6FAC">
      <w:pPr>
        <w:spacing w:line="240" w:lineRule="auto"/>
      </w:pPr>
    </w:p>
    <w:p w14:paraId="30B7D6D8" w14:textId="77777777" w:rsidR="00FE6FAC" w:rsidRPr="0072073D" w:rsidRDefault="00FE6FAC" w:rsidP="00FE6FAC">
      <w:pPr>
        <w:spacing w:after="200" w:line="240" w:lineRule="auto"/>
        <w:rPr>
          <w:b/>
        </w:rPr>
      </w:pPr>
      <w:r w:rsidRPr="0072073D">
        <w:rPr>
          <w:noProof/>
        </w:rPr>
        <w:drawing>
          <wp:inline distT="0" distB="0" distL="0" distR="0" wp14:anchorId="3656D3EF" wp14:editId="3C0D4839">
            <wp:extent cx="8229600" cy="3493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l Fig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E47A" w14:textId="77777777" w:rsidR="00FE6FAC" w:rsidRPr="0072073D" w:rsidRDefault="00FE6FAC" w:rsidP="00FE6FAC">
      <w:pPr>
        <w:spacing w:after="200" w:line="240" w:lineRule="auto"/>
        <w:rPr>
          <w:b/>
        </w:rPr>
      </w:pPr>
    </w:p>
    <w:p w14:paraId="6C7CA9AD" w14:textId="084D2DC7" w:rsidR="00FA27F1" w:rsidRPr="0072073D" w:rsidRDefault="00FE6FAC" w:rsidP="00731895">
      <w:pPr>
        <w:spacing w:after="200" w:line="240" w:lineRule="auto"/>
      </w:pPr>
      <w:r w:rsidRPr="0072073D">
        <w:rPr>
          <w:b/>
        </w:rPr>
        <w:t xml:space="preserve">Supplementary Fig. </w:t>
      </w:r>
      <w:r w:rsidR="00731895" w:rsidRPr="0072073D">
        <w:rPr>
          <w:b/>
        </w:rPr>
        <w:t>S10.</w:t>
      </w:r>
      <w:r w:rsidRPr="0072073D">
        <w:rPr>
          <w:b/>
        </w:rPr>
        <w:t xml:space="preserve"> </w:t>
      </w:r>
      <w:r w:rsidRPr="0072073D">
        <w:rPr>
          <w:b/>
          <w:bCs/>
        </w:rPr>
        <w:t xml:space="preserve">BMS-986178 demonstrates high RO and surface OX40 receptor downregulation in patients with advanced tumors. </w:t>
      </w:r>
      <w:r w:rsidRPr="0072073D">
        <w:rPr>
          <w:b/>
        </w:rPr>
        <w:t>(A)</w:t>
      </w:r>
      <w:r w:rsidRPr="0072073D">
        <w:t xml:space="preserve"> Peripheral OX40 RO on CD4</w:t>
      </w:r>
      <w:r w:rsidRPr="0072073D">
        <w:rPr>
          <w:vertAlign w:val="superscript"/>
        </w:rPr>
        <w:t>+</w:t>
      </w:r>
      <w:r w:rsidRPr="0072073D">
        <w:t xml:space="preserve"> non-</w:t>
      </w:r>
      <w:proofErr w:type="spellStart"/>
      <w:r w:rsidRPr="0072073D">
        <w:t>Tregs</w:t>
      </w:r>
      <w:proofErr w:type="spellEnd"/>
      <w:r w:rsidRPr="0072073D">
        <w:t xml:space="preserve"> of patients treated with BMS-986178 20 to 320 mg. </w:t>
      </w:r>
      <w:r w:rsidRPr="0072073D">
        <w:rPr>
          <w:b/>
        </w:rPr>
        <w:t>(B)</w:t>
      </w:r>
      <w:r w:rsidRPr="0072073D">
        <w:t xml:space="preserve"> Total surface OX40 receptor expression on CD4</w:t>
      </w:r>
      <w:r w:rsidRPr="0072073D">
        <w:rPr>
          <w:vertAlign w:val="superscript"/>
        </w:rPr>
        <w:t>+</w:t>
      </w:r>
      <w:r w:rsidRPr="0072073D">
        <w:t xml:space="preserve"> non-</w:t>
      </w:r>
      <w:proofErr w:type="spellStart"/>
      <w:r w:rsidRPr="0072073D">
        <w:t>Tregs</w:t>
      </w:r>
      <w:proofErr w:type="spellEnd"/>
      <w:r w:rsidRPr="0072073D">
        <w:t xml:space="preserve"> of patients treated with BMS-986178 20 to 320 mg.</w:t>
      </w:r>
      <w:r w:rsidR="00731895" w:rsidRPr="0072073D" w:rsidDel="00731895">
        <w:t xml:space="preserve"> </w:t>
      </w:r>
    </w:p>
    <w:p w14:paraId="05865474" w14:textId="77777777" w:rsidR="00FA27F1" w:rsidRPr="0072073D" w:rsidRDefault="00FA27F1" w:rsidP="00FA27F1">
      <w:pPr>
        <w:spacing w:after="200" w:line="240" w:lineRule="auto"/>
      </w:pPr>
      <w:r w:rsidRPr="0072073D">
        <w:rPr>
          <w:noProof/>
        </w:rPr>
        <w:lastRenderedPageBreak/>
        <w:drawing>
          <wp:inline distT="0" distB="0" distL="0" distR="0" wp14:anchorId="1199C466" wp14:editId="53103B65">
            <wp:extent cx="7162800" cy="412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8A56" w14:textId="13E1E1EB" w:rsidR="00FA27F1" w:rsidRPr="0072073D" w:rsidRDefault="00FA27F1" w:rsidP="00FA27F1">
      <w:pPr>
        <w:spacing w:after="200" w:line="240" w:lineRule="auto"/>
      </w:pPr>
      <w:r w:rsidRPr="0072073D">
        <w:rPr>
          <w:b/>
        </w:rPr>
        <w:t xml:space="preserve">Supplementary Fig. </w:t>
      </w:r>
      <w:r w:rsidR="00731895" w:rsidRPr="0072073D">
        <w:rPr>
          <w:b/>
        </w:rPr>
        <w:t>S11</w:t>
      </w:r>
      <w:r w:rsidRPr="0072073D">
        <w:rPr>
          <w:b/>
        </w:rPr>
        <w:t xml:space="preserve">. </w:t>
      </w:r>
      <w:r w:rsidRPr="0072073D">
        <w:rPr>
          <w:b/>
          <w:bCs/>
        </w:rPr>
        <w:t>Fc-</w:t>
      </w:r>
      <w:proofErr w:type="spellStart"/>
      <w:r w:rsidRPr="0072073D">
        <w:rPr>
          <w:b/>
          <w:bCs/>
        </w:rPr>
        <w:t>FcγR</w:t>
      </w:r>
      <w:proofErr w:type="spellEnd"/>
      <w:r w:rsidRPr="0072073D">
        <w:rPr>
          <w:b/>
          <w:bCs/>
        </w:rPr>
        <w:t xml:space="preserve"> Interactions are Required for Antitumor Activity by Agonist OX86 Antibody. </w:t>
      </w:r>
      <w:r w:rsidRPr="0072073D">
        <w:rPr>
          <w:bCs/>
        </w:rPr>
        <w:t xml:space="preserve">Mice with established CT26 tumors were treated with indicated isotypes of anti-OX40 agonist (clone OX86) or mIgG1 isotype control. </w:t>
      </w:r>
      <w:r w:rsidRPr="0072073D">
        <w:rPr>
          <w:b/>
          <w:bCs/>
        </w:rPr>
        <w:t>(A-B)</w:t>
      </w:r>
      <w:r w:rsidRPr="0072073D">
        <w:rPr>
          <w:bCs/>
        </w:rPr>
        <w:t xml:space="preserve"> The Fc domains were selected based on their engagement of mouse </w:t>
      </w:r>
      <w:proofErr w:type="spellStart"/>
      <w:r w:rsidRPr="0072073D">
        <w:rPr>
          <w:bCs/>
        </w:rPr>
        <w:t>FcγRs</w:t>
      </w:r>
      <w:proofErr w:type="spellEnd"/>
      <w:r w:rsidRPr="0072073D">
        <w:rPr>
          <w:bCs/>
        </w:rPr>
        <w:t xml:space="preserve">, with IgG2a binding preferentially to the activation Fc receptors, mouse IgG1 binding preferentially to the inhibitory </w:t>
      </w:r>
      <w:proofErr w:type="spellStart"/>
      <w:r w:rsidRPr="0072073D">
        <w:rPr>
          <w:bCs/>
        </w:rPr>
        <w:t>FcγIIB</w:t>
      </w:r>
      <w:proofErr w:type="spellEnd"/>
      <w:r w:rsidRPr="0072073D">
        <w:rPr>
          <w:bCs/>
        </w:rPr>
        <w:t xml:space="preserve"> and a null variant the IgG1 D265A that lacks detectable </w:t>
      </w:r>
      <w:proofErr w:type="spellStart"/>
      <w:r w:rsidRPr="0072073D">
        <w:rPr>
          <w:bCs/>
        </w:rPr>
        <w:t>FcγR</w:t>
      </w:r>
      <w:proofErr w:type="spellEnd"/>
      <w:r w:rsidRPr="0072073D">
        <w:rPr>
          <w:bCs/>
        </w:rPr>
        <w:t xml:space="preserve"> binding. OX86 </w:t>
      </w:r>
      <w:proofErr w:type="spellStart"/>
      <w:r w:rsidRPr="0072073D">
        <w:rPr>
          <w:bCs/>
        </w:rPr>
        <w:t>mAb</w:t>
      </w:r>
      <w:proofErr w:type="spellEnd"/>
      <w:r w:rsidRPr="0072073D">
        <w:rPr>
          <w:bCs/>
        </w:rPr>
        <w:t xml:space="preserve"> exhibited antitumor activity when administered as IgG1 and IgG2a isotype. </w:t>
      </w:r>
      <w:r w:rsidRPr="0072073D">
        <w:rPr>
          <w:b/>
          <w:bCs/>
        </w:rPr>
        <w:t>(C)</w:t>
      </w:r>
      <w:r w:rsidRPr="0072073D">
        <w:rPr>
          <w:bCs/>
        </w:rPr>
        <w:t xml:space="preserve"> Depletion of tumor </w:t>
      </w:r>
      <w:proofErr w:type="spellStart"/>
      <w:r w:rsidRPr="0072073D">
        <w:rPr>
          <w:bCs/>
        </w:rPr>
        <w:t>Tregs</w:t>
      </w:r>
      <w:proofErr w:type="spellEnd"/>
      <w:r w:rsidRPr="0072073D">
        <w:rPr>
          <w:bCs/>
        </w:rPr>
        <w:t xml:space="preserve"> were only observed in IgG2a subclass of OX86.</w:t>
      </w:r>
    </w:p>
    <w:p w14:paraId="1861AE75" w14:textId="77777777" w:rsidR="00FA27F1" w:rsidRPr="0072073D" w:rsidRDefault="00FA27F1" w:rsidP="00FA27F1">
      <w:pPr>
        <w:spacing w:after="200" w:line="240" w:lineRule="auto"/>
      </w:pPr>
    </w:p>
    <w:p w14:paraId="766E6E3B" w14:textId="2AEE04EF" w:rsidR="00FA27F1" w:rsidRPr="0072073D" w:rsidRDefault="00C36742" w:rsidP="00FA27F1">
      <w:pPr>
        <w:spacing w:after="200" w:line="240" w:lineRule="auto"/>
      </w:pPr>
      <w:r w:rsidRPr="0072073D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0C37054" wp14:editId="18EDC8E6">
            <wp:simplePos x="0" y="0"/>
            <wp:positionH relativeFrom="margin">
              <wp:posOffset>440800</wp:posOffset>
            </wp:positionH>
            <wp:positionV relativeFrom="page">
              <wp:posOffset>630161</wp:posOffset>
            </wp:positionV>
            <wp:extent cx="6699885" cy="5353050"/>
            <wp:effectExtent l="0" t="0" r="5715" b="0"/>
            <wp:wrapTight wrapText="bothSides">
              <wp:wrapPolygon edited="0">
                <wp:start x="8230" y="307"/>
                <wp:lineTo x="7063" y="1076"/>
                <wp:lineTo x="6019" y="1614"/>
                <wp:lineTo x="2088" y="2306"/>
                <wp:lineTo x="983" y="2537"/>
                <wp:lineTo x="983" y="4458"/>
                <wp:lineTo x="1535" y="4996"/>
                <wp:lineTo x="2272" y="5381"/>
                <wp:lineTo x="983" y="5611"/>
                <wp:lineTo x="983" y="5996"/>
                <wp:lineTo x="2272" y="6611"/>
                <wp:lineTo x="184" y="7379"/>
                <wp:lineTo x="184" y="13836"/>
                <wp:lineTo x="491" y="13990"/>
                <wp:lineTo x="2272" y="13990"/>
                <wp:lineTo x="1044" y="14682"/>
                <wp:lineTo x="1044" y="15143"/>
                <wp:lineTo x="2272" y="15220"/>
                <wp:lineTo x="1290" y="16450"/>
                <wp:lineTo x="1290" y="16604"/>
                <wp:lineTo x="2150" y="17680"/>
                <wp:lineTo x="1720" y="17833"/>
                <wp:lineTo x="1720" y="18218"/>
                <wp:lineTo x="2272" y="18910"/>
                <wp:lineTo x="2272" y="19755"/>
                <wp:lineTo x="5159" y="20140"/>
                <wp:lineTo x="10134" y="20524"/>
                <wp:lineTo x="10134" y="21062"/>
                <wp:lineTo x="13880" y="21062"/>
                <wp:lineTo x="14003" y="20447"/>
                <wp:lineTo x="21557" y="20063"/>
                <wp:lineTo x="21557" y="2306"/>
                <wp:lineTo x="17688" y="1691"/>
                <wp:lineTo x="17749" y="1307"/>
                <wp:lineTo x="15170" y="538"/>
                <wp:lineTo x="13266" y="307"/>
                <wp:lineTo x="8230" y="30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7C253" w14:textId="2095B92F" w:rsidR="00FA27F1" w:rsidRPr="0072073D" w:rsidRDefault="00FA27F1" w:rsidP="00FA27F1">
      <w:pPr>
        <w:spacing w:after="200" w:line="240" w:lineRule="auto"/>
      </w:pPr>
    </w:p>
    <w:p w14:paraId="514BDA98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3ED6508C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3BEAF0F1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4C955743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2470D11C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48CEB47A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2439349B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467A0942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7809DC8F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3ED01361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21908DA3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4357264E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2733F0B0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76292A64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1CFA9E31" w14:textId="77777777" w:rsidR="00C36742" w:rsidRPr="0072073D" w:rsidRDefault="00C36742" w:rsidP="00FA27F1">
      <w:pPr>
        <w:spacing w:after="200" w:line="240" w:lineRule="auto"/>
        <w:rPr>
          <w:b/>
        </w:rPr>
      </w:pPr>
    </w:p>
    <w:p w14:paraId="0117F461" w14:textId="5BA4B7CE" w:rsidR="00FE6FAC" w:rsidRPr="0072073D" w:rsidRDefault="00FA27F1" w:rsidP="00EC3201">
      <w:pPr>
        <w:spacing w:after="200" w:line="240" w:lineRule="auto"/>
        <w:rPr>
          <w:bCs/>
        </w:rPr>
      </w:pPr>
      <w:r w:rsidRPr="0072073D">
        <w:rPr>
          <w:b/>
        </w:rPr>
        <w:t>Supplementary Fig. S</w:t>
      </w:r>
      <w:r w:rsidR="00734AF1" w:rsidRPr="0072073D">
        <w:rPr>
          <w:b/>
        </w:rPr>
        <w:t>12</w:t>
      </w:r>
      <w:r w:rsidRPr="0072073D">
        <w:rPr>
          <w:b/>
        </w:rPr>
        <w:t xml:space="preserve">. </w:t>
      </w:r>
      <w:r w:rsidRPr="0072073D">
        <w:rPr>
          <w:b/>
          <w:bCs/>
        </w:rPr>
        <w:t>Treatment with BMS-986178 and nivolumab modulates immune infiltration into tumor tissues of patients with advanced solid tumors.</w:t>
      </w:r>
      <w:r w:rsidRPr="0072073D">
        <w:rPr>
          <w:bCs/>
        </w:rPr>
        <w:t xml:space="preserve"> IHC analysis of matched paired tumor biopsies from pre- and post-treatment of BMS-986178 20-320 mg + nivolumab 240 mg demonstrated a trend toward decreasing FoxP3+ </w:t>
      </w:r>
      <w:proofErr w:type="spellStart"/>
      <w:r w:rsidRPr="0072073D">
        <w:rPr>
          <w:bCs/>
        </w:rPr>
        <w:t>Treg</w:t>
      </w:r>
      <w:proofErr w:type="spellEnd"/>
      <w:r w:rsidRPr="0072073D">
        <w:rPr>
          <w:bCs/>
        </w:rPr>
        <w:t xml:space="preserve"> cells post-treatment. </w:t>
      </w:r>
    </w:p>
    <w:p w14:paraId="0F06CC69" w14:textId="77777777" w:rsidR="00FE6FAC" w:rsidRPr="0072073D" w:rsidRDefault="00FE6FAC" w:rsidP="00FE6FAC">
      <w:pPr>
        <w:spacing w:after="200" w:line="240" w:lineRule="auto"/>
        <w:rPr>
          <w:b/>
        </w:rPr>
      </w:pPr>
      <w:r w:rsidRPr="0072073D">
        <w:rPr>
          <w:b/>
        </w:rPr>
        <w:lastRenderedPageBreak/>
        <w:t xml:space="preserve">Supplementary Table S1. </w:t>
      </w:r>
      <w:r w:rsidRPr="0072073D">
        <w:rPr>
          <w:b/>
          <w:bCs/>
        </w:rPr>
        <w:t>Clinical study design</w:t>
      </w:r>
      <w:r w:rsidRPr="0072073D">
        <w:t xml:space="preserve">: </w:t>
      </w:r>
      <w:r w:rsidRPr="0072073D">
        <w:rPr>
          <w:b/>
        </w:rPr>
        <w:t>phase 1/2a study of BMS-986178 ± nivolumab or ipilimumab in advanced solid tumors (NCT02737475)</w:t>
      </w:r>
    </w:p>
    <w:tbl>
      <w:tblPr>
        <w:tblW w:w="1277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70"/>
        <w:gridCol w:w="2070"/>
        <w:gridCol w:w="4045"/>
        <w:gridCol w:w="180"/>
        <w:gridCol w:w="90"/>
        <w:gridCol w:w="2615"/>
        <w:gridCol w:w="175"/>
        <w:gridCol w:w="1530"/>
      </w:tblGrid>
      <w:tr w:rsidR="00FE6FAC" w:rsidRPr="0072073D" w14:paraId="7B9EF376" w14:textId="77777777" w:rsidTr="00722F0A">
        <w:trPr>
          <w:trHeight w:val="684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DCA13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Design phase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210AB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Treatment</w:t>
            </w:r>
          </w:p>
        </w:tc>
        <w:tc>
          <w:tcPr>
            <w:tcW w:w="40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A3EC5F" w14:textId="6A2EDF04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Dose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AFE65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Frequency and route of administration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23A5D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Patients, n</w:t>
            </w:r>
          </w:p>
        </w:tc>
      </w:tr>
      <w:tr w:rsidR="00FE6FAC" w:rsidRPr="0072073D" w14:paraId="529161AF" w14:textId="77777777" w:rsidTr="00722F0A">
        <w:trPr>
          <w:trHeight w:val="20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EEF07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Monotherapy dose escalation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8B4BE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BMS-986178</w:t>
            </w:r>
          </w:p>
        </w:tc>
        <w:tc>
          <w:tcPr>
            <w:tcW w:w="422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C0535" w14:textId="28705032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20, 40, 80, 160, 320</w:t>
            </w:r>
            <w:r w:rsidR="00722F0A" w:rsidRPr="0072073D">
              <w:rPr>
                <w:rFonts w:eastAsia="Times New Roman"/>
                <w:color w:val="000000"/>
                <w:kern w:val="24"/>
              </w:rPr>
              <w:t xml:space="preserve"> mg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909AB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Q2W, IV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8D58B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20</w:t>
            </w:r>
          </w:p>
        </w:tc>
      </w:tr>
      <w:tr w:rsidR="00FE6FAC" w:rsidRPr="0072073D" w14:paraId="6BC1D691" w14:textId="77777777" w:rsidTr="00722F0A">
        <w:trPr>
          <w:trHeight w:val="1152"/>
        </w:trPr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D646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Combination dose escalation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E241A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BMS-986178 + nivolumab</w:t>
            </w:r>
          </w:p>
        </w:tc>
        <w:tc>
          <w:tcPr>
            <w:tcW w:w="43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FD62E9" w14:textId="394A0EDB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Nivolumab: 240</w:t>
            </w:r>
            <w:r w:rsidR="00722F0A" w:rsidRPr="0072073D">
              <w:rPr>
                <w:rFonts w:eastAsia="Times New Roman"/>
                <w:color w:val="000000"/>
                <w:kern w:val="24"/>
              </w:rPr>
              <w:t xml:space="preserve"> mg</w:t>
            </w:r>
          </w:p>
          <w:p w14:paraId="54C843CF" w14:textId="1DEC32DF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BMS-986178: 20, 40, 80, 160, 320</w:t>
            </w:r>
            <w:r w:rsidR="00722F0A" w:rsidRPr="0072073D">
              <w:rPr>
                <w:rFonts w:eastAsia="Times New Roman"/>
                <w:color w:val="000000"/>
                <w:kern w:val="24"/>
              </w:rPr>
              <w:t xml:space="preserve"> mg</w:t>
            </w:r>
          </w:p>
          <w:p w14:paraId="21DE3AC3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81072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Q2W, IV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C6BD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38</w:t>
            </w:r>
          </w:p>
        </w:tc>
      </w:tr>
      <w:tr w:rsidR="00FE6FAC" w:rsidRPr="0072073D" w14:paraId="6C20B2D4" w14:textId="77777777" w:rsidTr="00722F0A">
        <w:trPr>
          <w:trHeight w:val="734"/>
        </w:trPr>
        <w:tc>
          <w:tcPr>
            <w:tcW w:w="207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1731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Combination dose escalation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9CB8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BMS-986178 + ipilimumab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178B1" w14:textId="378C48E2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Ipilimumab: 1</w:t>
            </w:r>
            <w:r w:rsidR="00722F0A" w:rsidRPr="0072073D">
              <w:rPr>
                <w:rFonts w:eastAsia="Times New Roman"/>
                <w:color w:val="000000"/>
                <w:kern w:val="24"/>
              </w:rPr>
              <w:t xml:space="preserve"> mg/kg</w:t>
            </w:r>
          </w:p>
          <w:p w14:paraId="28401451" w14:textId="669235BA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BMS-986178: 20, 40, 80, 160, 320</w:t>
            </w:r>
            <w:r w:rsidR="00722F0A" w:rsidRPr="0072073D">
              <w:rPr>
                <w:rFonts w:eastAsia="Times New Roman"/>
                <w:color w:val="000000"/>
                <w:kern w:val="24"/>
              </w:rPr>
              <w:t xml:space="preserve"> mg</w:t>
            </w:r>
          </w:p>
          <w:p w14:paraId="3D581E2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887C0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Q3W, IV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0B008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32</w:t>
            </w:r>
          </w:p>
        </w:tc>
      </w:tr>
      <w:tr w:rsidR="00FE6FAC" w:rsidRPr="0072073D" w14:paraId="7D268AFA" w14:textId="77777777" w:rsidTr="00722F0A">
        <w:trPr>
          <w:trHeight w:val="734"/>
        </w:trPr>
        <w:tc>
          <w:tcPr>
            <w:tcW w:w="12775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96328" w14:textId="77777777" w:rsidR="00FE6FAC" w:rsidRPr="0072073D" w:rsidRDefault="00FE6FAC" w:rsidP="00D10DD4">
            <w:pPr>
              <w:spacing w:line="240" w:lineRule="auto"/>
              <w:ind w:left="720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August 31, 2017 data cutoff</w:t>
            </w:r>
          </w:p>
          <w:p w14:paraId="74DDBDF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Primary objectives: safety, tolerability, DLT, MTD, RP2D</w:t>
            </w:r>
          </w:p>
          <w:p w14:paraId="79CE5F2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Secondary objectives: immunogenicity, PK, PD, preliminary antitumor activity</w:t>
            </w:r>
          </w:p>
        </w:tc>
      </w:tr>
    </w:tbl>
    <w:p w14:paraId="4AAE913B" w14:textId="77777777" w:rsidR="00FE6FAC" w:rsidRPr="0072073D" w:rsidRDefault="00FE6FAC" w:rsidP="00FE6FAC">
      <w:pPr>
        <w:spacing w:line="240" w:lineRule="auto"/>
        <w:rPr>
          <w:rFonts w:eastAsia="Times New Roman"/>
          <w:color w:val="000000"/>
          <w:kern w:val="24"/>
        </w:rPr>
      </w:pPr>
      <w:r w:rsidRPr="0072073D">
        <w:rPr>
          <w:rFonts w:eastAsia="Times New Roman"/>
          <w:color w:val="000000"/>
          <w:kern w:val="24"/>
        </w:rPr>
        <w:t>DLT, dose-limiting toxicity; MTD, maximum tolerated dose; RP2D, recommended phase 2 dose.</w:t>
      </w:r>
    </w:p>
    <w:p w14:paraId="26065A61" w14:textId="77777777" w:rsidR="00FE6FAC" w:rsidRPr="0072073D" w:rsidRDefault="00FE6FAC" w:rsidP="00FE6FAC">
      <w:pPr>
        <w:spacing w:line="240" w:lineRule="auto"/>
      </w:pPr>
    </w:p>
    <w:p w14:paraId="5CC5FBD3" w14:textId="77777777" w:rsidR="00FE6FAC" w:rsidRPr="0072073D" w:rsidRDefault="00FE6FAC" w:rsidP="00FE6FAC">
      <w:pPr>
        <w:spacing w:line="240" w:lineRule="auto"/>
      </w:pPr>
    </w:p>
    <w:p w14:paraId="325ABD85" w14:textId="77777777" w:rsidR="00FE6FAC" w:rsidRPr="0072073D" w:rsidRDefault="00FE6FAC" w:rsidP="00FE6FAC">
      <w:pPr>
        <w:spacing w:line="240" w:lineRule="auto"/>
      </w:pPr>
    </w:p>
    <w:p w14:paraId="5E25786C" w14:textId="77777777" w:rsidR="00FE6FAC" w:rsidRPr="0072073D" w:rsidRDefault="00FE6FAC" w:rsidP="00FE6FAC">
      <w:pPr>
        <w:spacing w:line="240" w:lineRule="auto"/>
      </w:pPr>
    </w:p>
    <w:p w14:paraId="5E89B0A8" w14:textId="77777777" w:rsidR="00FE6FAC" w:rsidRPr="0072073D" w:rsidRDefault="00FE6FAC" w:rsidP="00FE6FAC">
      <w:pPr>
        <w:spacing w:line="240" w:lineRule="auto"/>
      </w:pPr>
    </w:p>
    <w:p w14:paraId="634B0CAC" w14:textId="77777777" w:rsidR="00FE6FAC" w:rsidRPr="0072073D" w:rsidRDefault="00FE6FAC" w:rsidP="00FE6FAC">
      <w:pPr>
        <w:spacing w:line="240" w:lineRule="auto"/>
      </w:pPr>
    </w:p>
    <w:p w14:paraId="5132150D" w14:textId="77777777" w:rsidR="00FE6FAC" w:rsidRPr="0072073D" w:rsidRDefault="00FE6FAC" w:rsidP="00FE6FAC">
      <w:pPr>
        <w:spacing w:line="240" w:lineRule="auto"/>
      </w:pPr>
    </w:p>
    <w:p w14:paraId="095E6326" w14:textId="77777777" w:rsidR="00FE6FAC" w:rsidRPr="0072073D" w:rsidRDefault="00FE6FAC" w:rsidP="00FE6FAC">
      <w:pPr>
        <w:spacing w:line="240" w:lineRule="auto"/>
      </w:pPr>
    </w:p>
    <w:p w14:paraId="050E70F7" w14:textId="77777777" w:rsidR="00FE6FAC" w:rsidRPr="0072073D" w:rsidRDefault="00FE6FAC" w:rsidP="00FE6FAC">
      <w:pPr>
        <w:rPr>
          <w:b/>
        </w:rPr>
      </w:pPr>
      <w:r w:rsidRPr="0072073D">
        <w:rPr>
          <w:b/>
        </w:rPr>
        <w:br w:type="page"/>
      </w:r>
    </w:p>
    <w:p w14:paraId="16106423" w14:textId="77777777" w:rsidR="00FE6FAC" w:rsidRPr="0072073D" w:rsidRDefault="00FE6FAC" w:rsidP="00FE6FAC">
      <w:pPr>
        <w:spacing w:line="240" w:lineRule="auto"/>
        <w:rPr>
          <w:b/>
          <w:bCs/>
        </w:rPr>
      </w:pPr>
      <w:r w:rsidRPr="0072073D">
        <w:rPr>
          <w:b/>
        </w:rPr>
        <w:lastRenderedPageBreak/>
        <w:t xml:space="preserve">Supplementary Table S2. </w:t>
      </w:r>
      <w:r w:rsidRPr="0072073D">
        <w:rPr>
          <w:b/>
          <w:bCs/>
        </w:rPr>
        <w:t>FACS reagents for human blood immunophenotyping</w:t>
      </w:r>
    </w:p>
    <w:tbl>
      <w:tblPr>
        <w:tblpPr w:leftFromText="180" w:rightFromText="180" w:vertAnchor="text" w:horzAnchor="margin" w:tblpY="261"/>
        <w:tblW w:w="133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74"/>
        <w:gridCol w:w="2658"/>
        <w:gridCol w:w="3213"/>
        <w:gridCol w:w="2458"/>
        <w:gridCol w:w="2377"/>
      </w:tblGrid>
      <w:tr w:rsidR="00FE6FAC" w:rsidRPr="0072073D" w14:paraId="4B7E6617" w14:textId="77777777" w:rsidTr="00D10DD4">
        <w:trPr>
          <w:trHeight w:val="333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DE533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Marker</w:t>
            </w:r>
          </w:p>
        </w:tc>
        <w:tc>
          <w:tcPr>
            <w:tcW w:w="2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2BC0F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Fluorophore</w:t>
            </w:r>
          </w:p>
        </w:tc>
        <w:tc>
          <w:tcPr>
            <w:tcW w:w="32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96CF53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Clone</w:t>
            </w:r>
          </w:p>
        </w:tc>
        <w:tc>
          <w:tcPr>
            <w:tcW w:w="24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9C65D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Vendor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FBB5E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Catalog number</w:t>
            </w:r>
          </w:p>
        </w:tc>
      </w:tr>
      <w:tr w:rsidR="00FE6FAC" w:rsidRPr="0072073D" w14:paraId="0E1850A4" w14:textId="77777777" w:rsidTr="00D10DD4">
        <w:trPr>
          <w:trHeight w:val="432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1F4DE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Ki-67</w:t>
            </w:r>
          </w:p>
        </w:tc>
        <w:tc>
          <w:tcPr>
            <w:tcW w:w="26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FC970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PerCP5.5</w:t>
            </w:r>
          </w:p>
        </w:tc>
        <w:tc>
          <w:tcPr>
            <w:tcW w:w="321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3B721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B56</w:t>
            </w:r>
          </w:p>
        </w:tc>
        <w:tc>
          <w:tcPr>
            <w:tcW w:w="245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93AD5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BD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6D170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561284</w:t>
            </w:r>
          </w:p>
        </w:tc>
      </w:tr>
      <w:tr w:rsidR="00FE6FAC" w:rsidRPr="0072073D" w14:paraId="5DEA1A49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DA5DC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CD45RA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4D3A1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BB515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B770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HI100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2112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BD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E7BA7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564552</w:t>
            </w:r>
          </w:p>
        </w:tc>
      </w:tr>
      <w:tr w:rsidR="00FE6FAC" w:rsidRPr="0072073D" w14:paraId="3D156CAA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F4A4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CD3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D20F0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AF700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97CCC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SK7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978F3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5CF45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344822</w:t>
            </w:r>
          </w:p>
        </w:tc>
      </w:tr>
      <w:tr w:rsidR="00FE6FAC" w:rsidRPr="0072073D" w14:paraId="2EB62B67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F69A2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CD4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85000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BV510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5E93A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OKT4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39E0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E322A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300546</w:t>
            </w:r>
          </w:p>
        </w:tc>
      </w:tr>
      <w:tr w:rsidR="00FE6FAC" w:rsidRPr="0072073D" w14:paraId="32328F86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ABDF1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CD8a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9B4D6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BV605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F62C0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SK1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041C2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BD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B8D79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564116</w:t>
            </w:r>
          </w:p>
        </w:tc>
      </w:tr>
      <w:tr w:rsidR="00FE6FAC" w:rsidRPr="0072073D" w14:paraId="5558EA2F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B8C3D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CD38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3E303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PE-Cy7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C029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HB7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8C7AE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53C92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356608</w:t>
            </w:r>
          </w:p>
        </w:tc>
      </w:tr>
      <w:tr w:rsidR="00FE6FAC" w:rsidRPr="0072073D" w14:paraId="229530F0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CE11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HLA-DR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33AC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BV650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22592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G46-6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C21E5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BD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135AF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564231</w:t>
            </w:r>
          </w:p>
        </w:tc>
      </w:tr>
      <w:tr w:rsidR="00FE6FAC" w:rsidRPr="0072073D" w14:paraId="448EAA6D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3290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CCR7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CAA49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BV421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19695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GO43H7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EBB7D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F9005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353208</w:t>
            </w:r>
          </w:p>
        </w:tc>
      </w:tr>
      <w:tr w:rsidR="00FE6FAC" w:rsidRPr="0072073D" w14:paraId="181EA8D7" w14:textId="77777777" w:rsidTr="00D10DD4">
        <w:trPr>
          <w:trHeight w:val="432"/>
        </w:trPr>
        <w:tc>
          <w:tcPr>
            <w:tcW w:w="2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2CE08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PD-1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AD849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PE</w:t>
            </w: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C4528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MIH4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9EA4F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eBiosciences</w:t>
            </w:r>
            <w:proofErr w:type="spellEnd"/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2B59B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12996942</w:t>
            </w:r>
          </w:p>
        </w:tc>
      </w:tr>
    </w:tbl>
    <w:p w14:paraId="6B3FF946" w14:textId="77777777" w:rsidR="00FE6FAC" w:rsidRPr="0072073D" w:rsidRDefault="00FE6FAC" w:rsidP="00FE6FAC">
      <w:pPr>
        <w:spacing w:line="240" w:lineRule="auto"/>
      </w:pPr>
    </w:p>
    <w:p w14:paraId="104AE2FA" w14:textId="77777777" w:rsidR="00FE6FAC" w:rsidRPr="0072073D" w:rsidRDefault="00FE6FAC" w:rsidP="00FE6FAC">
      <w:pPr>
        <w:spacing w:line="240" w:lineRule="auto"/>
      </w:pPr>
    </w:p>
    <w:p w14:paraId="23F23DB4" w14:textId="77777777" w:rsidR="00FE6FAC" w:rsidRPr="0072073D" w:rsidRDefault="00FE6FAC" w:rsidP="00FE6FAC">
      <w:pPr>
        <w:spacing w:line="240" w:lineRule="auto"/>
      </w:pPr>
    </w:p>
    <w:p w14:paraId="1F35F4AA" w14:textId="77777777" w:rsidR="00FE6FAC" w:rsidRPr="0072073D" w:rsidRDefault="00FE6FAC" w:rsidP="00FE6FAC">
      <w:pPr>
        <w:spacing w:line="240" w:lineRule="auto"/>
      </w:pPr>
    </w:p>
    <w:p w14:paraId="73F7E22A" w14:textId="77777777" w:rsidR="00FE6FAC" w:rsidRPr="0072073D" w:rsidRDefault="00FE6FAC" w:rsidP="00FE6FAC">
      <w:pPr>
        <w:spacing w:line="240" w:lineRule="auto"/>
      </w:pPr>
    </w:p>
    <w:p w14:paraId="07AC5F3F" w14:textId="77777777" w:rsidR="00FE6FAC" w:rsidRPr="0072073D" w:rsidRDefault="00FE6FAC" w:rsidP="00FE6FAC">
      <w:pPr>
        <w:spacing w:line="240" w:lineRule="auto"/>
      </w:pPr>
    </w:p>
    <w:p w14:paraId="7ACE9C45" w14:textId="77777777" w:rsidR="00FE6FAC" w:rsidRPr="0072073D" w:rsidRDefault="00FE6FAC" w:rsidP="00FE6FAC">
      <w:pPr>
        <w:spacing w:line="240" w:lineRule="auto"/>
      </w:pPr>
    </w:p>
    <w:p w14:paraId="634DFF98" w14:textId="77777777" w:rsidR="00FE6FAC" w:rsidRPr="0072073D" w:rsidRDefault="00FE6FAC" w:rsidP="00FE6FAC">
      <w:pPr>
        <w:rPr>
          <w:b/>
        </w:rPr>
      </w:pPr>
      <w:r w:rsidRPr="0072073D">
        <w:rPr>
          <w:b/>
        </w:rPr>
        <w:br w:type="page"/>
      </w:r>
    </w:p>
    <w:p w14:paraId="4253663A" w14:textId="77777777" w:rsidR="00FE6FAC" w:rsidRPr="0072073D" w:rsidRDefault="00FE6FAC" w:rsidP="00FE6FAC">
      <w:pPr>
        <w:spacing w:after="200" w:line="240" w:lineRule="auto"/>
        <w:rPr>
          <w:b/>
          <w:bCs/>
        </w:rPr>
      </w:pPr>
      <w:r w:rsidRPr="0072073D">
        <w:rPr>
          <w:b/>
        </w:rPr>
        <w:lastRenderedPageBreak/>
        <w:t xml:space="preserve">Supplementary Table S3. </w:t>
      </w:r>
      <w:r w:rsidRPr="0072073D">
        <w:rPr>
          <w:b/>
          <w:bCs/>
        </w:rPr>
        <w:t>FACS reagents and methods used for mouse immunophenotyping</w:t>
      </w:r>
    </w:p>
    <w:tbl>
      <w:tblPr>
        <w:tblW w:w="133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75"/>
        <w:gridCol w:w="2657"/>
        <w:gridCol w:w="3215"/>
        <w:gridCol w:w="2457"/>
        <w:gridCol w:w="2376"/>
      </w:tblGrid>
      <w:tr w:rsidR="00FE6FAC" w:rsidRPr="0072073D" w14:paraId="5A022424" w14:textId="77777777" w:rsidTr="00D10DD4">
        <w:trPr>
          <w:trHeight w:val="450"/>
        </w:trPr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858A2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Marker</w:t>
            </w:r>
          </w:p>
        </w:tc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1ADC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Fluorophore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45245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Clone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90883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Vendor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C6283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  <w:b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Catalog number</w:t>
            </w:r>
          </w:p>
        </w:tc>
      </w:tr>
      <w:tr w:rsidR="00FE6FAC" w:rsidRPr="0072073D" w14:paraId="017C176F" w14:textId="77777777" w:rsidTr="00D10DD4">
        <w:trPr>
          <w:trHeight w:val="432"/>
        </w:trPr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3168A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CD11b</w:t>
            </w:r>
          </w:p>
        </w:tc>
        <w:tc>
          <w:tcPr>
            <w:tcW w:w="26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886D8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BUV395</w:t>
            </w:r>
          </w:p>
        </w:tc>
        <w:tc>
          <w:tcPr>
            <w:tcW w:w="32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F1AA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M1/70</w:t>
            </w:r>
          </w:p>
        </w:tc>
        <w:tc>
          <w:tcPr>
            <w:tcW w:w="24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0F4CF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BD</w:t>
            </w:r>
          </w:p>
        </w:tc>
        <w:tc>
          <w:tcPr>
            <w:tcW w:w="23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09869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563553</w:t>
            </w:r>
          </w:p>
        </w:tc>
      </w:tr>
      <w:tr w:rsidR="00FE6FAC" w:rsidRPr="0072073D" w14:paraId="035E7A66" w14:textId="77777777" w:rsidTr="00D10DD4">
        <w:trPr>
          <w:trHeight w:val="432"/>
        </w:trPr>
        <w:tc>
          <w:tcPr>
            <w:tcW w:w="26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9BBDF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CD45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D4636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PE-Cy7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F58F1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30-F11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7F377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eBiosciences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0202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25-0451</w:t>
            </w:r>
          </w:p>
        </w:tc>
      </w:tr>
      <w:tr w:rsidR="00FE6FAC" w:rsidRPr="0072073D" w14:paraId="7A653DB1" w14:textId="77777777" w:rsidTr="00D10DD4">
        <w:trPr>
          <w:trHeight w:val="432"/>
        </w:trPr>
        <w:tc>
          <w:tcPr>
            <w:tcW w:w="26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8A42B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CD3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2D5D8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BV421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6942E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17A2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39843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92376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100228</w:t>
            </w:r>
          </w:p>
        </w:tc>
      </w:tr>
      <w:tr w:rsidR="00FE6FAC" w:rsidRPr="0072073D" w14:paraId="34D4EC40" w14:textId="77777777" w:rsidTr="00D10DD4">
        <w:trPr>
          <w:trHeight w:val="432"/>
        </w:trPr>
        <w:tc>
          <w:tcPr>
            <w:tcW w:w="26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FC9B2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CD4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D7DCC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BV510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3DF3C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GK1.5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BDA3D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43F9D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100449</w:t>
            </w:r>
          </w:p>
        </w:tc>
      </w:tr>
      <w:tr w:rsidR="00FE6FAC" w:rsidRPr="0072073D" w14:paraId="43EFE99C" w14:textId="77777777" w:rsidTr="00D10DD4">
        <w:trPr>
          <w:trHeight w:val="432"/>
        </w:trPr>
        <w:tc>
          <w:tcPr>
            <w:tcW w:w="26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7814C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CD8a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C346E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BV786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84EA5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53-6.7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F935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64CBE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100750</w:t>
            </w:r>
          </w:p>
        </w:tc>
      </w:tr>
      <w:tr w:rsidR="00FE6FAC" w:rsidRPr="0072073D" w14:paraId="57F2B1E1" w14:textId="77777777" w:rsidTr="00D10DD4">
        <w:trPr>
          <w:trHeight w:val="432"/>
        </w:trPr>
        <w:tc>
          <w:tcPr>
            <w:tcW w:w="26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E1ED7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GITR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F1E3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FITC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16B16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YGITR765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A036E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65F84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120205</w:t>
            </w:r>
          </w:p>
        </w:tc>
      </w:tr>
      <w:tr w:rsidR="00FE6FAC" w:rsidRPr="0072073D" w14:paraId="72D03F5E" w14:textId="77777777" w:rsidTr="00D10DD4">
        <w:trPr>
          <w:trHeight w:val="432"/>
        </w:trPr>
        <w:tc>
          <w:tcPr>
            <w:tcW w:w="26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9EE8C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CD25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493D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APC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B8D43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PC61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B1D01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87FBB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102012</w:t>
            </w:r>
          </w:p>
        </w:tc>
      </w:tr>
      <w:tr w:rsidR="00FE6FAC" w:rsidRPr="0072073D" w14:paraId="70005CC8" w14:textId="77777777" w:rsidTr="00D10DD4">
        <w:trPr>
          <w:trHeight w:val="432"/>
        </w:trPr>
        <w:tc>
          <w:tcPr>
            <w:tcW w:w="26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1BF99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Ki-67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42632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PerCP-Cy5.5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E1C3F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16A8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272EB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proofErr w:type="spellStart"/>
            <w:r w:rsidRPr="0072073D">
              <w:rPr>
                <w:rFonts w:eastAsia="Times New Roman"/>
                <w:bCs/>
                <w:color w:val="000000"/>
                <w:kern w:val="24"/>
              </w:rPr>
              <w:t>Biolegend</w:t>
            </w:r>
            <w:proofErr w:type="spellEnd"/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393DB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652424</w:t>
            </w:r>
          </w:p>
        </w:tc>
      </w:tr>
    </w:tbl>
    <w:p w14:paraId="58F4484F" w14:textId="77777777" w:rsidR="00FE6FAC" w:rsidRPr="0072073D" w:rsidRDefault="00FE6FAC" w:rsidP="00FE6FAC">
      <w:pPr>
        <w:rPr>
          <w:b/>
        </w:rPr>
      </w:pPr>
      <w:r w:rsidRPr="0072073D">
        <w:rPr>
          <w:rFonts w:eastAsia="Times New Roman"/>
          <w:color w:val="000000"/>
        </w:rPr>
        <w:t>Viable white blood cells from whole blood were recovered by Histopaque-1083 (Sigma</w:t>
      </w:r>
      <w:r w:rsidRPr="0072073D">
        <w:rPr>
          <w:rFonts w:eastAsia="Times New Roman"/>
          <w:color w:val="000000"/>
        </w:rPr>
        <w:noBreakHyphen/>
        <w:t xml:space="preserve">Aldrich, catalog No. 10831) gradient separation following the manufacturer’s instructions Briefly, 2 mL of Histopaque-1083 was added into a 15-mL conical centrifuge tube, and anticoagulated whole blood was carefully layered onto the top of </w:t>
      </w:r>
      <w:proofErr w:type="spellStart"/>
      <w:r w:rsidRPr="0072073D">
        <w:rPr>
          <w:rFonts w:eastAsia="Times New Roman"/>
          <w:color w:val="000000"/>
        </w:rPr>
        <w:t>Histopaque</w:t>
      </w:r>
      <w:proofErr w:type="spellEnd"/>
      <w:r w:rsidRPr="0072073D">
        <w:rPr>
          <w:rFonts w:eastAsia="Times New Roman"/>
          <w:color w:val="000000"/>
        </w:rPr>
        <w:t xml:space="preserve"> medium. During centrifugation, erythrocytes and neutrophils were aggregated by </w:t>
      </w:r>
      <w:proofErr w:type="spellStart"/>
      <w:r w:rsidRPr="0072073D">
        <w:rPr>
          <w:rFonts w:eastAsia="Times New Roman"/>
          <w:color w:val="000000"/>
        </w:rPr>
        <w:t>polysucrose</w:t>
      </w:r>
      <w:proofErr w:type="spellEnd"/>
      <w:r w:rsidRPr="0072073D">
        <w:rPr>
          <w:rFonts w:eastAsia="Times New Roman"/>
          <w:color w:val="000000"/>
        </w:rPr>
        <w:t xml:space="preserve"> and rapidly sedimented. PBMCs remained at the plasma–Histopaque-1083 interface. Most extraneous platelets were removed by low-speed centrifugation during the washing steps. </w:t>
      </w:r>
      <w:r w:rsidRPr="0072073D">
        <w:rPr>
          <w:b/>
        </w:rPr>
        <w:br w:type="page"/>
      </w:r>
    </w:p>
    <w:p w14:paraId="2E86EF05" w14:textId="77777777" w:rsidR="00FE6FAC" w:rsidRPr="0072073D" w:rsidRDefault="00FE6FAC" w:rsidP="00FE6FAC">
      <w:pPr>
        <w:spacing w:after="200" w:line="240" w:lineRule="auto"/>
        <w:rPr>
          <w:b/>
          <w:bCs/>
        </w:rPr>
      </w:pPr>
      <w:r w:rsidRPr="0072073D">
        <w:rPr>
          <w:b/>
        </w:rPr>
        <w:lastRenderedPageBreak/>
        <w:t xml:space="preserve">Supplementary Table S4. </w:t>
      </w:r>
      <w:r w:rsidRPr="0072073D">
        <w:rPr>
          <w:b/>
          <w:bCs/>
        </w:rPr>
        <w:t>Summary of PD profiling results</w:t>
      </w:r>
    </w:p>
    <w:tbl>
      <w:tblPr>
        <w:tblpPr w:leftFromText="180" w:rightFromText="180" w:vertAnchor="text" w:horzAnchor="page" w:tblpX="781" w:tblpY="25"/>
        <w:tblW w:w="14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5"/>
        <w:gridCol w:w="1599"/>
        <w:gridCol w:w="881"/>
        <w:gridCol w:w="881"/>
        <w:gridCol w:w="882"/>
        <w:gridCol w:w="882"/>
        <w:gridCol w:w="883"/>
        <w:gridCol w:w="882"/>
        <w:gridCol w:w="882"/>
        <w:gridCol w:w="883"/>
        <w:gridCol w:w="882"/>
        <w:gridCol w:w="883"/>
        <w:gridCol w:w="882"/>
        <w:gridCol w:w="883"/>
      </w:tblGrid>
      <w:tr w:rsidR="00FE6FAC" w:rsidRPr="0072073D" w14:paraId="7AF17C0E" w14:textId="77777777" w:rsidTr="00D10DD4">
        <w:trPr>
          <w:trHeight w:val="366"/>
        </w:trPr>
        <w:tc>
          <w:tcPr>
            <w:tcW w:w="2205" w:type="dxa"/>
            <w:tcBorders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098C5103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70C8A6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526" w:type="dxa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7274320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BMS-986178</w:t>
            </w:r>
          </w:p>
        </w:tc>
        <w:tc>
          <w:tcPr>
            <w:tcW w:w="3530" w:type="dxa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47000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BMS-986178 + nivolumab</w:t>
            </w:r>
          </w:p>
        </w:tc>
        <w:tc>
          <w:tcPr>
            <w:tcW w:w="3530" w:type="dxa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DA2CB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BMS-986178 + ipilimumab</w:t>
            </w:r>
          </w:p>
        </w:tc>
      </w:tr>
      <w:tr w:rsidR="00FE6FAC" w:rsidRPr="0072073D" w14:paraId="2AF081DC" w14:textId="77777777" w:rsidTr="00D10DD4">
        <w:trPr>
          <w:trHeight w:val="366"/>
        </w:trPr>
        <w:tc>
          <w:tcPr>
            <w:tcW w:w="2205" w:type="dxa"/>
            <w:tcBorders>
              <w:top w:val="nil"/>
              <w:right w:val="nil"/>
            </w:tcBorders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D312BA9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599" w:type="dxa"/>
            <w:tcBorders>
              <w:top w:val="nil"/>
              <w:left w:val="nil"/>
            </w:tcBorders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264AE9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526" w:type="dxa"/>
            <w:gridSpan w:val="4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B899EA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Visit time</w:t>
            </w:r>
          </w:p>
        </w:tc>
        <w:tc>
          <w:tcPr>
            <w:tcW w:w="3530" w:type="dxa"/>
            <w:gridSpan w:val="4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999674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Visit time</w:t>
            </w:r>
          </w:p>
        </w:tc>
        <w:tc>
          <w:tcPr>
            <w:tcW w:w="3530" w:type="dxa"/>
            <w:gridSpan w:val="4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1C1F7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Visit time</w:t>
            </w:r>
          </w:p>
        </w:tc>
      </w:tr>
      <w:tr w:rsidR="00FE6FAC" w:rsidRPr="0072073D" w14:paraId="334C1092" w14:textId="77777777" w:rsidTr="00D10DD4">
        <w:trPr>
          <w:trHeight w:val="366"/>
        </w:trPr>
        <w:tc>
          <w:tcPr>
            <w:tcW w:w="2205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67B29608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59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932AB30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PD marker</w:t>
            </w: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DE3B10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C1D2</w:t>
            </w: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8C9A7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C1D8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40FD12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C2D1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DD6B46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C3D1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D3D65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C1D2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D1C7C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C1D8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E9FBC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C2D1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6CE878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C3D1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31F220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C1D2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C68551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C1D8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995D75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C2D1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73A34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C3D1</w:t>
            </w:r>
          </w:p>
        </w:tc>
      </w:tr>
      <w:tr w:rsidR="00FE6FAC" w:rsidRPr="0072073D" w14:paraId="2B87DCB4" w14:textId="77777777" w:rsidTr="00D10DD4">
        <w:trPr>
          <w:trHeight w:val="366"/>
        </w:trPr>
        <w:tc>
          <w:tcPr>
            <w:tcW w:w="2205" w:type="dxa"/>
            <w:vMerge w:val="restart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247DD8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Peripheral blood immunophenotyping</w:t>
            </w:r>
          </w:p>
        </w:tc>
        <w:tc>
          <w:tcPr>
            <w:tcW w:w="1599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FC81E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Ki67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>CD4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 xml:space="preserve"> EM</w:t>
            </w:r>
          </w:p>
        </w:tc>
        <w:tc>
          <w:tcPr>
            <w:tcW w:w="881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10BB8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1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F836C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5AB50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E0B37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521D8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444F9D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AF061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F8961D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7B6BD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E5F9A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AA7DCA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C9C49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FE6FAC" w:rsidRPr="0072073D" w14:paraId="302A6DBD" w14:textId="77777777" w:rsidTr="00D10DD4">
        <w:trPr>
          <w:trHeight w:val="366"/>
        </w:trPr>
        <w:tc>
          <w:tcPr>
            <w:tcW w:w="0" w:type="auto"/>
            <w:vMerge/>
            <w:vAlign w:val="center"/>
            <w:hideMark/>
          </w:tcPr>
          <w:p w14:paraId="162AA4E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59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06197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Ki67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>CD4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 xml:space="preserve"> T effector–like</w:t>
            </w: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0D1193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66818BC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89A02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D24A1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72391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304F92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D81AA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8424D5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85CBE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EB620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1CD14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96759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FE6FAC" w:rsidRPr="0072073D" w14:paraId="19B327E4" w14:textId="77777777" w:rsidTr="00D10DD4">
        <w:trPr>
          <w:trHeight w:val="366"/>
        </w:trPr>
        <w:tc>
          <w:tcPr>
            <w:tcW w:w="0" w:type="auto"/>
            <w:vMerge/>
            <w:vAlign w:val="center"/>
            <w:hideMark/>
          </w:tcPr>
          <w:p w14:paraId="66C0A88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599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0D233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Ki67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>CD8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 xml:space="preserve"> EM</w:t>
            </w:r>
          </w:p>
        </w:tc>
        <w:tc>
          <w:tcPr>
            <w:tcW w:w="881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0D0AA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1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5FD8A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067878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48879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863FD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4CC7D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9C6D8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F22EB1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9A1FF1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C4DE1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88069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272D07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FE6FAC" w:rsidRPr="0072073D" w14:paraId="7A74A175" w14:textId="77777777" w:rsidTr="00D10DD4">
        <w:trPr>
          <w:trHeight w:val="366"/>
        </w:trPr>
        <w:tc>
          <w:tcPr>
            <w:tcW w:w="2205" w:type="dxa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0E0915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Peripheral cytokine/chemokine</w:t>
            </w:r>
          </w:p>
        </w:tc>
        <w:tc>
          <w:tcPr>
            <w:tcW w:w="159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7F276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IFN-γ</w:t>
            </w: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B17337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41D69A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6B831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90C52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E81AB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154FAF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42D1A4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558D8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2434F6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1099E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9EE3F9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0A4E8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FE6FAC" w:rsidRPr="0072073D" w14:paraId="6971F599" w14:textId="77777777" w:rsidTr="00D10DD4">
        <w:trPr>
          <w:trHeight w:val="366"/>
        </w:trPr>
        <w:tc>
          <w:tcPr>
            <w:tcW w:w="0" w:type="auto"/>
            <w:vMerge/>
            <w:vAlign w:val="center"/>
            <w:hideMark/>
          </w:tcPr>
          <w:p w14:paraId="6762F9B7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599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12D73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IP-10</w:t>
            </w:r>
          </w:p>
        </w:tc>
        <w:tc>
          <w:tcPr>
            <w:tcW w:w="881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CD65A5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1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655099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5D7FB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8F90FC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DF3B0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FE77CE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AFF7E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C5F2B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FC5CB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77DF8A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2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B9EC0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A0809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FE6FAC" w:rsidRPr="0072073D" w14:paraId="196E5CB1" w14:textId="77777777" w:rsidTr="00D10DD4">
        <w:trPr>
          <w:trHeight w:val="366"/>
        </w:trPr>
        <w:tc>
          <w:tcPr>
            <w:tcW w:w="0" w:type="auto"/>
            <w:vMerge/>
            <w:vAlign w:val="center"/>
            <w:hideMark/>
          </w:tcPr>
          <w:p w14:paraId="53E7D921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59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81AC1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CXCL9</w:t>
            </w: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9B2E34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81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EC662E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CE09A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55554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6B53B7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1B6AB4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D5B05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BDAC28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64EB5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4A4401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8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3B9F0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8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64FAB60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</w:tr>
    </w:tbl>
    <w:p w14:paraId="39E6AB79" w14:textId="77777777" w:rsidR="00FE6FAC" w:rsidRPr="0072073D" w:rsidRDefault="00FE6FAC" w:rsidP="00FE6FAC">
      <w:pPr>
        <w:spacing w:line="240" w:lineRule="auto"/>
      </w:pPr>
      <w:r w:rsidRPr="0072073D">
        <w:rPr>
          <w:bCs/>
        </w:rPr>
        <w:t>EM, effector memory.</w:t>
      </w:r>
    </w:p>
    <w:p w14:paraId="614D0B22" w14:textId="77777777" w:rsidR="00FE6FAC" w:rsidRPr="0072073D" w:rsidRDefault="00FE6FAC" w:rsidP="00FE6FAC">
      <w:pPr>
        <w:spacing w:line="240" w:lineRule="auto"/>
        <w:rPr>
          <w:bCs/>
        </w:rPr>
      </w:pPr>
      <w:r w:rsidRPr="0072073D">
        <w:rPr>
          <w:bCs/>
        </w:rPr>
        <w:t xml:space="preserve">* </w:t>
      </w:r>
      <w:r w:rsidRPr="0072073D">
        <w:rPr>
          <w:bCs/>
          <w:i/>
        </w:rPr>
        <w:t xml:space="preserve">P </w:t>
      </w:r>
      <w:r w:rsidRPr="0072073D">
        <w:rPr>
          <w:bCs/>
        </w:rPr>
        <w:t xml:space="preserve">&lt; 0.05; ** </w:t>
      </w:r>
      <w:r w:rsidRPr="0072073D">
        <w:rPr>
          <w:bCs/>
          <w:i/>
        </w:rPr>
        <w:t xml:space="preserve">P </w:t>
      </w:r>
      <w:r w:rsidRPr="0072073D">
        <w:rPr>
          <w:bCs/>
        </w:rPr>
        <w:t xml:space="preserve">&lt; 0.01; *** </w:t>
      </w:r>
      <w:r w:rsidRPr="0072073D">
        <w:rPr>
          <w:bCs/>
          <w:i/>
        </w:rPr>
        <w:t xml:space="preserve">P </w:t>
      </w:r>
      <w:r w:rsidRPr="0072073D">
        <w:rPr>
          <w:bCs/>
        </w:rPr>
        <w:t>&lt; 0.001; compared with C1D1.</w:t>
      </w:r>
    </w:p>
    <w:p w14:paraId="63B110CF" w14:textId="77777777" w:rsidR="00FE6FAC" w:rsidRPr="0072073D" w:rsidRDefault="00FE6FAC" w:rsidP="00FE6FAC">
      <w:pPr>
        <w:spacing w:line="240" w:lineRule="auto"/>
      </w:pPr>
    </w:p>
    <w:p w14:paraId="1ADEBFE6" w14:textId="77777777" w:rsidR="00FE6FAC" w:rsidRPr="0072073D" w:rsidRDefault="00FE6FAC" w:rsidP="00FE6FAC">
      <w:pPr>
        <w:spacing w:line="240" w:lineRule="auto"/>
      </w:pPr>
    </w:p>
    <w:p w14:paraId="6E74A734" w14:textId="77777777" w:rsidR="00FE6FAC" w:rsidRPr="0072073D" w:rsidRDefault="00FE6FAC" w:rsidP="00FE6FAC">
      <w:pPr>
        <w:spacing w:line="240" w:lineRule="auto"/>
      </w:pPr>
    </w:p>
    <w:p w14:paraId="0C3F6F21" w14:textId="77777777" w:rsidR="00FE6FAC" w:rsidRPr="0072073D" w:rsidRDefault="00FE6FAC" w:rsidP="00FE6FAC">
      <w:pPr>
        <w:spacing w:line="240" w:lineRule="auto"/>
      </w:pPr>
    </w:p>
    <w:p w14:paraId="7896F491" w14:textId="77777777" w:rsidR="00FE6FAC" w:rsidRPr="0072073D" w:rsidRDefault="00FE6FAC" w:rsidP="00FE6FAC">
      <w:pPr>
        <w:spacing w:line="240" w:lineRule="auto"/>
      </w:pPr>
    </w:p>
    <w:p w14:paraId="523145A0" w14:textId="77777777" w:rsidR="00FE6FAC" w:rsidRPr="0072073D" w:rsidRDefault="00FE6FAC" w:rsidP="00FE6FAC">
      <w:pPr>
        <w:spacing w:line="240" w:lineRule="auto"/>
      </w:pPr>
    </w:p>
    <w:p w14:paraId="4748FB25" w14:textId="77777777" w:rsidR="00FE6FAC" w:rsidRPr="0072073D" w:rsidRDefault="00FE6FAC" w:rsidP="00FE6FAC">
      <w:pPr>
        <w:spacing w:line="240" w:lineRule="auto"/>
      </w:pPr>
    </w:p>
    <w:p w14:paraId="55D7831F" w14:textId="77777777" w:rsidR="00FE6FAC" w:rsidRPr="0072073D" w:rsidRDefault="00FE6FAC" w:rsidP="00FE6FAC">
      <w:pPr>
        <w:spacing w:line="240" w:lineRule="auto"/>
      </w:pPr>
    </w:p>
    <w:p w14:paraId="47CE1D72" w14:textId="77777777" w:rsidR="00FE6FAC" w:rsidRPr="0072073D" w:rsidRDefault="00FE6FAC" w:rsidP="00FE6FAC">
      <w:pPr>
        <w:spacing w:line="240" w:lineRule="auto"/>
      </w:pPr>
    </w:p>
    <w:p w14:paraId="494C6871" w14:textId="77777777" w:rsidR="00FE6FAC" w:rsidRPr="0072073D" w:rsidRDefault="00FE6FAC" w:rsidP="00FE6FAC">
      <w:pPr>
        <w:spacing w:line="240" w:lineRule="auto"/>
      </w:pPr>
    </w:p>
    <w:p w14:paraId="134FA293" w14:textId="77777777" w:rsidR="00FE6FAC" w:rsidRPr="0072073D" w:rsidRDefault="00FE6FAC" w:rsidP="00FE6FAC">
      <w:pPr>
        <w:spacing w:line="240" w:lineRule="auto"/>
      </w:pPr>
    </w:p>
    <w:p w14:paraId="711CADFA" w14:textId="77777777" w:rsidR="00FE6FAC" w:rsidRPr="0072073D" w:rsidRDefault="00FE6FAC" w:rsidP="00FE6FAC">
      <w:pPr>
        <w:spacing w:line="240" w:lineRule="auto"/>
      </w:pPr>
    </w:p>
    <w:p w14:paraId="744B4215" w14:textId="77777777" w:rsidR="00FE6FAC" w:rsidRPr="0072073D" w:rsidRDefault="00FE6FAC" w:rsidP="00FE6FAC">
      <w:pPr>
        <w:spacing w:line="240" w:lineRule="auto"/>
      </w:pPr>
    </w:p>
    <w:p w14:paraId="06331FFC" w14:textId="77777777" w:rsidR="00FE6FAC" w:rsidRPr="0072073D" w:rsidRDefault="00FE6FAC" w:rsidP="00FE6FAC">
      <w:pPr>
        <w:spacing w:line="240" w:lineRule="auto"/>
      </w:pPr>
    </w:p>
    <w:p w14:paraId="725EBFDD" w14:textId="77777777" w:rsidR="00FE6FAC" w:rsidRPr="0072073D" w:rsidRDefault="00FE6FAC" w:rsidP="00FE6FAC">
      <w:r w:rsidRPr="0072073D">
        <w:br w:type="page"/>
      </w:r>
    </w:p>
    <w:p w14:paraId="37F37FC4" w14:textId="77777777" w:rsidR="00FE6FAC" w:rsidRPr="0072073D" w:rsidRDefault="00FE6FAC" w:rsidP="00FE6FAC">
      <w:pPr>
        <w:spacing w:after="200" w:line="240" w:lineRule="auto"/>
        <w:rPr>
          <w:b/>
          <w:bCs/>
        </w:rPr>
      </w:pPr>
      <w:r w:rsidRPr="0072073D">
        <w:rPr>
          <w:b/>
        </w:rPr>
        <w:lastRenderedPageBreak/>
        <w:t xml:space="preserve">Supplementary Table S5. </w:t>
      </w:r>
      <w:r w:rsidRPr="0072073D">
        <w:rPr>
          <w:b/>
          <w:bCs/>
        </w:rPr>
        <w:t>Summary of PD profiling results in preclinical murine model</w:t>
      </w:r>
    </w:p>
    <w:tbl>
      <w:tblPr>
        <w:tblW w:w="13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8"/>
        <w:gridCol w:w="1439"/>
        <w:gridCol w:w="813"/>
        <w:gridCol w:w="810"/>
        <w:gridCol w:w="990"/>
        <w:gridCol w:w="900"/>
        <w:gridCol w:w="810"/>
        <w:gridCol w:w="990"/>
        <w:gridCol w:w="900"/>
        <w:gridCol w:w="810"/>
        <w:gridCol w:w="900"/>
        <w:gridCol w:w="990"/>
        <w:gridCol w:w="810"/>
        <w:gridCol w:w="900"/>
      </w:tblGrid>
      <w:tr w:rsidR="00FE6FAC" w:rsidRPr="0072073D" w14:paraId="4EE3F9E6" w14:textId="77777777" w:rsidTr="00D10DD4">
        <w:trPr>
          <w:trHeight w:val="371"/>
        </w:trPr>
        <w:tc>
          <w:tcPr>
            <w:tcW w:w="1248" w:type="dxa"/>
            <w:tcBorders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3794D0F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9" w:type="dxa"/>
            <w:tcBorders>
              <w:left w:val="nil"/>
              <w:bottom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F8DFD8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513" w:type="dxa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443660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Anti-OX40</w:t>
            </w:r>
          </w:p>
        </w:tc>
        <w:tc>
          <w:tcPr>
            <w:tcW w:w="3510" w:type="dxa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E6F74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Anti-OX40 + anti–PD-1</w:t>
            </w:r>
          </w:p>
        </w:tc>
        <w:tc>
          <w:tcPr>
            <w:tcW w:w="3600" w:type="dxa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BA89EE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Anti-OX40 + anti–CTLA-4</w:t>
            </w:r>
          </w:p>
        </w:tc>
      </w:tr>
      <w:tr w:rsidR="00FE6FAC" w:rsidRPr="0072073D" w14:paraId="10A5BA7D" w14:textId="77777777" w:rsidTr="00D10DD4">
        <w:trPr>
          <w:trHeight w:val="371"/>
        </w:trPr>
        <w:tc>
          <w:tcPr>
            <w:tcW w:w="1248" w:type="dxa"/>
            <w:tcBorders>
              <w:top w:val="nil"/>
              <w:right w:val="nil"/>
            </w:tcBorders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14:paraId="1AF6D66E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9" w:type="dxa"/>
            <w:tcBorders>
              <w:top w:val="nil"/>
              <w:left w:val="nil"/>
            </w:tcBorders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A8D06B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3513" w:type="dxa"/>
            <w:gridSpan w:val="4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F4667C6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Days post-implantation</w:t>
            </w:r>
          </w:p>
        </w:tc>
        <w:tc>
          <w:tcPr>
            <w:tcW w:w="3510" w:type="dxa"/>
            <w:gridSpan w:val="4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080EF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Days post-implantation</w:t>
            </w:r>
          </w:p>
        </w:tc>
        <w:tc>
          <w:tcPr>
            <w:tcW w:w="3600" w:type="dxa"/>
            <w:gridSpan w:val="4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32F31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Days post-implantation</w:t>
            </w:r>
          </w:p>
        </w:tc>
      </w:tr>
      <w:tr w:rsidR="00FE6FAC" w:rsidRPr="0072073D" w14:paraId="16FDF54D" w14:textId="77777777" w:rsidTr="00D10DD4">
        <w:trPr>
          <w:trHeight w:val="371"/>
        </w:trPr>
        <w:tc>
          <w:tcPr>
            <w:tcW w:w="1248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F0192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PD marker</w:t>
            </w:r>
          </w:p>
        </w:tc>
        <w:tc>
          <w:tcPr>
            <w:tcW w:w="143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022C3C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Anti-OX40 dose, mg/kg</w:t>
            </w:r>
          </w:p>
        </w:tc>
        <w:tc>
          <w:tcPr>
            <w:tcW w:w="81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C67DAA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8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3D19B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12</w:t>
            </w: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10F09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15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AEA28D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19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42DC09C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8</w:t>
            </w: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A42E7D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12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C5857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15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9DF5F5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19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5F175A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8</w:t>
            </w: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3C0DC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12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E9009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15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C8089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/>
                <w:bCs/>
                <w:color w:val="000000"/>
                <w:kern w:val="24"/>
              </w:rPr>
              <w:t>20</w:t>
            </w:r>
          </w:p>
        </w:tc>
      </w:tr>
      <w:tr w:rsidR="00FE6FAC" w:rsidRPr="0072073D" w14:paraId="65F9F0D6" w14:textId="77777777" w:rsidTr="00D10DD4">
        <w:trPr>
          <w:trHeight w:val="371"/>
        </w:trPr>
        <w:tc>
          <w:tcPr>
            <w:tcW w:w="1248" w:type="dxa"/>
            <w:vMerge w:val="restart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7B8553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Ki67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>CD4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</w:p>
        </w:tc>
        <w:tc>
          <w:tcPr>
            <w:tcW w:w="1439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5AA6C2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0.1</w:t>
            </w:r>
          </w:p>
        </w:tc>
        <w:tc>
          <w:tcPr>
            <w:tcW w:w="81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6033AE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4F8897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BF4FC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63AD0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DF1C06D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70227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EE6F54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5CEB5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0BDC30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AEF832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187AEC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4833D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</w:tr>
      <w:tr w:rsidR="00FE6FAC" w:rsidRPr="0072073D" w14:paraId="18A5D047" w14:textId="77777777" w:rsidTr="00D10DD4">
        <w:trPr>
          <w:trHeight w:val="371"/>
        </w:trPr>
        <w:tc>
          <w:tcPr>
            <w:tcW w:w="0" w:type="auto"/>
            <w:vMerge/>
            <w:vAlign w:val="center"/>
            <w:hideMark/>
          </w:tcPr>
          <w:p w14:paraId="4099215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3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A14AD8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0.3</w:t>
            </w:r>
          </w:p>
        </w:tc>
        <w:tc>
          <w:tcPr>
            <w:tcW w:w="81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C10F7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7A4D1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AED8DC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6409BD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6D695B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1396EDC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5EB36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1478B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366D9B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BB4342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10058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3B101F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</w:tr>
      <w:tr w:rsidR="00FE6FAC" w:rsidRPr="0072073D" w14:paraId="6D8EEEB8" w14:textId="77777777" w:rsidTr="00D10DD4">
        <w:trPr>
          <w:trHeight w:val="371"/>
        </w:trPr>
        <w:tc>
          <w:tcPr>
            <w:tcW w:w="0" w:type="auto"/>
            <w:vMerge/>
            <w:vAlign w:val="center"/>
            <w:hideMark/>
          </w:tcPr>
          <w:p w14:paraId="2C34025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39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249C50D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</w:t>
            </w:r>
          </w:p>
        </w:tc>
        <w:tc>
          <w:tcPr>
            <w:tcW w:w="81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19659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05AC12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4B0953C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55A151C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E8A5D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2E2A2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14E5B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9BDE13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474FFB9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833DC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0E54EB6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809730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</w:tr>
      <w:tr w:rsidR="00FE6FAC" w:rsidRPr="0072073D" w14:paraId="0C46DD99" w14:textId="77777777" w:rsidTr="00D10DD4">
        <w:trPr>
          <w:trHeight w:val="371"/>
        </w:trPr>
        <w:tc>
          <w:tcPr>
            <w:tcW w:w="0" w:type="auto"/>
            <w:vMerge/>
            <w:vAlign w:val="center"/>
            <w:hideMark/>
          </w:tcPr>
          <w:p w14:paraId="1F68E98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143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6D2B9A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3</w:t>
            </w:r>
          </w:p>
        </w:tc>
        <w:tc>
          <w:tcPr>
            <w:tcW w:w="81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D281F12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73CB74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F4EF78D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37BCC3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F572F4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EBD9EF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B876FF8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DF76ED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8E2494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C21E0E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ABE4CB7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192154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FE6FAC" w:rsidRPr="0072073D" w14:paraId="25BB3F16" w14:textId="77777777" w:rsidTr="00D10DD4">
        <w:trPr>
          <w:trHeight w:val="371"/>
        </w:trPr>
        <w:tc>
          <w:tcPr>
            <w:tcW w:w="1248" w:type="dxa"/>
            <w:vMerge w:val="restart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5AFEEDB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Ki67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  <w:r w:rsidRPr="0072073D">
              <w:rPr>
                <w:rFonts w:eastAsia="Times New Roman"/>
                <w:bCs/>
                <w:color w:val="000000"/>
                <w:kern w:val="24"/>
              </w:rPr>
              <w:t>CD8</w:t>
            </w:r>
            <w:r w:rsidRPr="0072073D">
              <w:rPr>
                <w:rFonts w:eastAsia="Times New Roman"/>
                <w:bCs/>
                <w:color w:val="000000"/>
                <w:kern w:val="24"/>
                <w:vertAlign w:val="superscript"/>
              </w:rPr>
              <w:t>+</w:t>
            </w:r>
          </w:p>
        </w:tc>
        <w:tc>
          <w:tcPr>
            <w:tcW w:w="1439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96B0AD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0.1</w:t>
            </w:r>
          </w:p>
        </w:tc>
        <w:tc>
          <w:tcPr>
            <w:tcW w:w="81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A8BDEA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2E992D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5B4458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FDD62E8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281DC0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09FC75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326E6B4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6D44D5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8F6771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44AEA3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FEC7CE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E80940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</w:tr>
      <w:tr w:rsidR="00FE6FAC" w:rsidRPr="0072073D" w14:paraId="0CCC4591" w14:textId="77777777" w:rsidTr="00D10DD4">
        <w:trPr>
          <w:trHeight w:val="371"/>
        </w:trPr>
        <w:tc>
          <w:tcPr>
            <w:tcW w:w="0" w:type="auto"/>
            <w:vMerge/>
            <w:vAlign w:val="center"/>
            <w:hideMark/>
          </w:tcPr>
          <w:p w14:paraId="1B6FFC8C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383A4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0.3</w:t>
            </w:r>
          </w:p>
        </w:tc>
        <w:tc>
          <w:tcPr>
            <w:tcW w:w="81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21FE70B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CEF6E83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86F3F13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ED3B18A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4EDBB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E4FDA7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87DD38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E291EB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A8C145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AF540D8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DC5863F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DBBE85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</w:tr>
      <w:tr w:rsidR="00FE6FAC" w:rsidRPr="0072073D" w14:paraId="5ED87C6F" w14:textId="77777777" w:rsidTr="00D10DD4">
        <w:trPr>
          <w:trHeight w:val="371"/>
        </w:trPr>
        <w:tc>
          <w:tcPr>
            <w:tcW w:w="0" w:type="auto"/>
            <w:vMerge/>
            <w:vAlign w:val="center"/>
            <w:hideMark/>
          </w:tcPr>
          <w:p w14:paraId="139592DC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9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6C2FCAD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1</w:t>
            </w:r>
          </w:p>
        </w:tc>
        <w:tc>
          <w:tcPr>
            <w:tcW w:w="813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084F6BE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7FA94B1" w14:textId="77777777" w:rsidR="00FE6FAC" w:rsidRPr="0072073D" w:rsidRDefault="00FE6FAC" w:rsidP="00D10DD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271096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7CB4180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409C7D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643C9A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19B3FD8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0BECFBD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D862DB1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99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F9396D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</w:t>
            </w:r>
          </w:p>
        </w:tc>
        <w:tc>
          <w:tcPr>
            <w:tcW w:w="81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C0DE6FC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900" w:type="dxa"/>
            <w:shd w:val="clear" w:color="auto" w:fill="E9EDF4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C630C37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</w:tr>
      <w:tr w:rsidR="00FE6FAC" w:rsidRPr="0072073D" w14:paraId="5BAF5A01" w14:textId="77777777" w:rsidTr="00D10DD4">
        <w:trPr>
          <w:trHeight w:val="371"/>
        </w:trPr>
        <w:tc>
          <w:tcPr>
            <w:tcW w:w="0" w:type="auto"/>
            <w:vMerge/>
            <w:vAlign w:val="center"/>
            <w:hideMark/>
          </w:tcPr>
          <w:p w14:paraId="322AA217" w14:textId="77777777" w:rsidR="00FE6FAC" w:rsidRPr="0072073D" w:rsidRDefault="00FE6FAC" w:rsidP="00D10DD4">
            <w:pPr>
              <w:spacing w:line="240" w:lineRule="auto"/>
              <w:rPr>
                <w:rFonts w:eastAsia="Times New Roman"/>
              </w:rPr>
            </w:pPr>
          </w:p>
        </w:tc>
        <w:tc>
          <w:tcPr>
            <w:tcW w:w="1439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899182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bCs/>
                <w:color w:val="000000"/>
                <w:kern w:val="24"/>
              </w:rPr>
              <w:t>3</w:t>
            </w:r>
          </w:p>
        </w:tc>
        <w:tc>
          <w:tcPr>
            <w:tcW w:w="813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4419606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3251A94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17974A9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1B7D4985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07A29CA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59A2063E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7D66CE3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381C1DAD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***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9AB4E31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99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BE36733" w14:textId="77777777" w:rsidR="00FE6FAC" w:rsidRPr="0072073D" w:rsidRDefault="00FE6FAC" w:rsidP="00D10DD4">
            <w:pPr>
              <w:spacing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1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DFAC83F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  <w:tc>
          <w:tcPr>
            <w:tcW w:w="90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8E105FC" w14:textId="77777777" w:rsidR="00FE6FAC" w:rsidRPr="0072073D" w:rsidRDefault="00FE6FAC" w:rsidP="00D10DD4">
            <w:pPr>
              <w:spacing w:line="240" w:lineRule="auto"/>
              <w:jc w:val="center"/>
              <w:textAlignment w:val="bottom"/>
              <w:rPr>
                <w:rFonts w:eastAsia="Times New Roman"/>
              </w:rPr>
            </w:pPr>
            <w:r w:rsidRPr="0072073D">
              <w:rPr>
                <w:rFonts w:eastAsia="Times New Roman"/>
                <w:color w:val="000000"/>
                <w:kern w:val="24"/>
              </w:rPr>
              <w:t>*</w:t>
            </w:r>
          </w:p>
        </w:tc>
      </w:tr>
    </w:tbl>
    <w:p w14:paraId="711CC0D0" w14:textId="77777777" w:rsidR="00FE6FAC" w:rsidRPr="00822594" w:rsidRDefault="00FE6FAC" w:rsidP="00FE6FAC">
      <w:pPr>
        <w:spacing w:line="240" w:lineRule="auto"/>
      </w:pPr>
      <w:r w:rsidRPr="0072073D">
        <w:rPr>
          <w:bCs/>
        </w:rPr>
        <w:t xml:space="preserve">* </w:t>
      </w:r>
      <w:r w:rsidRPr="0072073D">
        <w:rPr>
          <w:bCs/>
          <w:i/>
        </w:rPr>
        <w:t xml:space="preserve">P </w:t>
      </w:r>
      <w:r w:rsidRPr="0072073D">
        <w:rPr>
          <w:bCs/>
        </w:rPr>
        <w:t xml:space="preserve">&lt; 0.05; ** </w:t>
      </w:r>
      <w:r w:rsidRPr="0072073D">
        <w:rPr>
          <w:bCs/>
          <w:i/>
        </w:rPr>
        <w:t xml:space="preserve">P </w:t>
      </w:r>
      <w:r w:rsidRPr="0072073D">
        <w:rPr>
          <w:bCs/>
        </w:rPr>
        <w:t xml:space="preserve">&lt; 0.01; *** </w:t>
      </w:r>
      <w:r w:rsidRPr="0072073D">
        <w:rPr>
          <w:bCs/>
          <w:i/>
        </w:rPr>
        <w:t xml:space="preserve">P </w:t>
      </w:r>
      <w:r w:rsidRPr="0072073D">
        <w:rPr>
          <w:bCs/>
        </w:rPr>
        <w:t>&lt; 0.001.</w:t>
      </w:r>
    </w:p>
    <w:p w14:paraId="771DCD57" w14:textId="77777777" w:rsidR="00FE6FAC" w:rsidRPr="00822594" w:rsidRDefault="00FE6FAC" w:rsidP="00FE6FAC">
      <w:pPr>
        <w:spacing w:line="240" w:lineRule="auto"/>
      </w:pPr>
    </w:p>
    <w:p w14:paraId="4D5B8475" w14:textId="77777777" w:rsidR="00FE6FAC" w:rsidRPr="00822594" w:rsidRDefault="00FE6FAC" w:rsidP="00FE6FAC">
      <w:pPr>
        <w:spacing w:line="240" w:lineRule="auto"/>
      </w:pPr>
    </w:p>
    <w:p w14:paraId="769E5A69" w14:textId="77777777" w:rsidR="00F149E5" w:rsidRDefault="0072073D"/>
    <w:sectPr w:rsidR="00F149E5" w:rsidSect="00FE6FAC">
      <w:footnotePr>
        <w:numFmt w:val="lowerLetter"/>
      </w:footnotePr>
      <w:endnotePr>
        <w:numFmt w:val="decimal"/>
      </w:endnote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AFA81" w14:textId="77777777" w:rsidR="00C72E00" w:rsidRDefault="00C72E00">
      <w:pPr>
        <w:spacing w:line="240" w:lineRule="auto"/>
      </w:pPr>
      <w:r>
        <w:separator/>
      </w:r>
    </w:p>
  </w:endnote>
  <w:endnote w:type="continuationSeparator" w:id="0">
    <w:p w14:paraId="3CE0782E" w14:textId="77777777" w:rsidR="00C72E00" w:rsidRDefault="00C72E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51694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CB2A60" w14:textId="6067E483" w:rsidR="00FF43A6" w:rsidRDefault="00FE6F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8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255FFE" w14:textId="77777777" w:rsidR="00FF43A6" w:rsidRDefault="00720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4B56A" w14:textId="77777777" w:rsidR="00C72E00" w:rsidRDefault="00C72E00">
      <w:pPr>
        <w:spacing w:line="240" w:lineRule="auto"/>
      </w:pPr>
      <w:r>
        <w:separator/>
      </w:r>
    </w:p>
  </w:footnote>
  <w:footnote w:type="continuationSeparator" w:id="0">
    <w:p w14:paraId="4E91911E" w14:textId="77777777" w:rsidR="00C72E00" w:rsidRDefault="00C72E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888B9" w14:textId="77777777" w:rsidR="00FF43A6" w:rsidRPr="00382813" w:rsidRDefault="00FE6FAC">
    <w:pPr>
      <w:pStyle w:val="Header"/>
      <w:rPr>
        <w:b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attachedTemplate r:id="rId1"/>
  <w:defaultTabStop w:val="720"/>
  <w:characterSpacingControl w:val="doNotCompress"/>
  <w:footnotePr>
    <w:numFmt w:val="low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MSCT_DirtyDocument" w:val="N"/>
    <w:docVar w:name="BMSCT_StylesUpdated" w:val="N"/>
    <w:docVar w:name="CurrentCoreTemplateVersion" w:val="4.01"/>
    <w:docVar w:name="InitialCoreTemplateVersion" w:val="4.01"/>
  </w:docVars>
  <w:rsids>
    <w:rsidRoot w:val="00FE6FAC"/>
    <w:rsid w:val="000D28BD"/>
    <w:rsid w:val="00106EFE"/>
    <w:rsid w:val="00167759"/>
    <w:rsid w:val="002D335D"/>
    <w:rsid w:val="00301343"/>
    <w:rsid w:val="0030641C"/>
    <w:rsid w:val="003C58E8"/>
    <w:rsid w:val="004A2083"/>
    <w:rsid w:val="00504BA2"/>
    <w:rsid w:val="005250FA"/>
    <w:rsid w:val="00566C7F"/>
    <w:rsid w:val="006524AF"/>
    <w:rsid w:val="0072073D"/>
    <w:rsid w:val="00720A89"/>
    <w:rsid w:val="00722F0A"/>
    <w:rsid w:val="00731895"/>
    <w:rsid w:val="00734AF1"/>
    <w:rsid w:val="00801F98"/>
    <w:rsid w:val="00840691"/>
    <w:rsid w:val="0086566F"/>
    <w:rsid w:val="0087155A"/>
    <w:rsid w:val="008B1CF5"/>
    <w:rsid w:val="008B68FA"/>
    <w:rsid w:val="00931A52"/>
    <w:rsid w:val="009F5DA2"/>
    <w:rsid w:val="00B14856"/>
    <w:rsid w:val="00BE3193"/>
    <w:rsid w:val="00C24E0A"/>
    <w:rsid w:val="00C36742"/>
    <w:rsid w:val="00C72E00"/>
    <w:rsid w:val="00D53DCF"/>
    <w:rsid w:val="00D93144"/>
    <w:rsid w:val="00E43282"/>
    <w:rsid w:val="00E557A3"/>
    <w:rsid w:val="00EC3201"/>
    <w:rsid w:val="00EC38E4"/>
    <w:rsid w:val="00FA27F1"/>
    <w:rsid w:val="00F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9335E56"/>
  <w15:chartTrackingRefBased/>
  <w15:docId w15:val="{7859E5DA-BAD0-42CE-AB55-822F20F7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FAC"/>
    <w:pPr>
      <w:spacing w:after="0" w:line="48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FAC"/>
    <w:pPr>
      <w:tabs>
        <w:tab w:val="center" w:pos="4680"/>
        <w:tab w:val="right" w:pos="9360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E6FAC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FE6FA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FAC"/>
    <w:rPr>
      <w:rFonts w:ascii="Times New Roman" w:eastAsia="SimSun" w:hAnsi="Times New Roman" w:cs="Times New Roman"/>
      <w:sz w:val="24"/>
      <w:szCs w:val="24"/>
    </w:rPr>
  </w:style>
  <w:style w:type="character" w:customStyle="1" w:styleId="BMSSuperscript">
    <w:name w:val="BMS Superscript"/>
    <w:rsid w:val="00FE6FAC"/>
    <w:rPr>
      <w:sz w:val="28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FA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AC"/>
    <w:rPr>
      <w:rFonts w:ascii="Segoe UI" w:eastAsia="SimSun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4AF1"/>
    <w:pPr>
      <w:tabs>
        <w:tab w:val="right" w:leader="dot" w:pos="9360"/>
      </w:tabs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4AF1"/>
    <w:pPr>
      <w:tabs>
        <w:tab w:val="right" w:leader="dot" w:pos="936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4AF1"/>
    <w:pPr>
      <w:tabs>
        <w:tab w:val="right" w:leader="dot" w:pos="9360"/>
      </w:tabs>
      <w:spacing w:after="100"/>
      <w:ind w:left="480"/>
    </w:pPr>
  </w:style>
  <w:style w:type="character" w:styleId="EndnoteReference">
    <w:name w:val="endnote reference"/>
    <w:basedOn w:val="DefaultParagraphFont"/>
    <w:uiPriority w:val="99"/>
    <w:semiHidden/>
    <w:unhideWhenUsed/>
    <w:rsid w:val="00734AF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931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1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144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1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144"/>
    <w:rPr>
      <w:rFonts w:ascii="Times New Roman" w:eastAsia="SimSu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14856"/>
    <w:rPr>
      <w:color w:val="FF0000"/>
      <w:u w:val="single"/>
    </w:rPr>
  </w:style>
  <w:style w:type="character" w:styleId="Strong">
    <w:name w:val="Strong"/>
    <w:basedOn w:val="DefaultParagraphFont"/>
    <w:uiPriority w:val="22"/>
    <w:qFormat/>
    <w:rsid w:val="00B14856"/>
    <w:rPr>
      <w:b/>
      <w:bCs/>
    </w:rPr>
  </w:style>
  <w:style w:type="paragraph" w:styleId="Revision">
    <w:name w:val="Revision"/>
    <w:hidden/>
    <w:uiPriority w:val="99"/>
    <w:semiHidden/>
    <w:rsid w:val="0086566F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9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12.emf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MS\Cor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CoreTemplate.dot</Template>
  <TotalTime>0</TotalTime>
  <Pages>17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>||4.01;||</dc:description>
  <cp:lastModifiedBy>Author</cp:lastModifiedBy>
  <cp:revision>2</cp:revision>
  <cp:lastPrinted>2019-05-29T20:46:00Z</cp:lastPrinted>
  <dcterms:created xsi:type="dcterms:W3CDTF">2019-06-21T18:26:00Z</dcterms:created>
  <dcterms:modified xsi:type="dcterms:W3CDTF">2019-06-21T18:26:00Z</dcterms:modified>
</cp:coreProperties>
</file>