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8363" w14:textId="77777777" w:rsidR="008F7845" w:rsidRPr="000300C6" w:rsidRDefault="008F7845" w:rsidP="008F7845">
      <w:pPr>
        <w:spacing w:line="360" w:lineRule="auto"/>
        <w:jc w:val="center"/>
        <w:rPr>
          <w:b/>
          <w:smallCaps/>
          <w:sz w:val="32"/>
          <w:szCs w:val="32"/>
          <w:lang w:val="en-US"/>
        </w:rPr>
      </w:pPr>
      <w:r w:rsidRPr="000300C6">
        <w:rPr>
          <w:b/>
          <w:smallCaps/>
          <w:sz w:val="32"/>
          <w:szCs w:val="32"/>
          <w:lang w:val="en-US"/>
        </w:rPr>
        <w:t>Supplementary Material</w:t>
      </w:r>
    </w:p>
    <w:p w14:paraId="5F832BAE" w14:textId="71131098" w:rsidR="008F7845" w:rsidRPr="000300C6" w:rsidRDefault="008F7845" w:rsidP="008F7845">
      <w:pPr>
        <w:spacing w:line="360" w:lineRule="auto"/>
        <w:jc w:val="center"/>
        <w:rPr>
          <w:b/>
          <w:smallCaps/>
          <w:sz w:val="32"/>
          <w:szCs w:val="32"/>
          <w:lang w:val="en-US"/>
        </w:rPr>
      </w:pPr>
      <w:r w:rsidRPr="000300C6">
        <w:rPr>
          <w:b/>
          <w:smallCaps/>
          <w:sz w:val="32"/>
          <w:szCs w:val="32"/>
          <w:lang w:val="en-US"/>
        </w:rPr>
        <w:t>Microbiota and Radiation-induced gastrointestinal Side-effects (MARS)</w:t>
      </w:r>
    </w:p>
    <w:p w14:paraId="462F8D53" w14:textId="77777777" w:rsidR="008F7845" w:rsidRPr="000300C6" w:rsidRDefault="008F7845" w:rsidP="008F7845">
      <w:pPr>
        <w:rPr>
          <w:lang w:val="en-US"/>
        </w:rPr>
      </w:pPr>
    </w:p>
    <w:p w14:paraId="294D7E33" w14:textId="134D4418" w:rsidR="008F7845" w:rsidRPr="000300C6" w:rsidRDefault="00DB3C90" w:rsidP="008F7845">
      <w:pPr>
        <w:spacing w:line="360" w:lineRule="auto"/>
        <w:jc w:val="both"/>
        <w:rPr>
          <w:b/>
          <w:sz w:val="28"/>
          <w:szCs w:val="28"/>
          <w:lang w:val="en-US"/>
        </w:rPr>
      </w:pPr>
      <w:r>
        <w:rPr>
          <w:b/>
          <w:sz w:val="28"/>
          <w:szCs w:val="28"/>
          <w:lang w:val="en-US"/>
        </w:rPr>
        <w:t>S.</w:t>
      </w:r>
      <w:r w:rsidR="008F7845" w:rsidRPr="000300C6">
        <w:rPr>
          <w:b/>
          <w:sz w:val="28"/>
          <w:szCs w:val="28"/>
          <w:lang w:val="en-US"/>
        </w:rPr>
        <w:t>1 – Supplementary materials and methods</w:t>
      </w:r>
    </w:p>
    <w:p w14:paraId="4C691A9B" w14:textId="77777777" w:rsidR="008F7845" w:rsidRPr="000300C6" w:rsidRDefault="008F7845" w:rsidP="00952564">
      <w:pPr>
        <w:spacing w:line="480" w:lineRule="auto"/>
        <w:ind w:firstLine="720"/>
        <w:jc w:val="both"/>
        <w:rPr>
          <w:rFonts w:eastAsia="Times New Roman"/>
          <w:b/>
          <w:sz w:val="24"/>
          <w:szCs w:val="24"/>
          <w:lang w:eastAsia="en-GB"/>
        </w:rPr>
      </w:pPr>
      <w:r w:rsidRPr="000300C6">
        <w:rPr>
          <w:rFonts w:eastAsia="Times New Roman"/>
          <w:b/>
          <w:sz w:val="24"/>
          <w:szCs w:val="24"/>
          <w:lang w:eastAsia="en-GB"/>
        </w:rPr>
        <w:t>1.a – Inclusion and exclusion criteria</w:t>
      </w:r>
    </w:p>
    <w:p w14:paraId="772E8E16" w14:textId="77777777" w:rsidR="008F7845" w:rsidRPr="000300C6" w:rsidRDefault="008F7845" w:rsidP="00952564">
      <w:pPr>
        <w:spacing w:line="480" w:lineRule="auto"/>
        <w:jc w:val="both"/>
        <w:rPr>
          <w:sz w:val="20"/>
          <w:szCs w:val="20"/>
          <w:lang w:val="en-GB"/>
        </w:rPr>
      </w:pPr>
      <w:r w:rsidRPr="000300C6">
        <w:rPr>
          <w:sz w:val="20"/>
          <w:szCs w:val="20"/>
          <w:lang w:val="en-GB"/>
        </w:rPr>
        <w:t xml:space="preserve">All subjects were male, </w:t>
      </w:r>
      <w:r w:rsidRPr="000300C6">
        <w:rPr>
          <w:rFonts w:cs="Calibri"/>
          <w:sz w:val="20"/>
          <w:szCs w:val="20"/>
          <w:lang w:val="en-GB"/>
        </w:rPr>
        <w:t>≥</w:t>
      </w:r>
      <w:r w:rsidRPr="000300C6">
        <w:rPr>
          <w:sz w:val="20"/>
          <w:szCs w:val="20"/>
          <w:lang w:val="en-GB"/>
        </w:rPr>
        <w:t xml:space="preserve">18 years and able to give informed consent. Exclusion criteria were therapy with systemic antibiotics </w:t>
      </w:r>
      <w:r w:rsidRPr="000300C6">
        <w:rPr>
          <w:rFonts w:cs="Calibri"/>
          <w:sz w:val="20"/>
          <w:szCs w:val="20"/>
          <w:lang w:val="en-GB"/>
        </w:rPr>
        <w:t>≤</w:t>
      </w:r>
      <w:r w:rsidRPr="000300C6">
        <w:rPr>
          <w:sz w:val="20"/>
          <w:szCs w:val="20"/>
          <w:lang w:val="en-GB"/>
        </w:rPr>
        <w:t xml:space="preserve">3 months before enrolment (BE), or cytotoxic or immunosuppressive therapies </w:t>
      </w:r>
      <w:r w:rsidRPr="000300C6">
        <w:rPr>
          <w:rFonts w:cs="Calibri"/>
          <w:sz w:val="20"/>
          <w:szCs w:val="20"/>
          <w:lang w:val="en-GB"/>
        </w:rPr>
        <w:t>≤</w:t>
      </w:r>
      <w:r w:rsidRPr="000300C6">
        <w:rPr>
          <w:sz w:val="20"/>
          <w:szCs w:val="20"/>
          <w:lang w:val="en-GB"/>
        </w:rPr>
        <w:t xml:space="preserve">6 months BE, or consumption of </w:t>
      </w:r>
      <w:r w:rsidRPr="000300C6">
        <w:rPr>
          <w:rFonts w:cs="Calibri"/>
          <w:sz w:val="20"/>
          <w:szCs w:val="20"/>
          <w:lang w:val="en-GB"/>
        </w:rPr>
        <w:t>≥</w:t>
      </w:r>
      <w:r w:rsidRPr="000300C6">
        <w:rPr>
          <w:sz w:val="20"/>
          <w:szCs w:val="20"/>
          <w:lang w:val="en-GB"/>
        </w:rPr>
        <w:t xml:space="preserve">108 CFU/day of commercial probiotics </w:t>
      </w:r>
      <w:r w:rsidRPr="000300C6">
        <w:rPr>
          <w:rFonts w:cs="Calibri"/>
          <w:sz w:val="20"/>
          <w:szCs w:val="20"/>
          <w:lang w:val="en-GB"/>
        </w:rPr>
        <w:t>≤</w:t>
      </w:r>
      <w:r w:rsidRPr="000300C6">
        <w:rPr>
          <w:sz w:val="20"/>
          <w:szCs w:val="20"/>
          <w:lang w:val="en-GB"/>
        </w:rPr>
        <w:t>12 months BE, or any treatment for gastrointestinal cancer prior to enrolment.</w:t>
      </w:r>
    </w:p>
    <w:p w14:paraId="500DE3C4" w14:textId="77777777" w:rsidR="008F7845" w:rsidRPr="000300C6" w:rsidRDefault="008F7845" w:rsidP="00952564">
      <w:pPr>
        <w:spacing w:line="480" w:lineRule="auto"/>
        <w:ind w:firstLine="720"/>
        <w:jc w:val="both"/>
        <w:rPr>
          <w:rFonts w:eastAsia="Times New Roman"/>
          <w:b/>
          <w:sz w:val="24"/>
          <w:szCs w:val="24"/>
          <w:lang w:eastAsia="en-GB"/>
        </w:rPr>
      </w:pPr>
      <w:r w:rsidRPr="000300C6">
        <w:rPr>
          <w:rFonts w:eastAsia="Times New Roman"/>
          <w:b/>
          <w:sz w:val="24"/>
          <w:szCs w:val="24"/>
          <w:lang w:eastAsia="en-GB"/>
        </w:rPr>
        <w:t>1.b – Prostate cancer treatment</w:t>
      </w:r>
    </w:p>
    <w:p w14:paraId="4BA24AD6" w14:textId="613FBAFD" w:rsidR="008F7845" w:rsidRPr="000300C6" w:rsidRDefault="008F7845" w:rsidP="00952564">
      <w:pPr>
        <w:spacing w:line="480" w:lineRule="auto"/>
        <w:jc w:val="both"/>
        <w:rPr>
          <w:sz w:val="20"/>
          <w:szCs w:val="20"/>
          <w:lang w:val="en-GB"/>
        </w:rPr>
      </w:pPr>
      <w:r w:rsidRPr="000300C6">
        <w:rPr>
          <w:sz w:val="20"/>
          <w:szCs w:val="20"/>
          <w:lang w:val="en-GB"/>
        </w:rPr>
        <w:t>In the early and late cohorts, all patients received intensity-modulated radiotherapy to the prostate, seminal vesicles and pelvic lymph nodes with conventionally-fractionated (CFRT) or hypofractionated (HFRT) schedules according to a previously published protocol.</w:t>
      </w:r>
      <w:r w:rsidRPr="000300C6">
        <w:rPr>
          <w:sz w:val="20"/>
          <w:szCs w:val="20"/>
          <w:lang w:val="en-GB"/>
        </w:rPr>
        <w:fldChar w:fldCharType="begin" w:fldLock="1"/>
      </w:r>
      <w:r w:rsidR="00385AA9" w:rsidRPr="000300C6">
        <w:rPr>
          <w:sz w:val="20"/>
          <w:szCs w:val="20"/>
          <w:lang w:val="en-GB"/>
        </w:rPr>
        <w:instrText>ADDIN CSL_CITATION {"citationItems":[{"id":"ITEM-1","itemData":{"DOI":"10.1016/j.ijrobp.2017.07.041","ISSN":"03603016","author":[{"dropping-particle":"","family":"Reis Ferreira","given":"Miguel","non-dropping-particle":"","parse-names":false,"suffix":""},{"dropping-particle":"","family":"Khan","given":"Atia","non-dropping-particle":"","parse-names":false,"suffix":""},{"dropping-particle":"","family":"Thomas","given":"Karen","non-dropping-particle":"","parse-names":false,"suffix":""},{"dropping-particle":"","family":"Truelove","given":"Lesley","non-dropping-particle":"","parse-names":false,"suffix":""},{"dropping-particle":"","family":"McNair","given":"Helen","non-dropping-particle":"","parse-names":false,"suffix":""},{"dropping-particle":"","family":"Gao","given":"Annie","non-dropping-particle":"","parse-names":false,"suffix":""},{"dropping-particle":"","family":"Parker","given":"Chris C.","non-dropping-particle":"","parse-names":false,"suffix":""},{"dropping-particle":"","family":"Huddart","given":"Robert","non-dropping-particle":"","parse-names":false,"suffix":""},{"dropping-particle":"","family":"Bidmead","given":"Margaret","non-dropping-particle":"","parse-names":false,"suffix":""},{"dropping-particle":"","family":"Eeles","given":"Ros","non-dropping-particle":"","parse-names":false,"suffix":""},{"dropping-particle":"","family":"Khoo","given":"Vincent","non-dropping-particle":"","parse-names":false,"suffix":""},{"dropping-particle":"","family":"As","given":"Nicholas J.","non-dropping-particle":"van","parse-names":false,"suffix":""},{"dropping-particle":"","family":"Hansen","given":"Vibeke N.","non-dropping-particle":"","parse-names":false,"suffix":""},{"dropping-particle":"","family":"Dearnaley","given":"David P.","non-dropping-particle":"","parse-names":false,"suffix":""}],"container-title":"International Journal of Radiation Oncology*Biology*Physics","id":"ITEM-1","issued":{"date-parts":[["2017","8"]]},"title":"A phase I/II dose escalation study of the use of intensity modulated radiotherapy (IMRT) to treat the prostate and pelvic nodes in patients with prostate cancer","type":"article-journal"},"uris":["http://www.mendeley.com/documents/?uuid=6187e68c-e3fd-3a57-8339-97ddf8355f7b"]}],"mendeley":{"formattedCitation":"&lt;sup&gt;1&lt;/sup&gt;","plainTextFormattedCitation":"1","previouslyFormattedCitation":"&lt;sup&gt;1&lt;/sup&gt;"},"properties":{"noteIndex":0},"schema":"https://github.com/citation-style-language/schema/raw/master/csl-citation.json"}</w:instrText>
      </w:r>
      <w:r w:rsidRPr="000300C6">
        <w:rPr>
          <w:sz w:val="20"/>
          <w:szCs w:val="20"/>
          <w:lang w:val="en-GB"/>
        </w:rPr>
        <w:fldChar w:fldCharType="separate"/>
      </w:r>
      <w:r w:rsidRPr="000300C6">
        <w:rPr>
          <w:noProof/>
          <w:sz w:val="20"/>
          <w:szCs w:val="20"/>
          <w:vertAlign w:val="superscript"/>
          <w:lang w:val="en-GB"/>
        </w:rPr>
        <w:t>1</w:t>
      </w:r>
      <w:r w:rsidRPr="000300C6">
        <w:rPr>
          <w:sz w:val="20"/>
          <w:szCs w:val="20"/>
          <w:lang w:val="en-GB"/>
        </w:rPr>
        <w:fldChar w:fldCharType="end"/>
      </w:r>
      <w:r w:rsidRPr="000300C6">
        <w:rPr>
          <w:sz w:val="20"/>
          <w:szCs w:val="20"/>
          <w:lang w:val="en-GB"/>
        </w:rPr>
        <w:t xml:space="preserve"> Patients treated with CFRT received 70-74Gy in 35-37 fractions to the prostate and seminal vesicles and 50-60Gy to the pelvic lymph nodes. Patients treated with HFRT received 60Gy to the prostate and seminal vesicles and 47Gy to the pelvic lymph nodes.</w:t>
      </w:r>
    </w:p>
    <w:p w14:paraId="3FE7C71F" w14:textId="4E704D79" w:rsidR="008F7845" w:rsidRPr="000300C6" w:rsidRDefault="008F7845" w:rsidP="00952564">
      <w:pPr>
        <w:spacing w:line="480" w:lineRule="auto"/>
        <w:jc w:val="both"/>
        <w:rPr>
          <w:sz w:val="20"/>
          <w:szCs w:val="20"/>
          <w:lang w:val="en-GB"/>
        </w:rPr>
      </w:pPr>
      <w:r w:rsidRPr="000300C6">
        <w:rPr>
          <w:sz w:val="20"/>
          <w:szCs w:val="20"/>
          <w:lang w:val="en-GB"/>
        </w:rPr>
        <w:t>In the colonoscopy cohort, cases received radiotherapy with either intensity-modulated or 3D-conformal techniques to the prostate and seminal vesicles, with or without pelvic lymph nodes irradiation. Radiotherapy fractions were given daily, 5 days/week. Control patients did not receive radiotherapy.</w:t>
      </w:r>
    </w:p>
    <w:p w14:paraId="03ADC584" w14:textId="12AE022B" w:rsidR="0027262D" w:rsidRPr="000300C6" w:rsidRDefault="0027262D" w:rsidP="0027262D">
      <w:pPr>
        <w:spacing w:line="480" w:lineRule="auto"/>
        <w:ind w:firstLine="720"/>
        <w:jc w:val="both"/>
        <w:rPr>
          <w:rFonts w:eastAsia="Times New Roman"/>
          <w:b/>
          <w:sz w:val="24"/>
          <w:szCs w:val="24"/>
          <w:lang w:eastAsia="en-GB"/>
        </w:rPr>
      </w:pPr>
      <w:r w:rsidRPr="000300C6">
        <w:rPr>
          <w:rFonts w:eastAsia="Times New Roman"/>
          <w:b/>
          <w:sz w:val="24"/>
          <w:szCs w:val="24"/>
          <w:lang w:eastAsia="en-GB"/>
        </w:rPr>
        <w:t>1.c – Patient physiology and diet</w:t>
      </w:r>
    </w:p>
    <w:p w14:paraId="42582450" w14:textId="7213C168" w:rsidR="00981025" w:rsidRDefault="00981025" w:rsidP="00981025">
      <w:pPr>
        <w:spacing w:line="480" w:lineRule="auto"/>
        <w:jc w:val="both"/>
        <w:rPr>
          <w:sz w:val="20"/>
          <w:szCs w:val="20"/>
        </w:rPr>
      </w:pPr>
      <w:r w:rsidRPr="000300C6">
        <w:rPr>
          <w:sz w:val="20"/>
          <w:szCs w:val="20"/>
        </w:rPr>
        <w:t xml:space="preserve">Patients completed a 7-day food diary starting 2 days after colonoscopy. A pragmatic approach of counting portions of cereals, vegetables, meat and fish, was used to characterise diet. Alcohol intake (g/week) was also recorded. </w:t>
      </w:r>
    </w:p>
    <w:p w14:paraId="580B86CB" w14:textId="39467DA5" w:rsidR="00054B8E" w:rsidRPr="000300C6" w:rsidRDefault="00054B8E" w:rsidP="00054B8E">
      <w:pPr>
        <w:spacing w:line="480" w:lineRule="auto"/>
        <w:ind w:firstLine="720"/>
        <w:jc w:val="both"/>
        <w:rPr>
          <w:rFonts w:eastAsia="Times New Roman"/>
          <w:b/>
          <w:sz w:val="24"/>
          <w:szCs w:val="24"/>
          <w:lang w:eastAsia="en-GB"/>
        </w:rPr>
      </w:pPr>
      <w:r w:rsidRPr="000300C6">
        <w:rPr>
          <w:rFonts w:eastAsia="Times New Roman"/>
          <w:b/>
          <w:sz w:val="24"/>
          <w:szCs w:val="24"/>
          <w:lang w:eastAsia="en-GB"/>
        </w:rPr>
        <w:lastRenderedPageBreak/>
        <w:t>1.</w:t>
      </w:r>
      <w:r>
        <w:rPr>
          <w:rFonts w:eastAsia="Times New Roman"/>
          <w:b/>
          <w:sz w:val="24"/>
          <w:szCs w:val="24"/>
          <w:lang w:eastAsia="en-GB"/>
        </w:rPr>
        <w:t>d</w:t>
      </w:r>
      <w:r w:rsidRPr="000300C6">
        <w:rPr>
          <w:rFonts w:eastAsia="Times New Roman"/>
          <w:b/>
          <w:sz w:val="24"/>
          <w:szCs w:val="24"/>
          <w:lang w:eastAsia="en-GB"/>
        </w:rPr>
        <w:t xml:space="preserve"> – </w:t>
      </w:r>
      <w:r>
        <w:rPr>
          <w:rFonts w:eastAsia="Times New Roman"/>
          <w:b/>
          <w:sz w:val="24"/>
          <w:szCs w:val="24"/>
          <w:lang w:eastAsia="en-GB"/>
        </w:rPr>
        <w:t>Sample size</w:t>
      </w:r>
    </w:p>
    <w:p w14:paraId="4A8ECEA8" w14:textId="31CCA110" w:rsidR="00054B8E" w:rsidRPr="00054B8E" w:rsidRDefault="00054B8E" w:rsidP="00054B8E">
      <w:pPr>
        <w:spacing w:line="480" w:lineRule="auto"/>
        <w:jc w:val="both"/>
        <w:rPr>
          <w:sz w:val="20"/>
          <w:szCs w:val="20"/>
        </w:rPr>
      </w:pPr>
      <w:bookmarkStart w:id="0" w:name="_Hlk8225558"/>
      <w:r w:rsidRPr="00054B8E">
        <w:rPr>
          <w:sz w:val="20"/>
          <w:szCs w:val="20"/>
        </w:rPr>
        <w:t xml:space="preserve">The study we report was an exploratory study and, as such, all patients attending relevant clinics were invited to participate during a 2-year period during which the study recruitment ran. As this was an exploratory study and no previous published data was available in humans, we aimed to recruit as many patients as possible in one of the main oncology practices in the UK, with indicative rather than definitive sample sizes. Estimates of sample size were based on studies carried out in small samples of patients or in studies of the microbiota in inflammatory bowel disease, as no data for radiation enteropathy was available at the time of study design. We powered our study for </w:t>
      </w:r>
      <w:r w:rsidR="00AB0235">
        <w:rPr>
          <w:sz w:val="20"/>
          <w:szCs w:val="20"/>
        </w:rPr>
        <w:t>9</w:t>
      </w:r>
      <w:r w:rsidRPr="00054B8E">
        <w:rPr>
          <w:sz w:val="20"/>
          <w:szCs w:val="20"/>
        </w:rPr>
        <w:t xml:space="preserve">5% </w:t>
      </w:r>
      <w:r w:rsidR="00AB0235">
        <w:rPr>
          <w:sz w:val="20"/>
          <w:szCs w:val="20"/>
        </w:rPr>
        <w:t>confidence</w:t>
      </w:r>
      <w:r w:rsidRPr="00054B8E">
        <w:rPr>
          <w:sz w:val="20"/>
          <w:szCs w:val="20"/>
        </w:rPr>
        <w:t xml:space="preserve"> level and 80% power, where differences in proportions of micro-organisms of the microbiota were expected to range between 24-76% (average 50%)</w:t>
      </w:r>
      <w:r>
        <w:rPr>
          <w:sz w:val="20"/>
          <w:szCs w:val="20"/>
        </w:rPr>
        <w:t>. I</w:t>
      </w:r>
      <w:r w:rsidRPr="00054B8E">
        <w:rPr>
          <w:sz w:val="20"/>
          <w:szCs w:val="20"/>
        </w:rPr>
        <w:t xml:space="preserve">t was </w:t>
      </w:r>
      <w:r>
        <w:rPr>
          <w:sz w:val="20"/>
          <w:szCs w:val="20"/>
        </w:rPr>
        <w:t xml:space="preserve">therefore </w:t>
      </w:r>
      <w:r w:rsidRPr="00054B8E">
        <w:rPr>
          <w:sz w:val="20"/>
          <w:szCs w:val="20"/>
        </w:rPr>
        <w:t>aimed that each cohort should recruit:</w:t>
      </w:r>
    </w:p>
    <w:p w14:paraId="639AD021" w14:textId="40A60978" w:rsidR="00054B8E" w:rsidRPr="00054B8E" w:rsidRDefault="00054B8E" w:rsidP="00054B8E">
      <w:pPr>
        <w:spacing w:line="480" w:lineRule="auto"/>
        <w:ind w:left="720"/>
        <w:jc w:val="both"/>
        <w:rPr>
          <w:sz w:val="20"/>
          <w:szCs w:val="20"/>
        </w:rPr>
      </w:pPr>
      <w:r w:rsidRPr="00054B8E">
        <w:rPr>
          <w:sz w:val="20"/>
          <w:szCs w:val="20"/>
        </w:rPr>
        <w:t>- Early cohort (cohort 2 in the study protocol, n=32): minimum of 26 patients</w:t>
      </w:r>
      <w:r>
        <w:rPr>
          <w:sz w:val="20"/>
          <w:szCs w:val="20"/>
        </w:rPr>
        <w:t>;</w:t>
      </w:r>
    </w:p>
    <w:p w14:paraId="452F7EAB" w14:textId="76997DF1" w:rsidR="00054B8E" w:rsidRPr="00054B8E" w:rsidRDefault="00054B8E" w:rsidP="00054B8E">
      <w:pPr>
        <w:spacing w:line="480" w:lineRule="auto"/>
        <w:ind w:left="720"/>
        <w:jc w:val="both"/>
        <w:rPr>
          <w:sz w:val="20"/>
          <w:szCs w:val="20"/>
        </w:rPr>
      </w:pPr>
      <w:r w:rsidRPr="00054B8E">
        <w:rPr>
          <w:sz w:val="20"/>
          <w:szCs w:val="20"/>
        </w:rPr>
        <w:t>- Late cohort (cohort 1 in the study protocol, n=87): minimum of 50 patients</w:t>
      </w:r>
      <w:r>
        <w:rPr>
          <w:sz w:val="20"/>
          <w:szCs w:val="20"/>
        </w:rPr>
        <w:t>;</w:t>
      </w:r>
    </w:p>
    <w:p w14:paraId="4A1B498D" w14:textId="77777777" w:rsidR="00054B8E" w:rsidRPr="00054B8E" w:rsidRDefault="00054B8E" w:rsidP="00054B8E">
      <w:pPr>
        <w:spacing w:line="480" w:lineRule="auto"/>
        <w:ind w:left="720"/>
        <w:jc w:val="both"/>
        <w:rPr>
          <w:sz w:val="20"/>
          <w:szCs w:val="20"/>
        </w:rPr>
      </w:pPr>
      <w:r w:rsidRPr="00054B8E">
        <w:rPr>
          <w:sz w:val="20"/>
          <w:szCs w:val="20"/>
        </w:rPr>
        <w:t>- Colonoscopy cohort (cohort 3 in the study cohort, n=15): minimum of 16 patients.</w:t>
      </w:r>
    </w:p>
    <w:p w14:paraId="3B414470" w14:textId="594E7F7A" w:rsidR="00054B8E" w:rsidRPr="000300C6" w:rsidRDefault="00054B8E" w:rsidP="00054B8E">
      <w:pPr>
        <w:spacing w:line="480" w:lineRule="auto"/>
        <w:jc w:val="both"/>
        <w:rPr>
          <w:sz w:val="20"/>
          <w:szCs w:val="20"/>
        </w:rPr>
      </w:pPr>
      <w:r w:rsidRPr="00054B8E">
        <w:rPr>
          <w:sz w:val="20"/>
          <w:szCs w:val="20"/>
        </w:rPr>
        <w:t xml:space="preserve">In the colonoscopy cohort, </w:t>
      </w:r>
      <w:r>
        <w:rPr>
          <w:sz w:val="20"/>
          <w:szCs w:val="20"/>
        </w:rPr>
        <w:t xml:space="preserve">due to difficulties in recruiting healthy controls for the study, </w:t>
      </w:r>
      <w:r w:rsidRPr="00054B8E">
        <w:rPr>
          <w:sz w:val="20"/>
          <w:szCs w:val="20"/>
        </w:rPr>
        <w:t>9 "case" (irradiated) patients (out of a minimum of 8) and 6 "control" subjects were recruited and analysis was therefore carried out</w:t>
      </w:r>
      <w:r>
        <w:rPr>
          <w:sz w:val="20"/>
          <w:szCs w:val="20"/>
        </w:rPr>
        <w:t>.</w:t>
      </w:r>
    </w:p>
    <w:bookmarkEnd w:id="0"/>
    <w:p w14:paraId="2DE38D89" w14:textId="4EE8B17C" w:rsidR="008E4DFD" w:rsidRPr="000300C6" w:rsidRDefault="00054B8E" w:rsidP="00952564">
      <w:pPr>
        <w:spacing w:line="480" w:lineRule="auto"/>
        <w:ind w:firstLine="720"/>
        <w:jc w:val="both"/>
        <w:rPr>
          <w:rFonts w:eastAsia="Times New Roman"/>
          <w:b/>
          <w:sz w:val="24"/>
          <w:szCs w:val="24"/>
          <w:lang w:eastAsia="en-GB"/>
        </w:rPr>
      </w:pPr>
      <w:r>
        <w:rPr>
          <w:rFonts w:eastAsia="Times New Roman"/>
          <w:b/>
          <w:sz w:val="24"/>
          <w:szCs w:val="24"/>
          <w:lang w:eastAsia="en-GB"/>
        </w:rPr>
        <w:t>1.e</w:t>
      </w:r>
      <w:r w:rsidR="008E4DFD" w:rsidRPr="000300C6">
        <w:rPr>
          <w:rFonts w:eastAsia="Times New Roman"/>
          <w:b/>
          <w:sz w:val="24"/>
          <w:szCs w:val="24"/>
          <w:lang w:eastAsia="en-GB"/>
        </w:rPr>
        <w:t xml:space="preserve"> – Sampling procedures and processing</w:t>
      </w:r>
    </w:p>
    <w:p w14:paraId="0DB9906C" w14:textId="7172A0EC" w:rsidR="008E4DFD" w:rsidRPr="000300C6" w:rsidRDefault="00054B8E" w:rsidP="00952564">
      <w:pPr>
        <w:spacing w:line="480" w:lineRule="auto"/>
        <w:ind w:firstLine="720"/>
        <w:jc w:val="both"/>
        <w:rPr>
          <w:b/>
          <w:sz w:val="20"/>
          <w:szCs w:val="20"/>
          <w:lang w:val="en-GB"/>
        </w:rPr>
      </w:pPr>
      <w:r>
        <w:rPr>
          <w:b/>
          <w:sz w:val="20"/>
          <w:szCs w:val="20"/>
          <w:lang w:val="en-GB"/>
        </w:rPr>
        <w:t>1.e</w:t>
      </w:r>
      <w:r w:rsidR="008E4DFD" w:rsidRPr="000300C6">
        <w:rPr>
          <w:b/>
          <w:sz w:val="20"/>
          <w:szCs w:val="20"/>
          <w:lang w:val="en-GB"/>
        </w:rPr>
        <w:t>.1 – Sampling of stool</w:t>
      </w:r>
    </w:p>
    <w:p w14:paraId="22E635EF" w14:textId="5BEED423" w:rsidR="008E4DFD" w:rsidRPr="000300C6" w:rsidRDefault="008E4DFD" w:rsidP="00952564">
      <w:pPr>
        <w:spacing w:line="480" w:lineRule="auto"/>
        <w:jc w:val="both"/>
        <w:rPr>
          <w:sz w:val="20"/>
          <w:szCs w:val="20"/>
          <w:lang w:val="en-GB"/>
        </w:rPr>
      </w:pPr>
      <w:r w:rsidRPr="000300C6">
        <w:rPr>
          <w:sz w:val="20"/>
          <w:szCs w:val="20"/>
          <w:lang w:val="en-GB"/>
        </w:rPr>
        <w:t>Stool from a single bowel movement was obtained within 12h prior to the visit by each subject by using the supplied materials kit and stored on dry ice up to 4h before further processing. The 12h maximum time was considered safe to avoid degradation of DNA, RNA and the composition of the microbial community as previously described.</w:t>
      </w:r>
      <w:r w:rsidRPr="000300C6">
        <w:rPr>
          <w:sz w:val="20"/>
          <w:szCs w:val="20"/>
          <w:lang w:val="en-GB"/>
        </w:rPr>
        <w:fldChar w:fldCharType="begin" w:fldLock="1"/>
      </w:r>
      <w:r w:rsidR="003B5BC9" w:rsidRPr="000300C6">
        <w:rPr>
          <w:sz w:val="20"/>
          <w:szCs w:val="20"/>
          <w:lang w:val="en-GB"/>
        </w:rPr>
        <w:instrText>ADDIN CSL_CITATION {"citationItems":[{"id":"ITEM-1","itemData":{"DOI":"10.1186/1471-2180-12-158","ISBN":"1471-2180 (Electronic)\\n1471-2180 (Linking)","ISSN":"1471-2180","PMID":"22846661","abstract":"BACKGROUND: The structure and function of human gut microbiota is currently inferred from metagenomic and metatranscriptomic analyses. Recovery of intact DNA and RNA is therefore a critical step in these studies. Here, we evaluated how different storage conditions of fecal samples affect the quality of extracted nucleic acids and the stability of their microbial communities. RESULTS: We assessed the quality of genomic DNA and total RNA by microcapillary electrophoresis and analyzed the bacterial community structure by pyrosequencing the 16S rRNA gene. DNA and RNA started to fragment when samples were kept at room temperature for more than 24 h. The use of RNAse inhibitors diminished RNA degradation but this protection was not consistent among individuals. DNA and RNA degradation also occurred when frozen samples were defrosted for a short period (1 h) before nucleic acid extraction. The same conditions that affected DNA and RNA integrity also altered the relative abundance of most taxa in the bacterial community analysis. In this case, intra-individual variability of microbial diversity was larger than inter-individual one. CONCLUSIONS: Though this preliminary work explored a very limited number of parameters, the results suggest that storage conditions of fecal samples affect the integrity of DNA and RNA and the composition of their microbial community. For optimal preservation, stool samples should be kept at room temperature and brought at the laboratory within 24 h after collection or be stored immediately at -20°C in a home freezer and transported afterwards in a freezer pack to ensure that they do not defrost at any time. Mixing the samples with RNAse inhibitors outside the laboratory is not recommended since proper homogenization of the stool is difficult to monitor.","author":[{"dropping-particle":"","family":"Cardona","given":"","non-dropping-particle":"","parse-names":false,"suffix":""}],"container-title":"BMC Microbiology","id":"ITEM-1","issue":"1","issued":{"date-parts":[["2012"]]},"page":"158","title":"Storage conditions of intestinal microbiota matter in metagenomic analysis","type":"article-journal","volume":"12"},"uris":["http://www.mendeley.com/documents/?uuid=565d23c8-951f-49bd-b656-09679c6dc134"]}],"mendeley":{"formattedCitation":"&lt;sup&gt;2&lt;/sup&gt;","plainTextFormattedCitation":"2","previouslyFormattedCitation":"&lt;sup&gt;2&lt;/sup&gt;"},"properties":{"noteIndex":0},"schema":"https://github.com/citation-style-language/schema/raw/master/csl-citation.json"}</w:instrText>
      </w:r>
      <w:r w:rsidRPr="000300C6">
        <w:rPr>
          <w:sz w:val="20"/>
          <w:szCs w:val="20"/>
          <w:lang w:val="en-GB"/>
        </w:rPr>
        <w:fldChar w:fldCharType="separate"/>
      </w:r>
      <w:r w:rsidR="00385AA9" w:rsidRPr="000300C6">
        <w:rPr>
          <w:noProof/>
          <w:sz w:val="20"/>
          <w:szCs w:val="20"/>
          <w:vertAlign w:val="superscript"/>
          <w:lang w:val="en-GB"/>
        </w:rPr>
        <w:t>2</w:t>
      </w:r>
      <w:r w:rsidRPr="000300C6">
        <w:rPr>
          <w:sz w:val="20"/>
          <w:szCs w:val="20"/>
          <w:lang w:val="en-GB"/>
        </w:rPr>
        <w:fldChar w:fldCharType="end"/>
      </w:r>
      <w:r w:rsidRPr="000300C6">
        <w:rPr>
          <w:sz w:val="20"/>
          <w:szCs w:val="20"/>
          <w:lang w:val="en-GB"/>
        </w:rPr>
        <w:t xml:space="preserve"> Samples were weighed, homogenized, and aliquoted in three sterile 1.5mL microcentrifuge plastic tubes (</w:t>
      </w:r>
      <w:r w:rsidRPr="000300C6">
        <w:rPr>
          <w:rFonts w:cs="Calibri"/>
          <w:sz w:val="20"/>
          <w:szCs w:val="20"/>
          <w:lang w:val="en-GB"/>
        </w:rPr>
        <w:t>≥</w:t>
      </w:r>
      <w:r w:rsidRPr="000300C6">
        <w:rPr>
          <w:sz w:val="20"/>
          <w:szCs w:val="20"/>
          <w:lang w:val="en-GB"/>
        </w:rPr>
        <w:t>1.5mL of stool per aliquot). 100μL of phenol per 500 mg of stools were added to avoid DNA degradation during the freezing period, which was vortexed for 1 minute and immediately frozen at -80°C until DNA extraction.</w:t>
      </w:r>
      <w:r w:rsidRPr="000300C6">
        <w:rPr>
          <w:sz w:val="20"/>
          <w:szCs w:val="20"/>
          <w:lang w:val="en-GB"/>
        </w:rPr>
        <w:fldChar w:fldCharType="begin" w:fldLock="1"/>
      </w:r>
      <w:r w:rsidR="003B5BC9" w:rsidRPr="000300C6">
        <w:rPr>
          <w:sz w:val="20"/>
          <w:szCs w:val="20"/>
          <w:lang w:val="en-GB"/>
        </w:rPr>
        <w:instrText>ADDIN CSL_CITATION {"citationItems":[{"id":"ITEM-1","itemData":{"DOI":"10.1186/1471-2180-12-158","ISBN":"1471-2180 (Electronic)\\n1471-2180 (Linking)","ISSN":"1471-2180","PMID":"22846661","abstract":"BACKGROUND: The structure and function of human gut microbiota is currently inferred from metagenomic and metatranscriptomic analyses. Recovery of intact DNA and RNA is therefore a critical step in these studies. Here, we evaluated how different storage conditions of fecal samples affect the quality of extracted nucleic acids and the stability of their microbial communities. RESULTS: We assessed the quality of genomic DNA and total RNA by microcapillary electrophoresis and analyzed the bacterial community structure by pyrosequencing the 16S rRNA gene. DNA and RNA started to fragment when samples were kept at room temperature for more than 24 h. The use of RNAse inhibitors diminished RNA degradation but this protection was not consistent among individuals. DNA and RNA degradation also occurred when frozen samples were defrosted for a short period (1 h) before nucleic acid extraction. The same conditions that affected DNA and RNA integrity also altered the relative abundance of most taxa in the bacterial community analysis. In this case, intra-individual variability of microbial diversity was larger than inter-individual one. CONCLUSIONS: Though this preliminary work explored a very limited number of parameters, the results suggest that storage conditions of fecal samples affect the integrity of DNA and RNA and the composition of their microbial community. For optimal preservation, stool samples should be kept at room temperature and brought at the laboratory within 24 h after collection or be stored immediately at -20°C in a home freezer and transported afterwards in a freezer pack to ensure that they do not defrost at any time. Mixing the samples with RNAse inhibitors outside the laboratory is not recommended since proper homogenization of the stool is difficult to monitor.","author":[{"dropping-particle":"","family":"Cardona","given":"","non-dropping-particle":"","parse-names":false,"suffix":""}],"container-title":"BMC Microbiology","id":"ITEM-1","issue":"1","issued":{"date-parts":[["2012"]]},"page":"158","title":"Storage conditions of intestinal microbiota matter in metagenomic analysis","type":"article-journal","volume":"12"},"uris":["http://www.mendeley.com/documents/?uuid=565d23c8-951f-49bd-b656-09679c6dc134"]}],"mendeley":{"formattedCitation":"&lt;sup&gt;2&lt;/sup&gt;","plainTextFormattedCitation":"2","previouslyFormattedCitation":"&lt;sup&gt;2&lt;/sup&gt;"},"properties":{"noteIndex":0},"schema":"https://github.com/citation-style-language/schema/raw/master/csl-citation.json"}</w:instrText>
      </w:r>
      <w:r w:rsidRPr="000300C6">
        <w:rPr>
          <w:sz w:val="20"/>
          <w:szCs w:val="20"/>
          <w:lang w:val="en-GB"/>
        </w:rPr>
        <w:fldChar w:fldCharType="separate"/>
      </w:r>
      <w:r w:rsidR="00385AA9" w:rsidRPr="000300C6">
        <w:rPr>
          <w:noProof/>
          <w:sz w:val="20"/>
          <w:szCs w:val="20"/>
          <w:vertAlign w:val="superscript"/>
          <w:lang w:val="en-GB"/>
        </w:rPr>
        <w:t>2</w:t>
      </w:r>
      <w:r w:rsidRPr="000300C6">
        <w:rPr>
          <w:sz w:val="20"/>
          <w:szCs w:val="20"/>
          <w:lang w:val="en-GB"/>
        </w:rPr>
        <w:fldChar w:fldCharType="end"/>
      </w:r>
    </w:p>
    <w:p w14:paraId="74AFDC3A" w14:textId="3C2BF7E2" w:rsidR="008E4DFD" w:rsidRPr="000300C6" w:rsidRDefault="00054B8E" w:rsidP="00952564">
      <w:pPr>
        <w:spacing w:line="480" w:lineRule="auto"/>
        <w:ind w:firstLine="720"/>
        <w:jc w:val="both"/>
        <w:rPr>
          <w:b/>
          <w:sz w:val="20"/>
          <w:szCs w:val="20"/>
          <w:lang w:val="en-GB"/>
        </w:rPr>
      </w:pPr>
      <w:r>
        <w:rPr>
          <w:b/>
          <w:sz w:val="20"/>
          <w:szCs w:val="20"/>
          <w:lang w:val="en-GB"/>
        </w:rPr>
        <w:lastRenderedPageBreak/>
        <w:t>1.e</w:t>
      </w:r>
      <w:r w:rsidR="008E4DFD" w:rsidRPr="000300C6">
        <w:rPr>
          <w:b/>
          <w:sz w:val="20"/>
          <w:szCs w:val="20"/>
          <w:lang w:val="en-GB"/>
        </w:rPr>
        <w:t>.2 – Sampling of intestinal mucosa (colonoscopy cohort only)</w:t>
      </w:r>
    </w:p>
    <w:p w14:paraId="19A08513" w14:textId="77777777" w:rsidR="008E4DFD" w:rsidRPr="000300C6" w:rsidRDefault="008E4DFD" w:rsidP="00952564">
      <w:pPr>
        <w:spacing w:line="480" w:lineRule="auto"/>
        <w:jc w:val="both"/>
        <w:rPr>
          <w:sz w:val="20"/>
          <w:szCs w:val="20"/>
          <w:lang w:val="en-GB"/>
        </w:rPr>
      </w:pPr>
      <w:r w:rsidRPr="000300C6">
        <w:rPr>
          <w:sz w:val="20"/>
          <w:szCs w:val="20"/>
          <w:lang w:val="en-GB"/>
        </w:rPr>
        <w:t xml:space="preserve">Biopsies for 16S-rRNA gene-based </w:t>
      </w:r>
      <w:proofErr w:type="spellStart"/>
      <w:r w:rsidRPr="000300C6">
        <w:rPr>
          <w:sz w:val="20"/>
          <w:szCs w:val="20"/>
          <w:lang w:val="en-GB"/>
        </w:rPr>
        <w:t>phylotyping</w:t>
      </w:r>
      <w:proofErr w:type="spellEnd"/>
      <w:r w:rsidRPr="000300C6">
        <w:rPr>
          <w:sz w:val="20"/>
          <w:szCs w:val="20"/>
          <w:lang w:val="en-GB"/>
        </w:rPr>
        <w:t xml:space="preserve"> were stored in 5% v/v glycerol in 2mL sterile microcentrifuge tubes with screw caps, snap-frozen in liquid nitrogen in the endoscopy room and frozen at -80</w:t>
      </w:r>
      <w:r w:rsidRPr="000300C6">
        <w:rPr>
          <w:sz w:val="20"/>
          <w:szCs w:val="20"/>
          <w:vertAlign w:val="superscript"/>
          <w:lang w:val="en-GB"/>
        </w:rPr>
        <w:t>o</w:t>
      </w:r>
      <w:r w:rsidRPr="000300C6">
        <w:rPr>
          <w:sz w:val="20"/>
          <w:szCs w:val="20"/>
          <w:lang w:val="en-GB"/>
        </w:rPr>
        <w:t>C within 60 minutes until DNA extraction. Biopsies for cytokine analysis were stored in 2mL sterile microcentrifuge tubes with screw caps, snap-frozen in liquid nitrogen in the endoscopy room and frozen at -80</w:t>
      </w:r>
      <w:r w:rsidRPr="000300C6">
        <w:rPr>
          <w:sz w:val="20"/>
          <w:szCs w:val="20"/>
          <w:vertAlign w:val="superscript"/>
          <w:lang w:val="en-GB"/>
        </w:rPr>
        <w:t>o</w:t>
      </w:r>
      <w:r w:rsidRPr="000300C6">
        <w:rPr>
          <w:sz w:val="20"/>
          <w:szCs w:val="20"/>
          <w:lang w:val="en-GB"/>
        </w:rPr>
        <w:t>C within 60 minutes until analysis. Biopsies for pathology were fixed in 10% neutral buffered formalin in a 20mL container and sent to the pathology laboratory for analysis.</w:t>
      </w:r>
    </w:p>
    <w:p w14:paraId="3E1DE1E0" w14:textId="67D731D9" w:rsidR="008E4DFD" w:rsidRPr="000300C6" w:rsidRDefault="00054B8E" w:rsidP="00952564">
      <w:pPr>
        <w:spacing w:line="480" w:lineRule="auto"/>
        <w:ind w:firstLine="720"/>
        <w:jc w:val="both"/>
        <w:rPr>
          <w:b/>
          <w:sz w:val="20"/>
          <w:szCs w:val="20"/>
          <w:lang w:val="en-GB"/>
        </w:rPr>
      </w:pPr>
      <w:r>
        <w:rPr>
          <w:b/>
          <w:sz w:val="20"/>
          <w:szCs w:val="20"/>
          <w:lang w:val="en-GB"/>
        </w:rPr>
        <w:t>1.e</w:t>
      </w:r>
      <w:r w:rsidR="008E4DFD" w:rsidRPr="000300C6">
        <w:rPr>
          <w:b/>
          <w:sz w:val="20"/>
          <w:szCs w:val="20"/>
          <w:lang w:val="en-GB"/>
        </w:rPr>
        <w:t>.3 – DNA extraction, data acquisition and processing</w:t>
      </w:r>
    </w:p>
    <w:p w14:paraId="1B6F1C27" w14:textId="77777777" w:rsidR="008E4DFD" w:rsidRPr="000300C6" w:rsidRDefault="008E4DFD" w:rsidP="00952564">
      <w:pPr>
        <w:spacing w:line="480" w:lineRule="auto"/>
        <w:jc w:val="both"/>
        <w:rPr>
          <w:sz w:val="20"/>
          <w:szCs w:val="20"/>
          <w:lang w:val="en-GB"/>
        </w:rPr>
      </w:pPr>
      <w:r w:rsidRPr="000300C6">
        <w:rPr>
          <w:sz w:val="20"/>
          <w:szCs w:val="20"/>
          <w:lang w:val="en-GB"/>
        </w:rPr>
        <w:t xml:space="preserve">Genomic DNA was extracted from faecal (250mg) and gut biopsy (whole biopsy) samples using the Qiagen Stool Kit (Qiagen, Crawley, UK) according to manufacturer instructions with an additional bead beating step for homogenisation of sample and lysis of bacterial cells (0.1g 0.1 mm sterile glass beads, </w:t>
      </w:r>
      <w:proofErr w:type="spellStart"/>
      <w:r w:rsidRPr="000300C6">
        <w:rPr>
          <w:sz w:val="20"/>
          <w:szCs w:val="20"/>
          <w:lang w:val="en-GB"/>
        </w:rPr>
        <w:t>FastPrep</w:t>
      </w:r>
      <w:proofErr w:type="spellEnd"/>
      <w:r w:rsidRPr="000300C6">
        <w:rPr>
          <w:sz w:val="20"/>
          <w:szCs w:val="20"/>
          <w:lang w:val="en-GB"/>
        </w:rPr>
        <w:t xml:space="preserve"> bead-beater (Q-</w:t>
      </w:r>
      <w:proofErr w:type="spellStart"/>
      <w:r w:rsidRPr="000300C6">
        <w:rPr>
          <w:sz w:val="20"/>
          <w:szCs w:val="20"/>
          <w:lang w:val="en-GB"/>
        </w:rPr>
        <w:t>BIOgene</w:t>
      </w:r>
      <w:proofErr w:type="spellEnd"/>
      <w:r w:rsidRPr="000300C6">
        <w:rPr>
          <w:sz w:val="20"/>
          <w:szCs w:val="20"/>
          <w:lang w:val="en-GB"/>
        </w:rPr>
        <w:t xml:space="preserve">), setting six (6 metres per second) for 20 seconds, repeated a further two times with 5 minutes on ice between cycles), and quantified using the Invitrogen Qubit platform. </w:t>
      </w:r>
    </w:p>
    <w:p w14:paraId="1097CC7A" w14:textId="77777777" w:rsidR="008E4DFD" w:rsidRPr="000300C6" w:rsidRDefault="008E4DFD" w:rsidP="00952564">
      <w:pPr>
        <w:spacing w:line="480" w:lineRule="auto"/>
        <w:jc w:val="both"/>
        <w:rPr>
          <w:sz w:val="20"/>
          <w:szCs w:val="20"/>
          <w:lang w:val="en-GB"/>
        </w:rPr>
      </w:pPr>
      <w:r w:rsidRPr="000300C6">
        <w:rPr>
          <w:sz w:val="20"/>
          <w:szCs w:val="20"/>
          <w:lang w:val="en-GB"/>
        </w:rPr>
        <w:t>Library preparation and Illumina (</w:t>
      </w:r>
      <w:proofErr w:type="spellStart"/>
      <w:r w:rsidRPr="000300C6">
        <w:rPr>
          <w:sz w:val="20"/>
          <w:szCs w:val="20"/>
          <w:lang w:val="en-GB"/>
        </w:rPr>
        <w:t>MiSeq</w:t>
      </w:r>
      <w:proofErr w:type="spellEnd"/>
      <w:r w:rsidRPr="000300C6">
        <w:rPr>
          <w:sz w:val="20"/>
          <w:szCs w:val="20"/>
          <w:lang w:val="en-GB"/>
        </w:rPr>
        <w:t xml:space="preserve">) sequencing of the V1-2 regions of the 16S-rRNA gene were performed at </w:t>
      </w:r>
      <w:proofErr w:type="spellStart"/>
      <w:r w:rsidRPr="000300C6">
        <w:rPr>
          <w:sz w:val="20"/>
          <w:szCs w:val="20"/>
          <w:lang w:val="en-GB"/>
        </w:rPr>
        <w:t>RTLGenomics</w:t>
      </w:r>
      <w:proofErr w:type="spellEnd"/>
      <w:r w:rsidRPr="000300C6">
        <w:rPr>
          <w:sz w:val="20"/>
          <w:szCs w:val="20"/>
          <w:lang w:val="en-GB"/>
        </w:rPr>
        <w:t xml:space="preserve"> (Lubbock, Texas, USA). Samples were amplified for sequencing in a two-step process.  The forward primer was constructed with the (5’-3’) Illumina i5 sequencing primer (TCGTCGGCAGCGTCAGATGTGTATAAGAGACAG) and the 28F-GAGTTTGATCNTGGCTCAG primer.  The reverse primer was constructed with the (5’-3’) Illumina i7 sequencing primer (GTCTCGTGGGCTCGGAGATGTGTATAAGAGACAG) and the 388R-TGCTGCCTCCCGTAGGAGT  primer.  Amplifications were performed in 25μL reactions with Qiagen </w:t>
      </w:r>
      <w:proofErr w:type="spellStart"/>
      <w:r w:rsidRPr="000300C6">
        <w:rPr>
          <w:sz w:val="20"/>
          <w:szCs w:val="20"/>
          <w:lang w:val="en-GB"/>
        </w:rPr>
        <w:t>HotStar</w:t>
      </w:r>
      <w:proofErr w:type="spellEnd"/>
      <w:r w:rsidRPr="000300C6">
        <w:rPr>
          <w:sz w:val="20"/>
          <w:szCs w:val="20"/>
          <w:lang w:val="en-GB"/>
        </w:rPr>
        <w:t xml:space="preserve"> </w:t>
      </w:r>
      <w:proofErr w:type="spellStart"/>
      <w:r w:rsidRPr="000300C6">
        <w:rPr>
          <w:sz w:val="20"/>
          <w:szCs w:val="20"/>
          <w:lang w:val="en-GB"/>
        </w:rPr>
        <w:t>Taq</w:t>
      </w:r>
      <w:proofErr w:type="spellEnd"/>
      <w:r w:rsidRPr="000300C6">
        <w:rPr>
          <w:sz w:val="20"/>
          <w:szCs w:val="20"/>
          <w:lang w:val="en-GB"/>
        </w:rPr>
        <w:t xml:space="preserve"> master mix (Qiagen Inc, Valencia, California), 1μL of each 5uM primer, and 1μL of template.  Reactions were performed on ABI </w:t>
      </w:r>
      <w:proofErr w:type="spellStart"/>
      <w:r w:rsidRPr="000300C6">
        <w:rPr>
          <w:sz w:val="20"/>
          <w:szCs w:val="20"/>
          <w:lang w:val="en-GB"/>
        </w:rPr>
        <w:t>Veriti</w:t>
      </w:r>
      <w:proofErr w:type="spellEnd"/>
      <w:r w:rsidRPr="000300C6">
        <w:rPr>
          <w:sz w:val="20"/>
          <w:szCs w:val="20"/>
          <w:lang w:val="en-GB"/>
        </w:rPr>
        <w:t xml:space="preserve"> thermocyclers (Applied </w:t>
      </w:r>
      <w:proofErr w:type="spellStart"/>
      <w:r w:rsidRPr="000300C6">
        <w:rPr>
          <w:sz w:val="20"/>
          <w:szCs w:val="20"/>
          <w:lang w:val="en-GB"/>
        </w:rPr>
        <w:t>Biosytems</w:t>
      </w:r>
      <w:proofErr w:type="spellEnd"/>
      <w:r w:rsidRPr="000300C6">
        <w:rPr>
          <w:sz w:val="20"/>
          <w:szCs w:val="20"/>
          <w:lang w:val="en-GB"/>
        </w:rPr>
        <w:t xml:space="preserve">, Carlsbad, California) under the following thermal profile: 95°C for 5 min, then 35 cycles of 94°C for 30 sec, 54°C for 40 sec, 72°C for 1 min, followed by one cycle of 72°C for 10 min and 4°C hold. </w:t>
      </w:r>
    </w:p>
    <w:p w14:paraId="2A8C22AA" w14:textId="77777777" w:rsidR="008E4DFD" w:rsidRPr="000300C6" w:rsidRDefault="008E4DFD" w:rsidP="00952564">
      <w:pPr>
        <w:spacing w:line="480" w:lineRule="auto"/>
        <w:jc w:val="both"/>
        <w:rPr>
          <w:sz w:val="20"/>
          <w:szCs w:val="20"/>
          <w:lang w:val="en-GB"/>
        </w:rPr>
      </w:pPr>
      <w:r w:rsidRPr="000300C6">
        <w:rPr>
          <w:sz w:val="20"/>
          <w:szCs w:val="20"/>
          <w:lang w:val="en-GB"/>
        </w:rPr>
        <w:t xml:space="preserve">Products from first stage amplification were added to a second PCR to qualitatively determine concentrations.  Primers for the second PCR were designed based on the Illumina </w:t>
      </w:r>
      <w:proofErr w:type="spellStart"/>
      <w:r w:rsidRPr="000300C6">
        <w:rPr>
          <w:sz w:val="20"/>
          <w:szCs w:val="20"/>
          <w:lang w:val="en-GB"/>
        </w:rPr>
        <w:t>Nextera</w:t>
      </w:r>
      <w:proofErr w:type="spellEnd"/>
      <w:r w:rsidRPr="000300C6">
        <w:rPr>
          <w:sz w:val="20"/>
          <w:szCs w:val="20"/>
          <w:lang w:val="en-GB"/>
        </w:rPr>
        <w:t xml:space="preserve"> PCR primers as follows:</w:t>
      </w:r>
    </w:p>
    <w:p w14:paraId="5D1A8C07" w14:textId="77777777" w:rsidR="008E4DFD" w:rsidRPr="000300C6" w:rsidRDefault="008E4DFD" w:rsidP="00952564">
      <w:pPr>
        <w:spacing w:line="480" w:lineRule="auto"/>
        <w:jc w:val="both"/>
        <w:rPr>
          <w:sz w:val="20"/>
          <w:szCs w:val="20"/>
          <w:lang w:val="en-GB"/>
        </w:rPr>
      </w:pPr>
      <w:r w:rsidRPr="000300C6">
        <w:rPr>
          <w:sz w:val="20"/>
          <w:szCs w:val="20"/>
          <w:lang w:val="en-GB"/>
        </w:rPr>
        <w:t>-</w:t>
      </w:r>
      <w:r w:rsidRPr="000300C6">
        <w:rPr>
          <w:sz w:val="20"/>
          <w:szCs w:val="20"/>
          <w:lang w:val="en-GB"/>
        </w:rPr>
        <w:tab/>
        <w:t xml:space="preserve">Forward -  AATGATACGGCGACCACCGAGATCTACAC[i5index]TCGTCGGCAGCGTC and </w:t>
      </w:r>
    </w:p>
    <w:p w14:paraId="5E7AD231" w14:textId="77777777" w:rsidR="008E4DFD" w:rsidRPr="000300C6" w:rsidRDefault="008E4DFD" w:rsidP="00952564">
      <w:pPr>
        <w:spacing w:line="480" w:lineRule="auto"/>
        <w:jc w:val="both"/>
        <w:rPr>
          <w:sz w:val="20"/>
          <w:szCs w:val="20"/>
          <w:lang w:val="en-GB"/>
        </w:rPr>
      </w:pPr>
      <w:r w:rsidRPr="000300C6">
        <w:rPr>
          <w:sz w:val="20"/>
          <w:szCs w:val="20"/>
          <w:lang w:val="en-GB"/>
        </w:rPr>
        <w:lastRenderedPageBreak/>
        <w:t>-</w:t>
      </w:r>
      <w:r w:rsidRPr="000300C6">
        <w:rPr>
          <w:sz w:val="20"/>
          <w:szCs w:val="20"/>
          <w:lang w:val="en-GB"/>
        </w:rPr>
        <w:tab/>
        <w:t xml:space="preserve">Reverse - CAAGCAGAAGACGGCATACGAGAT[i7index]GTCTCGTGGGCTCGG.  </w:t>
      </w:r>
    </w:p>
    <w:p w14:paraId="28DE7FFD" w14:textId="77777777" w:rsidR="008E4DFD" w:rsidRPr="000300C6" w:rsidRDefault="008E4DFD" w:rsidP="00952564">
      <w:pPr>
        <w:spacing w:line="480" w:lineRule="auto"/>
        <w:jc w:val="both"/>
        <w:rPr>
          <w:sz w:val="20"/>
          <w:szCs w:val="20"/>
          <w:lang w:val="en-GB"/>
        </w:rPr>
      </w:pPr>
      <w:r w:rsidRPr="000300C6">
        <w:rPr>
          <w:sz w:val="20"/>
          <w:szCs w:val="20"/>
          <w:lang w:val="en-GB"/>
        </w:rPr>
        <w:t>The second stage amplification was run the same as the first stage except for 10 cycles.</w:t>
      </w:r>
    </w:p>
    <w:p w14:paraId="7AE0CCBF" w14:textId="77777777" w:rsidR="008E4DFD" w:rsidRPr="000300C6" w:rsidRDefault="008E4DFD" w:rsidP="00952564">
      <w:pPr>
        <w:spacing w:line="480" w:lineRule="auto"/>
        <w:jc w:val="both"/>
        <w:rPr>
          <w:sz w:val="20"/>
          <w:szCs w:val="20"/>
          <w:lang w:val="en-GB"/>
        </w:rPr>
      </w:pPr>
      <w:r w:rsidRPr="000300C6">
        <w:rPr>
          <w:sz w:val="20"/>
          <w:szCs w:val="20"/>
          <w:lang w:val="en-GB"/>
        </w:rPr>
        <w:t xml:space="preserve">Amplification products were visualized with </w:t>
      </w:r>
      <w:proofErr w:type="spellStart"/>
      <w:r w:rsidRPr="000300C6">
        <w:rPr>
          <w:sz w:val="20"/>
          <w:szCs w:val="20"/>
          <w:lang w:val="en-GB"/>
        </w:rPr>
        <w:t>eGels</w:t>
      </w:r>
      <w:proofErr w:type="spellEnd"/>
      <w:r w:rsidRPr="000300C6">
        <w:rPr>
          <w:sz w:val="20"/>
          <w:szCs w:val="20"/>
          <w:lang w:val="en-GB"/>
        </w:rPr>
        <w:t xml:space="preserve"> (Life Technologies, Grand Island, New York).  Products were then pooled equimolar and each pool was size selected in two rounds using </w:t>
      </w:r>
      <w:proofErr w:type="spellStart"/>
      <w:r w:rsidRPr="000300C6">
        <w:rPr>
          <w:sz w:val="20"/>
          <w:szCs w:val="20"/>
          <w:lang w:val="en-GB"/>
        </w:rPr>
        <w:t>Agencourt</w:t>
      </w:r>
      <w:proofErr w:type="spellEnd"/>
      <w:r w:rsidRPr="000300C6">
        <w:rPr>
          <w:sz w:val="20"/>
          <w:szCs w:val="20"/>
          <w:lang w:val="en-GB"/>
        </w:rPr>
        <w:t xml:space="preserve"> </w:t>
      </w:r>
      <w:proofErr w:type="spellStart"/>
      <w:r w:rsidRPr="000300C6">
        <w:rPr>
          <w:sz w:val="20"/>
          <w:szCs w:val="20"/>
          <w:lang w:val="en-GB"/>
        </w:rPr>
        <w:t>AMPure</w:t>
      </w:r>
      <w:proofErr w:type="spellEnd"/>
      <w:r w:rsidRPr="000300C6">
        <w:rPr>
          <w:sz w:val="20"/>
          <w:szCs w:val="20"/>
          <w:lang w:val="en-GB"/>
        </w:rPr>
        <w:t xml:space="preserve"> XP (</w:t>
      </w:r>
      <w:proofErr w:type="spellStart"/>
      <w:r w:rsidRPr="000300C6">
        <w:rPr>
          <w:sz w:val="20"/>
          <w:szCs w:val="20"/>
          <w:lang w:val="en-GB"/>
        </w:rPr>
        <w:t>BeckmanCoulter</w:t>
      </w:r>
      <w:proofErr w:type="spellEnd"/>
      <w:r w:rsidRPr="000300C6">
        <w:rPr>
          <w:sz w:val="20"/>
          <w:szCs w:val="20"/>
          <w:lang w:val="en-GB"/>
        </w:rPr>
        <w:t xml:space="preserve">, Indianapolis, Indiana) in a 0.75 ratio for both rounds.  Size selected pools were then quantified using the </w:t>
      </w:r>
      <w:proofErr w:type="spellStart"/>
      <w:r w:rsidRPr="000300C6">
        <w:rPr>
          <w:sz w:val="20"/>
          <w:szCs w:val="20"/>
          <w:lang w:val="en-GB"/>
        </w:rPr>
        <w:t>Quibit</w:t>
      </w:r>
      <w:proofErr w:type="spellEnd"/>
      <w:r w:rsidRPr="000300C6">
        <w:rPr>
          <w:sz w:val="20"/>
          <w:szCs w:val="20"/>
          <w:lang w:val="en-GB"/>
        </w:rPr>
        <w:t xml:space="preserve"> 2.0 fluorometer (Life Technologies) and loaded on an Illumina </w:t>
      </w:r>
      <w:proofErr w:type="spellStart"/>
      <w:r w:rsidRPr="000300C6">
        <w:rPr>
          <w:sz w:val="20"/>
          <w:szCs w:val="20"/>
          <w:lang w:val="en-GB"/>
        </w:rPr>
        <w:t>MiSeq</w:t>
      </w:r>
      <w:proofErr w:type="spellEnd"/>
      <w:r w:rsidRPr="000300C6">
        <w:rPr>
          <w:sz w:val="20"/>
          <w:szCs w:val="20"/>
          <w:lang w:val="en-GB"/>
        </w:rPr>
        <w:t xml:space="preserve"> (Illumina, Inc. San Diego, California) 2x300 flow cell at 10pM.</w:t>
      </w:r>
    </w:p>
    <w:p w14:paraId="1D1BB24D" w14:textId="77777777" w:rsidR="008E4DFD" w:rsidRPr="000300C6" w:rsidRDefault="008E4DFD" w:rsidP="00952564">
      <w:pPr>
        <w:spacing w:line="480" w:lineRule="auto"/>
        <w:jc w:val="both"/>
        <w:rPr>
          <w:sz w:val="20"/>
          <w:szCs w:val="20"/>
          <w:lang w:val="en-GB"/>
        </w:rPr>
      </w:pPr>
      <w:r w:rsidRPr="000300C6">
        <w:rPr>
          <w:sz w:val="20"/>
          <w:szCs w:val="20"/>
          <w:lang w:val="en-GB"/>
        </w:rPr>
        <w:t>Filtered sequences were classified using the RDP classifier and relative proportions of phyla and families determined. Community analysis of the data was undertaken using MOTHUR.</w:t>
      </w:r>
    </w:p>
    <w:p w14:paraId="28A9E6DD" w14:textId="31B47DBD" w:rsidR="008E4DFD" w:rsidRPr="000300C6" w:rsidRDefault="00054B8E" w:rsidP="00952564">
      <w:pPr>
        <w:spacing w:line="480" w:lineRule="auto"/>
        <w:ind w:firstLine="720"/>
        <w:jc w:val="both"/>
        <w:rPr>
          <w:b/>
          <w:sz w:val="20"/>
          <w:szCs w:val="20"/>
          <w:lang w:val="en-GB"/>
        </w:rPr>
      </w:pPr>
      <w:r>
        <w:rPr>
          <w:b/>
          <w:sz w:val="20"/>
          <w:szCs w:val="20"/>
          <w:lang w:val="en-GB"/>
        </w:rPr>
        <w:t>1.e</w:t>
      </w:r>
      <w:r w:rsidR="008E4DFD" w:rsidRPr="000300C6">
        <w:rPr>
          <w:b/>
          <w:sz w:val="20"/>
          <w:szCs w:val="20"/>
          <w:lang w:val="en-GB"/>
        </w:rPr>
        <w:t>.4 – Mucosal sample processing for cytokine detection</w:t>
      </w:r>
    </w:p>
    <w:p w14:paraId="190A6E4D" w14:textId="202EFAC1" w:rsidR="008E4DFD" w:rsidRPr="000300C6" w:rsidRDefault="008E4DFD" w:rsidP="00952564">
      <w:pPr>
        <w:spacing w:line="480" w:lineRule="auto"/>
        <w:jc w:val="both"/>
        <w:rPr>
          <w:sz w:val="20"/>
          <w:szCs w:val="20"/>
          <w:lang w:val="en-GB"/>
        </w:rPr>
      </w:pPr>
      <w:r w:rsidRPr="000300C6">
        <w:rPr>
          <w:sz w:val="20"/>
          <w:szCs w:val="20"/>
          <w:lang w:val="en-GB"/>
        </w:rPr>
        <w:t>A lysis buffer was produced, consisting of 20μL/mL of phosphatase inhibitor cocktail 2 and 20μL/mL of phosphatase inhibitor cocktail 3 (both purchased from Sigma-Aldrich) and 10μL/mL of protease inhibitor cocktail (Sigma-Aldrich). The lysis buffer and the unthawed samples were kept on ice. 250μL of buffer and the mucosa sample were loaded in 2mL tubes with screw caps and metal beads. These were loaded into a Precellys24® homogenizer and bead beating occurred in 2 cycles of 20s at 6000 rpm. This step was repeated if the sample was observed to not be fully lysed. Samples were put on ice and tubes were spun at 4°C at 18,894g for 10mins. The supernatant was transferred to a microcentrifuge tube and protein yield was quantified using a Direct Detect® infrared spectrometer. Samples were frozen overnight and after thawing, cytokine detection was carried out with the MSD® V-PLEX Human Cytokine 30-Plex Kit according to manufacturer instructions.</w:t>
      </w:r>
      <w:r w:rsidR="00F20F81" w:rsidRPr="000300C6">
        <w:rPr>
          <w:sz w:val="20"/>
          <w:szCs w:val="20"/>
          <w:lang w:val="en-GB"/>
        </w:rPr>
        <w:t xml:space="preserve"> Sensitivity (lower limit of detection) data is detailed in the product inserts of the kit, available at www.mesoscale.com.</w:t>
      </w:r>
    </w:p>
    <w:p w14:paraId="4036346C" w14:textId="1B8B8FFE" w:rsidR="008E4DFD" w:rsidRPr="000300C6" w:rsidRDefault="00054B8E" w:rsidP="00952564">
      <w:pPr>
        <w:spacing w:line="480" w:lineRule="auto"/>
        <w:ind w:firstLine="720"/>
        <w:jc w:val="both"/>
        <w:rPr>
          <w:b/>
          <w:sz w:val="20"/>
          <w:szCs w:val="20"/>
          <w:lang w:val="en-GB"/>
        </w:rPr>
      </w:pPr>
      <w:r>
        <w:rPr>
          <w:b/>
          <w:sz w:val="20"/>
          <w:szCs w:val="20"/>
          <w:lang w:val="en-GB"/>
        </w:rPr>
        <w:t>1.e</w:t>
      </w:r>
      <w:r w:rsidR="008E4DFD" w:rsidRPr="000300C6">
        <w:rPr>
          <w:b/>
          <w:sz w:val="20"/>
          <w:szCs w:val="20"/>
          <w:lang w:val="en-GB"/>
        </w:rPr>
        <w:t>.5 – Bioinformatic processing of 16S-rRNA gene data</w:t>
      </w:r>
    </w:p>
    <w:p w14:paraId="7A85F2C4" w14:textId="7C84A790" w:rsidR="008E4DFD" w:rsidRPr="000300C6" w:rsidRDefault="008E4DFD" w:rsidP="00952564">
      <w:pPr>
        <w:spacing w:line="480" w:lineRule="auto"/>
        <w:jc w:val="both"/>
        <w:rPr>
          <w:sz w:val="20"/>
          <w:szCs w:val="20"/>
        </w:rPr>
      </w:pPr>
      <w:r w:rsidRPr="000300C6">
        <w:rPr>
          <w:sz w:val="20"/>
          <w:szCs w:val="20"/>
        </w:rPr>
        <w:t>Sequences generated from Illumina (MiSeq) sequencing were analysed with MOTHUR for identification of operational taxonomic units (OTU), taxonomic assignment, community comparison, and data cleaning by adapting its standard operational procedure.</w:t>
      </w:r>
      <w:r w:rsidRPr="000300C6">
        <w:rPr>
          <w:sz w:val="20"/>
          <w:szCs w:val="20"/>
        </w:rPr>
        <w:fldChar w:fldCharType="begin" w:fldLock="1"/>
      </w:r>
      <w:r w:rsidR="003B5BC9" w:rsidRPr="000300C6">
        <w:rPr>
          <w:sz w:val="20"/>
          <w:szCs w:val="20"/>
        </w:rPr>
        <w:instrText>ADDIN CSL_CITATION {"citationItems":[{"id":"ITEM-1","itemData":{"DOI":"10.1128/AEM.01541-09","ISBN":"1098-5336 (Electronic)\\n0099-2240 (Linking)","ISSN":"00992240","PMID":"19801464","abstract":"mothur aims to be a comprehensive software package that allows users to use a single piece of software to analyze community sequence data. It builds upon previous tools to provide a flexible and powerful software package for analyzing sequencing data. As a case study, we used mothur to trim, screen, and align sequences; calculate distances; assign sequences to operational taxonomic units; and describe the alpha and beta diversity of eight marine samples previously characterized by pyrosequencing of 16S rRNA gene fragments. This analysis of more than 222,000 sequences was completed in less than 2 h with a laptop computer.","author":[{"dropping-particle":"","family":"Schloss","given":"Patrick D.","non-dropping-particle":"","parse-names":false,"suffix":""},{"dropping-particle":"","family":"Westcott","given":"Sarah L.","non-dropping-particle":"","parse-names":false,"suffix":""},{"dropping-particle":"","family":"Ryabin","given":"Thomas","non-dropping-particle":"","parse-names":false,"suffix":""},{"dropping-particle":"","family":"Hall","given":"Justine R.","non-dropping-particle":"","parse-names":false,"suffix":""},{"dropping-particle":"","family":"Hartmann","given":"Martin","non-dropping-particle":"","parse-names":false,"suffix":""},{"dropping-particle":"","family":"Hollister","given":"Emily B.","non-dropping-particle":"","parse-names":false,"suffix":""},{"dropping-particle":"","family":"Lesniewski","given":"Ryan A.","non-dropping-particle":"","parse-names":false,"suffix":""},{"dropping-particle":"","family":"Oakley","given":"Brian B.","non-dropping-particle":"","parse-names":false,"suffix":""},{"dropping-particle":"","family":"Parks","given":"Donovan H.","non-dropping-particle":"","parse-names":false,"suffix":""},{"dropping-particle":"","family":"Robinson","given":"Courtney J.","non-dropping-particle":"","parse-names":false,"suffix":""},{"dropping-particle":"","family":"Sahl","given":"Jason W.","non-dropping-particle":"","parse-names":false,"suffix":""},{"dropping-particle":"","family":"Stres","given":"Blaz","non-dropping-particle":"","parse-names":false,"suffix":""},{"dropping-particle":"","family":"Thallinger","given":"Gerhard G.","non-dropping-particle":"","parse-names":false,"suffix":""},{"dropping-particle":"","family":"Horn","given":"David J.","non-dropping-particle":"Van","parse-names":false,"suffix":""},{"dropping-particle":"","family":"Weber","given":"Carolyn F.","non-dropping-particle":"","parse-names":false,"suffix":""}],"container-title":"Applied and Environmental Microbiology","id":"ITEM-1","issue":"23","issued":{"date-parts":[["2009"]]},"page":"7537-7541","title":"Introducing mothur: Open-source, platform-independent, community-supported software for describing and comparing microbial communities","type":"article-journal","volume":"75"},"uris":["http://www.mendeley.com/documents/?uuid=43e25be0-7733-4961-854f-2dbf6329e851"]}],"mendeley":{"formattedCitation":"&lt;sup&gt;3&lt;/sup&gt;","plainTextFormattedCitation":"3","previouslyFormattedCitation":"&lt;sup&gt;3&lt;/sup&gt;"},"properties":{"noteIndex":0},"schema":"https://github.com/citation-style-language/schema/raw/master/csl-citation.json"}</w:instrText>
      </w:r>
      <w:r w:rsidRPr="000300C6">
        <w:rPr>
          <w:sz w:val="20"/>
          <w:szCs w:val="20"/>
        </w:rPr>
        <w:fldChar w:fldCharType="separate"/>
      </w:r>
      <w:r w:rsidR="00385AA9" w:rsidRPr="000300C6">
        <w:rPr>
          <w:noProof/>
          <w:sz w:val="20"/>
          <w:szCs w:val="20"/>
          <w:vertAlign w:val="superscript"/>
        </w:rPr>
        <w:t>3</w:t>
      </w:r>
      <w:r w:rsidRPr="000300C6">
        <w:rPr>
          <w:sz w:val="20"/>
          <w:szCs w:val="20"/>
        </w:rPr>
        <w:fldChar w:fldCharType="end"/>
      </w:r>
      <w:r w:rsidRPr="000300C6">
        <w:rPr>
          <w:sz w:val="20"/>
          <w:szCs w:val="20"/>
        </w:rPr>
        <w:t xml:space="preserve"> Experimental sequences were firstly processed using the make.contigs and screen.seqs scripts with minimum length set at the 2.5% tile of the data (345bp), maximum </w:t>
      </w:r>
      <w:r w:rsidRPr="000300C6">
        <w:rPr>
          <w:sz w:val="20"/>
          <w:szCs w:val="20"/>
        </w:rPr>
        <w:lastRenderedPageBreak/>
        <w:t>length at the 97.5% tile (365bp), and maximum ambiguity at 0. This filtered data to minimize effects of poor sequence quality and sequencing errors by removing sequences with more than one ambiguous base call, and retaining only sequences that were between 345 and 365bp. Only sequences with the forward primer motif were included to ensure that the V1-V2 region was available for taxonomic assignment. Unique sequences were obtained with the unique.seqs script and aligned to Silva reference files.</w:t>
      </w:r>
      <w:r w:rsidRPr="000300C6">
        <w:rPr>
          <w:sz w:val="20"/>
          <w:szCs w:val="20"/>
        </w:rPr>
        <w:fldChar w:fldCharType="begin" w:fldLock="1"/>
      </w:r>
      <w:r w:rsidR="003B5BC9" w:rsidRPr="000300C6">
        <w:rPr>
          <w:sz w:val="20"/>
          <w:szCs w:val="20"/>
        </w:rPr>
        <w:instrText>ADDIN CSL_CITATION {"citationItems":[{"id":"ITEM-1","itemData":{"DOI":"10.1093/nar/gkm864","ISBN":"9780470644799","ISSN":"03051048","PMID":"17947321","abstract":"Sequencing ribosomal RNA (rRNA) genes is currently the method of choice for phylogenetic reconstruction, nucleic acid based detection and quantification of microbial diversity. The ARB software suite with its corresponding rRNA datasets has been accepted by researchers worldwide as a standard tool for large scale rRNA analysis. However, the rapid increase of publicly available rRNA sequence data has recently hampered the maintenance of comprehensive and curated rRNA knowledge databases. A new system, SILVA (from Latin silva, forest), was implemented to provide a central comprehensive web resource for up to date, quality controlled databases of aligned rRNA sequences from the Bacteria, Archaea and Eukarya domains. All sequences are checked for anomalies, carry a rich set of sequence associated contextual information, have multiple taxonomic classifications, and the latest validly described nomenclature. Furthermore, two precompiled sequence datasets compatible with ARB are offered for download on the SILVA website: (i) the reference (Ref) datasets, comprising only high quality, nearly full length sequences suitable for in-depth phylogenetic analysis and probe design and (ii) the comprehensive Parc datasets with all publicly available rRNA sequences longer than 300 nucleotides suitable for biodiversity analyses. The latest publicly available database release 91 (August 2007) hosts 547 521 sequences split into 461 823 small subunit and 85 689 large subunit rRNAs.","author":[{"dropping-particle":"","family":"Pruesse","given":"Elmar","non-dropping-particle":"","parse-names":false,"suffix":""},{"dropping-particle":"","family":"Quast","given":"Christian","non-dropping-particle":"","parse-names":false,"suffix":""},{"dropping-particle":"","family":"Knittel","given":"Katrin","non-dropping-particle":"","parse-names":false,"suffix":""},{"dropping-particle":"","family":"Fuchs","given":"Bernhard M.","non-dropping-particle":"","parse-names":false,"suffix":""},{"dropping-particle":"","family":"Ludwig","given":"Wolfgang","non-dropping-particle":"","parse-names":false,"suffix":""},{"dropping-particle":"","family":"Peplies","given":"Jörg","non-dropping-particle":"","parse-names":false,"suffix":""},{"dropping-particle":"","family":"Glöckner","given":"Frank Oliver","non-dropping-particle":"","parse-names":false,"suffix":""}],"container-title":"Nucleic Acids Research","id":"ITEM-1","issue":"21","issued":{"date-parts":[["2007"]]},"page":"7188-7196","title":"SILVA: A comprehensive online resource for quality checked and aligned ribosomal RNA sequence data compatible with ARB","type":"article-journal","volume":"35"},"uris":["http://www.mendeley.com/documents/?uuid=008ae455-3553-409e-b520-eeb234fc82af"]}],"mendeley":{"formattedCitation":"&lt;sup&gt;4&lt;/sup&gt;","plainTextFormattedCitation":"4","previouslyFormattedCitation":"&lt;sup&gt;4&lt;/sup&gt;"},"properties":{"noteIndex":0},"schema":"https://github.com/citation-style-language/schema/raw/master/csl-citation.json"}</w:instrText>
      </w:r>
      <w:r w:rsidRPr="000300C6">
        <w:rPr>
          <w:sz w:val="20"/>
          <w:szCs w:val="20"/>
        </w:rPr>
        <w:fldChar w:fldCharType="separate"/>
      </w:r>
      <w:r w:rsidR="00385AA9" w:rsidRPr="000300C6">
        <w:rPr>
          <w:noProof/>
          <w:sz w:val="20"/>
          <w:szCs w:val="20"/>
          <w:vertAlign w:val="superscript"/>
        </w:rPr>
        <w:t>4</w:t>
      </w:r>
      <w:r w:rsidRPr="000300C6">
        <w:rPr>
          <w:sz w:val="20"/>
          <w:szCs w:val="20"/>
        </w:rPr>
        <w:fldChar w:fldCharType="end"/>
      </w:r>
      <w:r w:rsidRPr="000300C6">
        <w:rPr>
          <w:sz w:val="20"/>
          <w:szCs w:val="20"/>
        </w:rPr>
        <w:t xml:space="preserve"> The screen.seqs script was again used to remove poorly aligned sequences starting at or before the 25% tile (position 1044) and ending at or after the 75% tile (position 23444). Any non-bacterial taxon was removed with the remove.lineage command.</w:t>
      </w:r>
    </w:p>
    <w:p w14:paraId="7122785C" w14:textId="77777777" w:rsidR="008673EA" w:rsidRPr="000300C6" w:rsidRDefault="008673EA">
      <w:pPr>
        <w:spacing w:after="160" w:line="259" w:lineRule="auto"/>
        <w:rPr>
          <w:b/>
          <w:sz w:val="28"/>
          <w:szCs w:val="28"/>
          <w:lang w:val="en-US"/>
        </w:rPr>
      </w:pPr>
      <w:r w:rsidRPr="000300C6">
        <w:rPr>
          <w:b/>
          <w:sz w:val="28"/>
          <w:szCs w:val="28"/>
          <w:lang w:val="en-US"/>
        </w:rPr>
        <w:br w:type="page"/>
      </w:r>
    </w:p>
    <w:p w14:paraId="3708821F" w14:textId="49EFB24B" w:rsidR="00E949DA" w:rsidRPr="000300C6" w:rsidRDefault="00DB3C90" w:rsidP="00E949DA">
      <w:pPr>
        <w:spacing w:line="360" w:lineRule="auto"/>
        <w:jc w:val="both"/>
        <w:rPr>
          <w:b/>
          <w:sz w:val="28"/>
          <w:szCs w:val="28"/>
          <w:lang w:val="en-US"/>
        </w:rPr>
      </w:pPr>
      <w:r>
        <w:rPr>
          <w:b/>
          <w:sz w:val="28"/>
          <w:szCs w:val="28"/>
          <w:lang w:val="en-US"/>
        </w:rPr>
        <w:lastRenderedPageBreak/>
        <w:t>S.</w:t>
      </w:r>
      <w:r w:rsidR="00E949DA" w:rsidRPr="000300C6">
        <w:rPr>
          <w:b/>
          <w:sz w:val="28"/>
          <w:szCs w:val="28"/>
          <w:lang w:val="en-US"/>
        </w:rPr>
        <w:t>2 – Supplementary text</w:t>
      </w:r>
    </w:p>
    <w:p w14:paraId="5C74B3DB" w14:textId="18650B92" w:rsidR="00E949DA" w:rsidRPr="000300C6" w:rsidRDefault="00BB1426" w:rsidP="00E949DA">
      <w:pPr>
        <w:spacing w:line="360" w:lineRule="auto"/>
        <w:ind w:firstLine="720"/>
        <w:jc w:val="both"/>
        <w:rPr>
          <w:rFonts w:eastAsia="Times New Roman"/>
          <w:b/>
          <w:sz w:val="24"/>
          <w:szCs w:val="24"/>
          <w:lang w:eastAsia="en-GB"/>
        </w:rPr>
      </w:pPr>
      <w:r w:rsidRPr="000300C6">
        <w:rPr>
          <w:rFonts w:eastAsia="Times New Roman"/>
          <w:b/>
          <w:sz w:val="24"/>
          <w:szCs w:val="24"/>
          <w:lang w:eastAsia="en-GB"/>
        </w:rPr>
        <w:t>2</w:t>
      </w:r>
      <w:r w:rsidR="00E949DA" w:rsidRPr="000300C6">
        <w:rPr>
          <w:rFonts w:eastAsia="Times New Roman"/>
          <w:b/>
          <w:sz w:val="24"/>
          <w:szCs w:val="24"/>
          <w:lang w:eastAsia="en-GB"/>
        </w:rPr>
        <w:t xml:space="preserve">.a – </w:t>
      </w:r>
      <w:r w:rsidRPr="000300C6">
        <w:rPr>
          <w:rFonts w:eastAsia="Times New Roman"/>
          <w:b/>
          <w:sz w:val="24"/>
          <w:szCs w:val="24"/>
          <w:lang w:eastAsia="en-GB"/>
        </w:rPr>
        <w:t>Symptoms and diet in the early cohort</w:t>
      </w:r>
    </w:p>
    <w:p w14:paraId="43109DA0" w14:textId="16D1061F" w:rsidR="00BB1426" w:rsidRPr="000300C6" w:rsidRDefault="00BB1426" w:rsidP="00BB1426">
      <w:pPr>
        <w:spacing w:line="480" w:lineRule="auto"/>
        <w:ind w:firstLine="720"/>
        <w:jc w:val="both"/>
        <w:rPr>
          <w:sz w:val="20"/>
          <w:szCs w:val="20"/>
          <w:u w:val="single"/>
        </w:rPr>
      </w:pPr>
      <w:r w:rsidRPr="000300C6">
        <w:rPr>
          <w:sz w:val="20"/>
          <w:szCs w:val="20"/>
          <w:u w:val="single"/>
        </w:rPr>
        <w:t>2.a.1 – Clinician-reported outcomes</w:t>
      </w:r>
    </w:p>
    <w:p w14:paraId="6F7BD565" w14:textId="0C324823" w:rsidR="00BB1426" w:rsidRPr="000300C6" w:rsidRDefault="00BB1426" w:rsidP="00BB1426">
      <w:pPr>
        <w:spacing w:line="480" w:lineRule="auto"/>
        <w:jc w:val="both"/>
        <w:rPr>
          <w:sz w:val="20"/>
          <w:szCs w:val="20"/>
        </w:rPr>
      </w:pPr>
      <w:r w:rsidRPr="000300C6">
        <w:rPr>
          <w:sz w:val="20"/>
          <w:szCs w:val="20"/>
        </w:rPr>
        <w:t xml:space="preserve">Overall, clinician-reported gastrointestinal toxicity followed similar patterns to the study reported in chapter 2 (supplementary figure 2.a-1). At baseline, 15.6% and 18.7% of patients with </w:t>
      </w:r>
      <w:r w:rsidR="00814988" w:rsidRPr="000300C6">
        <w:rPr>
          <w:sz w:val="20"/>
          <w:szCs w:val="20"/>
        </w:rPr>
        <w:t>CRO</w:t>
      </w:r>
      <w:r w:rsidRPr="000300C6">
        <w:rPr>
          <w:sz w:val="20"/>
          <w:szCs w:val="20"/>
        </w:rPr>
        <w:t xml:space="preserve">-late and composite score symptoms of grade 1 or over (G1+) respectively, with diarrhoea and tenesmus mainly reported. It is acknowledged that this scale was designed to assess late symptoms after radiotherapy, however, the decision of measuring these prior to radiotherapy allows for assessment of “toxicity-analogous” symptom rates before the start of radiotherapy. </w:t>
      </w:r>
    </w:p>
    <w:p w14:paraId="7CB66E76" w14:textId="0DA79E5B" w:rsidR="00BB1426" w:rsidRPr="000300C6" w:rsidRDefault="00BB1426" w:rsidP="00BB1426">
      <w:pPr>
        <w:spacing w:line="480" w:lineRule="auto"/>
        <w:jc w:val="both"/>
        <w:rPr>
          <w:sz w:val="20"/>
          <w:szCs w:val="20"/>
        </w:rPr>
      </w:pPr>
      <w:r w:rsidRPr="000300C6">
        <w:rPr>
          <w:sz w:val="20"/>
          <w:szCs w:val="20"/>
        </w:rPr>
        <w:t xml:space="preserve">Acute gastrointestinal symptoms peaked at 4/5 weeks and abated at 12 weeks, with G1+/G2+ rates of toxicity of 84.4%/34.4% and 71.88/12.5% at these timepoints respectively. Late gastrointestinal symptoms decreased with time, with G1+/G2+ rates of 53.1%/6.3% and 34.4%/3.1% maximum </w:t>
      </w:r>
      <w:r w:rsidR="00814988" w:rsidRPr="000300C6">
        <w:rPr>
          <w:sz w:val="20"/>
          <w:szCs w:val="20"/>
        </w:rPr>
        <w:t>CRO</w:t>
      </w:r>
      <w:r w:rsidRPr="000300C6">
        <w:rPr>
          <w:sz w:val="20"/>
          <w:szCs w:val="20"/>
        </w:rPr>
        <w:t>, and 59.4%/9.4% and 37.5%/3.1% maximum composite toxicity at the 6 and 12 month timepoints respectively. Diarrhoea, proctitis and tenesmus were the main reported problems in the late enteropathy setting. Only one instance of grade 3 toxicity was observed, with one patient experiencing bleeding at 4/5 weeks which required pads and was managed by urgent endoscopic treatment.</w:t>
      </w:r>
    </w:p>
    <w:p w14:paraId="7DB89EEC" w14:textId="42A4BAD6" w:rsidR="00BB1426" w:rsidRPr="000300C6" w:rsidRDefault="00BB1426" w:rsidP="00BB1426">
      <w:pPr>
        <w:spacing w:line="480" w:lineRule="auto"/>
        <w:ind w:firstLine="720"/>
        <w:jc w:val="both"/>
        <w:rPr>
          <w:sz w:val="20"/>
          <w:szCs w:val="20"/>
          <w:u w:val="single"/>
        </w:rPr>
      </w:pPr>
      <w:r w:rsidRPr="000300C6">
        <w:rPr>
          <w:sz w:val="20"/>
          <w:szCs w:val="20"/>
          <w:u w:val="single"/>
        </w:rPr>
        <w:t>2.a.2 – Patient-reported outcomes</w:t>
      </w:r>
    </w:p>
    <w:p w14:paraId="2EB5BFE4" w14:textId="2A4DEC57" w:rsidR="00BB1426" w:rsidRPr="000300C6" w:rsidRDefault="00BB1426" w:rsidP="00BB1426">
      <w:pPr>
        <w:spacing w:after="0" w:line="480" w:lineRule="auto"/>
        <w:jc w:val="both"/>
        <w:rPr>
          <w:sz w:val="20"/>
          <w:szCs w:val="20"/>
        </w:rPr>
      </w:pPr>
      <w:r w:rsidRPr="000300C6">
        <w:rPr>
          <w:sz w:val="20"/>
          <w:szCs w:val="20"/>
        </w:rPr>
        <w:t xml:space="preserve">Patient-reported outcomes followed a similar pattern to </w:t>
      </w:r>
      <w:r w:rsidR="00814988" w:rsidRPr="000300C6">
        <w:rPr>
          <w:sz w:val="20"/>
          <w:szCs w:val="20"/>
        </w:rPr>
        <w:t>CRO</w:t>
      </w:r>
      <w:r w:rsidRPr="000300C6">
        <w:rPr>
          <w:sz w:val="20"/>
          <w:szCs w:val="20"/>
        </w:rPr>
        <w:t xml:space="preserve"> (supplementary figure 2.a.2). At baseline, PRO median (IQR) score was 68 (65-70), decreasing to 62 (57-66) and 58.5 (48.8-66) at 2/3 and 4/5 weeks respectively. PRO scores recovered in the immediate aftermath of treatment to near-baseline levels. It is noted that at 12 months there was a high rate of patients not returning their </w:t>
      </w:r>
      <w:r w:rsidR="00814988" w:rsidRPr="000300C6">
        <w:rPr>
          <w:sz w:val="20"/>
          <w:szCs w:val="20"/>
        </w:rPr>
        <w:t>PRO</w:t>
      </w:r>
      <w:r w:rsidRPr="000300C6">
        <w:rPr>
          <w:sz w:val="20"/>
          <w:szCs w:val="20"/>
        </w:rPr>
        <w:t xml:space="preserve"> questionnaires (supplementary table 2.a.2).</w:t>
      </w:r>
    </w:p>
    <w:p w14:paraId="0D8F66EC" w14:textId="7F6823FF" w:rsidR="00BB1426" w:rsidRPr="000300C6" w:rsidRDefault="00BB1426" w:rsidP="00BB1426">
      <w:pPr>
        <w:jc w:val="both"/>
      </w:pPr>
    </w:p>
    <w:p w14:paraId="1CF91334" w14:textId="5311AE47" w:rsidR="005E315A" w:rsidRPr="000300C6" w:rsidRDefault="005E315A" w:rsidP="005E315A">
      <w:pPr>
        <w:spacing w:line="480" w:lineRule="auto"/>
        <w:ind w:firstLine="720"/>
        <w:jc w:val="both"/>
        <w:rPr>
          <w:sz w:val="20"/>
          <w:szCs w:val="20"/>
          <w:u w:val="single"/>
        </w:rPr>
      </w:pPr>
      <w:r w:rsidRPr="000300C6">
        <w:rPr>
          <w:sz w:val="20"/>
          <w:szCs w:val="20"/>
          <w:u w:val="single"/>
        </w:rPr>
        <w:t>2.a.3 – Diet</w:t>
      </w:r>
    </w:p>
    <w:p w14:paraId="0A55549C" w14:textId="330165DE" w:rsidR="005E315A" w:rsidRPr="000300C6" w:rsidRDefault="005E315A" w:rsidP="005E315A">
      <w:pPr>
        <w:spacing w:after="160" w:line="480" w:lineRule="auto"/>
        <w:jc w:val="both"/>
        <w:rPr>
          <w:sz w:val="20"/>
          <w:szCs w:val="20"/>
        </w:rPr>
      </w:pPr>
      <w:r w:rsidRPr="000300C6">
        <w:rPr>
          <w:sz w:val="20"/>
          <w:szCs w:val="20"/>
        </w:rPr>
        <w:t xml:space="preserve">Comparison between dietary habits was made by grouping patients according to PRO and CRO-based stratification. There were no vegetarians in the cohort. When analysing dietary differences in groups defined </w:t>
      </w:r>
      <w:r w:rsidRPr="000300C6">
        <w:rPr>
          <w:sz w:val="20"/>
          <w:szCs w:val="20"/>
        </w:rPr>
        <w:lastRenderedPageBreak/>
        <w:t xml:space="preserve">with PRO (supplementary figure 2.a.3-1), significant differences between groups were detected for meat (p=0.05), fish (p=0.02), vegetables (p=0.05) and cereals (p=0.03), while a trend was detected for differences in alcohol consumption (p=0.1). On post-hoc analysis, </w:t>
      </w:r>
      <w:r w:rsidR="00E37850">
        <w:rPr>
          <w:sz w:val="20"/>
          <w:szCs w:val="20"/>
        </w:rPr>
        <w:t>we detected that, when compared to the group with no symptoms, the group with symptoms at both</w:t>
      </w:r>
      <w:r w:rsidR="005F20D0">
        <w:rPr>
          <w:sz w:val="20"/>
          <w:szCs w:val="20"/>
        </w:rPr>
        <w:t xml:space="preserve"> timepoints</w:t>
      </w:r>
      <w:r w:rsidR="00E37850">
        <w:rPr>
          <w:sz w:val="20"/>
          <w:szCs w:val="20"/>
        </w:rPr>
        <w:t xml:space="preserve"> had higher consumption of </w:t>
      </w:r>
      <w:r w:rsidRPr="000300C6">
        <w:rPr>
          <w:sz w:val="20"/>
          <w:szCs w:val="20"/>
        </w:rPr>
        <w:t>fish (</w:t>
      </w:r>
      <w:r w:rsidR="00D92FCA">
        <w:rPr>
          <w:sz w:val="20"/>
          <w:szCs w:val="20"/>
        </w:rPr>
        <w:t xml:space="preserve">mean (SD) </w:t>
      </w:r>
      <w:r w:rsidR="00E37850">
        <w:rPr>
          <w:sz w:val="20"/>
          <w:szCs w:val="20"/>
        </w:rPr>
        <w:t xml:space="preserve">portions per week: </w:t>
      </w:r>
      <w:r w:rsidR="005F20D0">
        <w:rPr>
          <w:sz w:val="20"/>
          <w:szCs w:val="20"/>
        </w:rPr>
        <w:t xml:space="preserve">3 </w:t>
      </w:r>
      <w:r w:rsidR="00D92FCA">
        <w:rPr>
          <w:sz w:val="20"/>
          <w:szCs w:val="20"/>
        </w:rPr>
        <w:t xml:space="preserve">(2) </w:t>
      </w:r>
      <w:r w:rsidR="005F20D0">
        <w:rPr>
          <w:sz w:val="20"/>
          <w:szCs w:val="20"/>
        </w:rPr>
        <w:t>vs 1</w:t>
      </w:r>
      <w:r w:rsidR="00D92FCA">
        <w:rPr>
          <w:sz w:val="20"/>
          <w:szCs w:val="20"/>
        </w:rPr>
        <w:t xml:space="preserve"> (1)</w:t>
      </w:r>
      <w:r w:rsidR="005F20D0">
        <w:rPr>
          <w:sz w:val="20"/>
          <w:szCs w:val="20"/>
        </w:rPr>
        <w:t xml:space="preserve">; </w:t>
      </w:r>
      <w:r w:rsidRPr="000300C6">
        <w:rPr>
          <w:sz w:val="20"/>
          <w:szCs w:val="20"/>
        </w:rPr>
        <w:t xml:space="preserve">p=0.02), and a small trend </w:t>
      </w:r>
      <w:r w:rsidR="005F20D0">
        <w:rPr>
          <w:sz w:val="20"/>
          <w:szCs w:val="20"/>
        </w:rPr>
        <w:t xml:space="preserve">was </w:t>
      </w:r>
      <w:r w:rsidRPr="000300C6">
        <w:rPr>
          <w:sz w:val="20"/>
          <w:szCs w:val="20"/>
        </w:rPr>
        <w:t>detected for differences in alcohol intake (</w:t>
      </w:r>
      <w:r w:rsidR="00405A6E">
        <w:rPr>
          <w:sz w:val="20"/>
          <w:szCs w:val="20"/>
        </w:rPr>
        <w:t xml:space="preserve">g/week: 228 (277) vs 0 (0); </w:t>
      </w:r>
      <w:r w:rsidRPr="000300C6">
        <w:rPr>
          <w:sz w:val="20"/>
          <w:szCs w:val="20"/>
        </w:rPr>
        <w:t>p=0.11)</w:t>
      </w:r>
      <w:r w:rsidR="00405A6E">
        <w:rPr>
          <w:sz w:val="20"/>
          <w:szCs w:val="20"/>
        </w:rPr>
        <w:t>, which is largely explained by a single episode of very high intake by one patient in the symptomatic group prior to treatment initiation, as illustrated by the ample standard deviation</w:t>
      </w:r>
      <w:r w:rsidRPr="000300C6">
        <w:rPr>
          <w:sz w:val="20"/>
          <w:szCs w:val="20"/>
        </w:rPr>
        <w:t xml:space="preserve">. </w:t>
      </w:r>
      <w:r w:rsidR="005F20D0">
        <w:rPr>
          <w:sz w:val="20"/>
          <w:szCs w:val="20"/>
        </w:rPr>
        <w:t>Also, when compared to the group with no symptoms, the group with</w:t>
      </w:r>
      <w:r w:rsidRPr="000300C6">
        <w:rPr>
          <w:sz w:val="20"/>
          <w:szCs w:val="20"/>
        </w:rPr>
        <w:t xml:space="preserve"> symptoms at one timepoint </w:t>
      </w:r>
      <w:r w:rsidR="005F20D0" w:rsidRPr="00D92FCA">
        <w:rPr>
          <w:sz w:val="20"/>
          <w:szCs w:val="20"/>
        </w:rPr>
        <w:t>had a higher consumption of</w:t>
      </w:r>
      <w:r w:rsidRPr="00D92FCA">
        <w:rPr>
          <w:sz w:val="20"/>
          <w:szCs w:val="20"/>
        </w:rPr>
        <w:t xml:space="preserve"> meat</w:t>
      </w:r>
      <w:r w:rsidRPr="000300C6">
        <w:rPr>
          <w:sz w:val="20"/>
          <w:szCs w:val="20"/>
        </w:rPr>
        <w:t xml:space="preserve"> (</w:t>
      </w:r>
      <w:r w:rsidR="00D92FCA">
        <w:rPr>
          <w:sz w:val="20"/>
          <w:szCs w:val="20"/>
        </w:rPr>
        <w:t>10 (2) vs 7 (3)</w:t>
      </w:r>
      <w:r w:rsidR="007E1E6A">
        <w:rPr>
          <w:sz w:val="20"/>
          <w:szCs w:val="20"/>
        </w:rPr>
        <w:t xml:space="preserve">; </w:t>
      </w:r>
      <w:r w:rsidRPr="000300C6">
        <w:rPr>
          <w:sz w:val="20"/>
          <w:szCs w:val="20"/>
        </w:rPr>
        <w:t>p=0.03), fish (</w:t>
      </w:r>
      <w:r w:rsidR="00D92FCA">
        <w:rPr>
          <w:sz w:val="20"/>
          <w:szCs w:val="20"/>
        </w:rPr>
        <w:t xml:space="preserve">4 (2) vs 1 (1); </w:t>
      </w:r>
      <w:r w:rsidRPr="000300C6">
        <w:rPr>
          <w:sz w:val="20"/>
          <w:szCs w:val="20"/>
        </w:rPr>
        <w:t>p=0.007) and vegetable</w:t>
      </w:r>
      <w:r w:rsidR="00D92FCA">
        <w:rPr>
          <w:sz w:val="20"/>
          <w:szCs w:val="20"/>
        </w:rPr>
        <w:t>s</w:t>
      </w:r>
      <w:r w:rsidRPr="000300C6">
        <w:rPr>
          <w:sz w:val="20"/>
          <w:szCs w:val="20"/>
        </w:rPr>
        <w:t xml:space="preserve"> (</w:t>
      </w:r>
      <w:r w:rsidR="00D92FCA">
        <w:rPr>
          <w:sz w:val="20"/>
          <w:szCs w:val="20"/>
        </w:rPr>
        <w:t xml:space="preserve">27 (8) vs 18 (6); </w:t>
      </w:r>
      <w:r w:rsidRPr="000300C6">
        <w:rPr>
          <w:sz w:val="20"/>
          <w:szCs w:val="20"/>
        </w:rPr>
        <w:t>p=0.04), with trends detected for cereal (</w:t>
      </w:r>
      <w:r w:rsidR="00D92FCA">
        <w:rPr>
          <w:sz w:val="20"/>
          <w:szCs w:val="20"/>
        </w:rPr>
        <w:t xml:space="preserve">19 (5) vs 25 (5); </w:t>
      </w:r>
      <w:r w:rsidRPr="000300C6">
        <w:rPr>
          <w:sz w:val="20"/>
          <w:szCs w:val="20"/>
        </w:rPr>
        <w:t>p=0.1) and alcohol (</w:t>
      </w:r>
      <w:r w:rsidR="00D92FCA">
        <w:rPr>
          <w:sz w:val="20"/>
          <w:szCs w:val="20"/>
        </w:rPr>
        <w:t xml:space="preserve">g/week: </w:t>
      </w:r>
      <w:r w:rsidR="005079D9">
        <w:rPr>
          <w:sz w:val="20"/>
          <w:szCs w:val="20"/>
        </w:rPr>
        <w:t xml:space="preserve">57 (66) vs 0 (0); </w:t>
      </w:r>
      <w:r w:rsidRPr="000300C6">
        <w:rPr>
          <w:sz w:val="20"/>
          <w:szCs w:val="20"/>
        </w:rPr>
        <w:t>p=0.09). Significant differences when comparing symptomatic groups were found for cereals only (</w:t>
      </w:r>
      <w:r w:rsidR="005079D9">
        <w:rPr>
          <w:sz w:val="20"/>
          <w:szCs w:val="20"/>
        </w:rPr>
        <w:t xml:space="preserve">29 (8) vs 19 (5); </w:t>
      </w:r>
      <w:r w:rsidRPr="000300C6">
        <w:rPr>
          <w:sz w:val="20"/>
          <w:szCs w:val="20"/>
        </w:rPr>
        <w:t>p=0.02).</w:t>
      </w:r>
    </w:p>
    <w:p w14:paraId="516C1E16" w14:textId="4E94C953" w:rsidR="00BB1426" w:rsidRPr="000300C6" w:rsidRDefault="005E315A" w:rsidP="005E315A">
      <w:pPr>
        <w:spacing w:after="160" w:line="480" w:lineRule="auto"/>
        <w:jc w:val="both"/>
      </w:pPr>
      <w:r w:rsidRPr="000300C6">
        <w:rPr>
          <w:sz w:val="20"/>
          <w:szCs w:val="20"/>
        </w:rPr>
        <w:t xml:space="preserve">When analysing groups defined by </w:t>
      </w:r>
      <w:r w:rsidR="00814988" w:rsidRPr="000300C6">
        <w:rPr>
          <w:sz w:val="20"/>
          <w:szCs w:val="20"/>
        </w:rPr>
        <w:t>CRO</w:t>
      </w:r>
      <w:r w:rsidRPr="000300C6">
        <w:rPr>
          <w:sz w:val="20"/>
          <w:szCs w:val="20"/>
        </w:rPr>
        <w:t>-based toxicity scores (supplementary figure 2.a.3-2), significant differences were found for meat consumption (p=0.006). On post-hoc analysis, significant differences in meat consumption were detected between the groups with no symptoms and symptoms at one timepoint (</w:t>
      </w:r>
      <w:r w:rsidR="00CB709B">
        <w:rPr>
          <w:sz w:val="20"/>
          <w:szCs w:val="20"/>
        </w:rPr>
        <w:t xml:space="preserve">9 (2) vs 5 (2); </w:t>
      </w:r>
      <w:r w:rsidRPr="000300C6">
        <w:rPr>
          <w:sz w:val="20"/>
          <w:szCs w:val="20"/>
        </w:rPr>
        <w:t>p=0.02) only.</w:t>
      </w:r>
    </w:p>
    <w:p w14:paraId="3BCB0E3B" w14:textId="694FC53C" w:rsidR="00BB1426" w:rsidRPr="000300C6" w:rsidRDefault="00BB1426" w:rsidP="00BB1426">
      <w:pPr>
        <w:spacing w:after="0"/>
        <w:jc w:val="center"/>
        <w:rPr>
          <w:i/>
          <w:sz w:val="18"/>
          <w:szCs w:val="18"/>
        </w:rPr>
      </w:pPr>
      <w:r w:rsidRPr="000300C6">
        <w:rPr>
          <w:noProof/>
        </w:rPr>
        <w:lastRenderedPageBreak/>
        <mc:AlternateContent>
          <mc:Choice Requires="wpg">
            <w:drawing>
              <wp:anchor distT="0" distB="0" distL="114300" distR="114300" simplePos="0" relativeHeight="251659264" behindDoc="0" locked="0" layoutInCell="1" allowOverlap="1" wp14:anchorId="16E2CA97" wp14:editId="1582BC07">
                <wp:simplePos x="0" y="0"/>
                <wp:positionH relativeFrom="column">
                  <wp:posOffset>-182880</wp:posOffset>
                </wp:positionH>
                <wp:positionV relativeFrom="paragraph">
                  <wp:posOffset>0</wp:posOffset>
                </wp:positionV>
                <wp:extent cx="6096000" cy="5364480"/>
                <wp:effectExtent l="0" t="0" r="0" b="7620"/>
                <wp:wrapTopAndBottom/>
                <wp:docPr id="37"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96000" cy="5364480"/>
                          <a:chOff x="0" y="0"/>
                          <a:chExt cx="6096000" cy="5283200"/>
                        </a:xfrm>
                      </wpg:grpSpPr>
                      <wpg:graphicFrame>
                        <wpg:cNvPr id="38" name="Chart 38">
                          <a:extLst/>
                        </wpg:cNvPr>
                        <wpg:cNvFrPr>
                          <a:graphicFrameLocks/>
                        </wpg:cNvFrPr>
                        <wpg:xfrm>
                          <a:off x="0" y="0"/>
                          <a:ext cx="3657600" cy="2641600"/>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39" name="Chart 39">
                          <a:extLst/>
                        </wpg:cNvPr>
                        <wpg:cNvFrPr>
                          <a:graphicFrameLocks/>
                        </wpg:cNvFrPr>
                        <wpg:xfrm>
                          <a:off x="3657600" y="0"/>
                          <a:ext cx="2438400" cy="2641600"/>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40" name="Chart 40">
                          <a:extLst/>
                        </wpg:cNvPr>
                        <wpg:cNvFrPr>
                          <a:graphicFrameLocks/>
                        </wpg:cNvFrPr>
                        <wpg:xfrm>
                          <a:off x="0" y="2641600"/>
                          <a:ext cx="6096000" cy="2641600"/>
                        </wpg:xfrm>
                        <a:graphic>
                          <a:graphicData uri="http://schemas.openxmlformats.org/drawingml/2006/chart">
                            <c:chart xmlns:c="http://schemas.openxmlformats.org/drawingml/2006/chart" xmlns:r="http://schemas.openxmlformats.org/officeDocument/2006/relationships" r:id="rId10"/>
                          </a:graphicData>
                        </a:graphic>
                      </wpg:graphicFrame>
                    </wpg:wgp>
                  </a:graphicData>
                </a:graphic>
                <wp14:sizeRelH relativeFrom="margin">
                  <wp14:pctWidth>0</wp14:pctWidth>
                </wp14:sizeRelH>
              </wp:anchor>
            </w:drawing>
          </mc:Choice>
          <mc:Fallback>
            <w:pict>
              <v:group w14:anchorId="0752E71D" id="Group 4" o:spid="_x0000_s1026" style="position:absolute;margin-left:-14.4pt;margin-top:0;width:480pt;height:422.4pt;z-index:251659264;mso-width-relative:margin" coordsize="60960,52832"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8" o:spid="_x0000_s1027" type="#_x0000_t75" style="position:absolute;left:-60;top:-60;width:36696;height:26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">
                  <v:imagedata r:id="rId11" o:title=""/>
                  <o:lock v:ext="edit" aspectratio="f"/>
                </v:shape>
                <v:shape id="Chart 39" o:spid="_x0000_s1028" type="#_x0000_t75" style="position:absolute;left:36515;top:-60;width:24505;height:26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">
                  <v:imagedata r:id="rId12" o:title=""/>
                  <o:lock v:ext="edit" aspectratio="f"/>
                </v:shape>
                <v:shape id="Chart 40" o:spid="_x0000_s1029" type="#_x0000_t75" style="position:absolute;left:-60;top:26355;width:61080;height:26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">
                  <v:imagedata r:id="rId13" o:title=""/>
                  <o:lock v:ext="edit" aspectratio="f"/>
                </v:shape>
                <w10:wrap type="topAndBottom"/>
              </v:group>
            </w:pict>
          </mc:Fallback>
        </mc:AlternateContent>
      </w:r>
      <w:r w:rsidR="005F40FD" w:rsidRPr="000300C6">
        <w:rPr>
          <w:b/>
          <w:sz w:val="18"/>
          <w:szCs w:val="18"/>
        </w:rPr>
        <w:t>Supplementary f</w:t>
      </w:r>
      <w:r w:rsidRPr="000300C6">
        <w:rPr>
          <w:b/>
          <w:sz w:val="18"/>
          <w:szCs w:val="18"/>
        </w:rPr>
        <w:t xml:space="preserve">igure </w:t>
      </w:r>
      <w:r w:rsidR="005F40FD" w:rsidRPr="000300C6">
        <w:rPr>
          <w:b/>
          <w:sz w:val="18"/>
          <w:szCs w:val="18"/>
        </w:rPr>
        <w:t>2.a.1</w:t>
      </w:r>
      <w:r w:rsidRPr="000300C6">
        <w:rPr>
          <w:b/>
          <w:sz w:val="18"/>
          <w:szCs w:val="18"/>
        </w:rPr>
        <w:t>:</w:t>
      </w:r>
      <w:r w:rsidRPr="000300C6">
        <w:rPr>
          <w:sz w:val="18"/>
          <w:szCs w:val="18"/>
        </w:rPr>
        <w:t xml:space="preserve"> Clinician-reported toxicity endpoints in cohort 2 of the MARS study</w:t>
      </w:r>
      <w:r w:rsidRPr="000300C6">
        <w:rPr>
          <w:i/>
          <w:sz w:val="18"/>
          <w:szCs w:val="18"/>
        </w:rPr>
        <w:t xml:space="preserve">. </w:t>
      </w:r>
    </w:p>
    <w:p w14:paraId="77EDB7E9" w14:textId="77777777" w:rsidR="00BB1426" w:rsidRPr="000300C6" w:rsidRDefault="00BB1426" w:rsidP="00BB1426">
      <w:pPr>
        <w:spacing w:after="0"/>
        <w:jc w:val="center"/>
        <w:rPr>
          <w:sz w:val="18"/>
          <w:szCs w:val="18"/>
        </w:rPr>
      </w:pPr>
      <w:r w:rsidRPr="000300C6">
        <w:rPr>
          <w:sz w:val="18"/>
          <w:szCs w:val="18"/>
        </w:rPr>
        <w:t>A: Symptoms at baseline. B: Acute symptoms. C: Late symptoms.</w:t>
      </w:r>
    </w:p>
    <w:p w14:paraId="75B5549C" w14:textId="77777777" w:rsidR="00BB1426" w:rsidRPr="000300C6" w:rsidRDefault="00BB1426" w:rsidP="00BB1426">
      <w:pPr>
        <w:spacing w:after="0"/>
        <w:jc w:val="center"/>
        <w:rPr>
          <w:i/>
          <w:sz w:val="18"/>
          <w:szCs w:val="18"/>
        </w:rPr>
      </w:pPr>
      <w:r w:rsidRPr="000300C6">
        <w:rPr>
          <w:i/>
          <w:sz w:val="18"/>
          <w:szCs w:val="18"/>
        </w:rPr>
        <w:t xml:space="preserve">LS=LENT-SOM. Obj.=objective. Mgt=management. Max=maximum. Composite max=maximum of composite score </w:t>
      </w:r>
    </w:p>
    <w:p w14:paraId="487BE553" w14:textId="79730B52" w:rsidR="00BB1426" w:rsidRPr="000300C6" w:rsidRDefault="00BB1426" w:rsidP="00BB1426">
      <w:pPr>
        <w:spacing w:after="0"/>
        <w:jc w:val="center"/>
        <w:rPr>
          <w:i/>
          <w:sz w:val="18"/>
          <w:szCs w:val="18"/>
        </w:rPr>
      </w:pPr>
      <w:r w:rsidRPr="000300C6">
        <w:rPr>
          <w:i/>
          <w:sz w:val="18"/>
          <w:szCs w:val="18"/>
        </w:rPr>
        <w:t xml:space="preserve">including all </w:t>
      </w:r>
      <w:r w:rsidR="00814988" w:rsidRPr="000300C6">
        <w:rPr>
          <w:i/>
          <w:sz w:val="18"/>
          <w:szCs w:val="18"/>
        </w:rPr>
        <w:t>CRO (RTOG and LENT-SOM)</w:t>
      </w:r>
      <w:r w:rsidRPr="000300C6">
        <w:rPr>
          <w:i/>
          <w:sz w:val="18"/>
          <w:szCs w:val="18"/>
        </w:rPr>
        <w:t xml:space="preserve"> endpoints. Baseline scores were measured with late toxicity scales (see text). </w:t>
      </w:r>
    </w:p>
    <w:p w14:paraId="54197658" w14:textId="77777777" w:rsidR="00BB1426" w:rsidRPr="000300C6" w:rsidRDefault="00BB1426" w:rsidP="00BB1426">
      <w:pPr>
        <w:spacing w:after="0"/>
        <w:jc w:val="center"/>
        <w:rPr>
          <w:sz w:val="18"/>
          <w:szCs w:val="18"/>
        </w:rPr>
      </w:pPr>
      <w:r w:rsidRPr="000300C6">
        <w:rPr>
          <w:i/>
          <w:sz w:val="18"/>
          <w:szCs w:val="18"/>
        </w:rPr>
        <w:t>The acute setting is contemplated only in the RTOG scale. Higher scores represent more symptoms.</w:t>
      </w:r>
    </w:p>
    <w:p w14:paraId="6FDDFBF6" w14:textId="77777777" w:rsidR="00BB1426" w:rsidRPr="000300C6" w:rsidRDefault="00BB1426" w:rsidP="00BB1426">
      <w:pPr>
        <w:ind w:left="-993"/>
        <w:jc w:val="center"/>
      </w:pPr>
    </w:p>
    <w:p w14:paraId="3217FF15" w14:textId="3D9E7EEF" w:rsidR="00BB1426" w:rsidRPr="000300C6" w:rsidRDefault="00BB1426" w:rsidP="00BB1426">
      <w:pPr>
        <w:spacing w:after="0"/>
        <w:jc w:val="center"/>
      </w:pPr>
    </w:p>
    <w:p w14:paraId="5DA1A610" w14:textId="77777777" w:rsidR="00BB1426" w:rsidRPr="000300C6" w:rsidRDefault="00BB1426" w:rsidP="00BB1426">
      <w:pPr>
        <w:spacing w:after="0"/>
        <w:jc w:val="center"/>
      </w:pPr>
      <w:r w:rsidRPr="000300C6">
        <w:rPr>
          <w:noProof/>
        </w:rPr>
        <w:lastRenderedPageBreak/>
        <w:drawing>
          <wp:inline distT="0" distB="0" distL="0" distR="0" wp14:anchorId="1EE402AC" wp14:editId="3657F3B3">
            <wp:extent cx="4114800" cy="3063240"/>
            <wp:effectExtent l="0" t="0" r="0" b="3810"/>
            <wp:docPr id="43" name="Chart 43">
              <a:extLst xmlns:a="http://schemas.openxmlformats.org/drawingml/2006/main">
                <a:ext uri="{FF2B5EF4-FFF2-40B4-BE49-F238E27FC236}">
                  <a16:creationId xmlns:a16="http://schemas.microsoft.com/office/drawing/2014/main" id="{3B064101-E600-4AAB-91AF-3574FCDAA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6CA10F" w14:textId="344F19AA" w:rsidR="00BB1426" w:rsidRPr="000300C6" w:rsidRDefault="00AB0B68" w:rsidP="00BB1426">
      <w:pPr>
        <w:jc w:val="center"/>
        <w:rPr>
          <w:i/>
          <w:sz w:val="18"/>
          <w:szCs w:val="18"/>
        </w:rPr>
      </w:pPr>
      <w:r w:rsidRPr="000300C6">
        <w:rPr>
          <w:b/>
          <w:sz w:val="18"/>
          <w:szCs w:val="18"/>
        </w:rPr>
        <w:t>Supplementary f</w:t>
      </w:r>
      <w:r w:rsidR="00BB1426" w:rsidRPr="000300C6">
        <w:rPr>
          <w:b/>
          <w:sz w:val="18"/>
          <w:szCs w:val="18"/>
        </w:rPr>
        <w:t xml:space="preserve">igure </w:t>
      </w:r>
      <w:r w:rsidRPr="000300C6">
        <w:rPr>
          <w:b/>
          <w:sz w:val="18"/>
          <w:szCs w:val="18"/>
        </w:rPr>
        <w:t>2.a.2</w:t>
      </w:r>
      <w:r w:rsidR="00BB1426" w:rsidRPr="000300C6">
        <w:rPr>
          <w:b/>
          <w:sz w:val="18"/>
          <w:szCs w:val="18"/>
        </w:rPr>
        <w:t>:</w:t>
      </w:r>
      <w:r w:rsidR="00BB1426" w:rsidRPr="000300C6">
        <w:rPr>
          <w:sz w:val="18"/>
          <w:szCs w:val="18"/>
        </w:rPr>
        <w:t xml:space="preserve"> Patient-reported toxicity endpoints in cohort 2 of the MARS study</w:t>
      </w:r>
      <w:r w:rsidR="00BB1426" w:rsidRPr="000300C6">
        <w:rPr>
          <w:i/>
          <w:sz w:val="18"/>
          <w:szCs w:val="18"/>
        </w:rPr>
        <w:t xml:space="preserve">. Mean </w:t>
      </w:r>
      <w:r w:rsidRPr="000300C6">
        <w:rPr>
          <w:i/>
          <w:sz w:val="18"/>
          <w:szCs w:val="18"/>
        </w:rPr>
        <w:t>PRO</w:t>
      </w:r>
      <w:r w:rsidR="00BB1426" w:rsidRPr="000300C6">
        <w:rPr>
          <w:i/>
          <w:sz w:val="18"/>
          <w:szCs w:val="18"/>
        </w:rPr>
        <w:t xml:space="preserve"> score</w:t>
      </w:r>
      <w:r w:rsidR="00661B9B" w:rsidRPr="000300C6">
        <w:rPr>
          <w:i/>
          <w:sz w:val="18"/>
          <w:szCs w:val="18"/>
        </w:rPr>
        <w:t xml:space="preserve"> and standard deviation (error bar)</w:t>
      </w:r>
      <w:r w:rsidR="00BB1426" w:rsidRPr="000300C6">
        <w:rPr>
          <w:i/>
          <w:sz w:val="18"/>
          <w:szCs w:val="18"/>
        </w:rPr>
        <w:t>. Higher scores reflect better function (less symptoms).</w:t>
      </w:r>
    </w:p>
    <w:p w14:paraId="6B6B8FD8" w14:textId="77777777" w:rsidR="00BB1426" w:rsidRPr="000300C6" w:rsidRDefault="00BB1426" w:rsidP="00BB1426">
      <w:pPr>
        <w:jc w:val="center"/>
      </w:pPr>
    </w:p>
    <w:p w14:paraId="187A31AE" w14:textId="22858CBB" w:rsidR="00BB1426" w:rsidRPr="000300C6" w:rsidRDefault="00AB0B68" w:rsidP="00BB1426">
      <w:pPr>
        <w:spacing w:after="120"/>
        <w:jc w:val="center"/>
        <w:rPr>
          <w:i/>
          <w:sz w:val="18"/>
          <w:szCs w:val="18"/>
        </w:rPr>
      </w:pPr>
      <w:r w:rsidRPr="000300C6">
        <w:rPr>
          <w:b/>
          <w:sz w:val="18"/>
          <w:szCs w:val="18"/>
        </w:rPr>
        <w:t>Supplementary t</w:t>
      </w:r>
      <w:r w:rsidR="00BB1426" w:rsidRPr="000300C6">
        <w:rPr>
          <w:b/>
          <w:sz w:val="18"/>
          <w:szCs w:val="18"/>
        </w:rPr>
        <w:t xml:space="preserve">able </w:t>
      </w:r>
      <w:r w:rsidRPr="000300C6">
        <w:rPr>
          <w:b/>
          <w:sz w:val="18"/>
          <w:szCs w:val="18"/>
        </w:rPr>
        <w:t>2.a.2</w:t>
      </w:r>
      <w:r w:rsidR="00BB1426" w:rsidRPr="000300C6">
        <w:rPr>
          <w:b/>
          <w:sz w:val="18"/>
          <w:szCs w:val="18"/>
        </w:rPr>
        <w:t>:</w:t>
      </w:r>
      <w:r w:rsidR="00BB1426" w:rsidRPr="000300C6">
        <w:rPr>
          <w:sz w:val="18"/>
          <w:szCs w:val="18"/>
        </w:rPr>
        <w:t xml:space="preserve"> Rates of patients not sending back self-reported toxicity questionnaires</w:t>
      </w:r>
      <w:r w:rsidR="00BB1426" w:rsidRPr="000300C6">
        <w:rPr>
          <w:i/>
          <w:sz w:val="18"/>
          <w:szCs w:val="18"/>
        </w:rPr>
        <w:t>.</w:t>
      </w:r>
    </w:p>
    <w:tbl>
      <w:tblPr>
        <w:tblStyle w:val="PlainTable3"/>
        <w:tblW w:w="0" w:type="auto"/>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3"/>
        <w:gridCol w:w="1163"/>
        <w:gridCol w:w="1288"/>
        <w:gridCol w:w="1288"/>
        <w:gridCol w:w="1288"/>
        <w:gridCol w:w="1288"/>
        <w:gridCol w:w="1288"/>
      </w:tblGrid>
      <w:tr w:rsidR="00BB1426" w:rsidRPr="000300C6" w14:paraId="0C005FD1" w14:textId="77777777" w:rsidTr="00712A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shd w:val="clear" w:color="auto" w:fill="F2F2F2" w:themeFill="background1" w:themeFillShade="F2"/>
            <w:vAlign w:val="center"/>
          </w:tcPr>
          <w:p w14:paraId="22D09C61" w14:textId="77777777" w:rsidR="00BB1426" w:rsidRPr="000300C6" w:rsidRDefault="00BB1426" w:rsidP="00712A17">
            <w:pPr>
              <w:spacing w:after="0"/>
              <w:jc w:val="center"/>
              <w:rPr>
                <w:sz w:val="16"/>
                <w:szCs w:val="16"/>
                <w:lang w:val="en-GB"/>
              </w:rPr>
            </w:pPr>
            <w:r w:rsidRPr="000300C6">
              <w:rPr>
                <w:sz w:val="16"/>
                <w:szCs w:val="16"/>
                <w:lang w:val="en-GB"/>
              </w:rPr>
              <w:t>Timepoint</w:t>
            </w:r>
          </w:p>
        </w:tc>
        <w:tc>
          <w:tcPr>
            <w:tcW w:w="1163" w:type="dxa"/>
            <w:tcBorders>
              <w:bottom w:val="none" w:sz="0" w:space="0" w:color="auto"/>
            </w:tcBorders>
            <w:shd w:val="clear" w:color="auto" w:fill="F2F2F2" w:themeFill="background1" w:themeFillShade="F2"/>
            <w:vAlign w:val="center"/>
          </w:tcPr>
          <w:p w14:paraId="380C099C"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Baseline</w:t>
            </w:r>
          </w:p>
        </w:tc>
        <w:tc>
          <w:tcPr>
            <w:tcW w:w="1288" w:type="dxa"/>
            <w:tcBorders>
              <w:bottom w:val="none" w:sz="0" w:space="0" w:color="auto"/>
            </w:tcBorders>
            <w:shd w:val="clear" w:color="auto" w:fill="F2F2F2" w:themeFill="background1" w:themeFillShade="F2"/>
            <w:vAlign w:val="center"/>
          </w:tcPr>
          <w:p w14:paraId="40D96D61"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2/3 weeks</w:t>
            </w:r>
          </w:p>
        </w:tc>
        <w:tc>
          <w:tcPr>
            <w:tcW w:w="1288" w:type="dxa"/>
            <w:tcBorders>
              <w:bottom w:val="none" w:sz="0" w:space="0" w:color="auto"/>
            </w:tcBorders>
            <w:shd w:val="clear" w:color="auto" w:fill="F2F2F2" w:themeFill="background1" w:themeFillShade="F2"/>
            <w:vAlign w:val="center"/>
          </w:tcPr>
          <w:p w14:paraId="7045F58E"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4/5 weeks</w:t>
            </w:r>
          </w:p>
        </w:tc>
        <w:tc>
          <w:tcPr>
            <w:tcW w:w="1288" w:type="dxa"/>
            <w:tcBorders>
              <w:bottom w:val="none" w:sz="0" w:space="0" w:color="auto"/>
            </w:tcBorders>
            <w:shd w:val="clear" w:color="auto" w:fill="F2F2F2" w:themeFill="background1" w:themeFillShade="F2"/>
            <w:vAlign w:val="center"/>
          </w:tcPr>
          <w:p w14:paraId="46EA4830"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12 weeks</w:t>
            </w:r>
          </w:p>
        </w:tc>
        <w:tc>
          <w:tcPr>
            <w:tcW w:w="1288" w:type="dxa"/>
            <w:tcBorders>
              <w:bottom w:val="none" w:sz="0" w:space="0" w:color="auto"/>
            </w:tcBorders>
            <w:shd w:val="clear" w:color="auto" w:fill="F2F2F2" w:themeFill="background1" w:themeFillShade="F2"/>
            <w:vAlign w:val="center"/>
          </w:tcPr>
          <w:p w14:paraId="24E0402B"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6 months</w:t>
            </w:r>
          </w:p>
        </w:tc>
        <w:tc>
          <w:tcPr>
            <w:tcW w:w="1288" w:type="dxa"/>
            <w:tcBorders>
              <w:bottom w:val="none" w:sz="0" w:space="0" w:color="auto"/>
            </w:tcBorders>
            <w:shd w:val="clear" w:color="auto" w:fill="F2F2F2" w:themeFill="background1" w:themeFillShade="F2"/>
            <w:vAlign w:val="center"/>
          </w:tcPr>
          <w:p w14:paraId="4A0A6638" w14:textId="77777777" w:rsidR="00BB1426" w:rsidRPr="000300C6" w:rsidRDefault="00BB1426"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12 months</w:t>
            </w:r>
          </w:p>
        </w:tc>
      </w:tr>
      <w:tr w:rsidR="00BB1426" w:rsidRPr="000300C6" w14:paraId="56EC9084"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vAlign w:val="center"/>
          </w:tcPr>
          <w:p w14:paraId="056896DE" w14:textId="79891699" w:rsidR="00BB1426" w:rsidRPr="000300C6" w:rsidRDefault="00BB1426" w:rsidP="00712A17">
            <w:pPr>
              <w:spacing w:after="0"/>
              <w:jc w:val="center"/>
              <w:rPr>
                <w:sz w:val="16"/>
                <w:szCs w:val="16"/>
                <w:lang w:val="en-GB"/>
              </w:rPr>
            </w:pPr>
            <w:r w:rsidRPr="000300C6">
              <w:rPr>
                <w:sz w:val="16"/>
                <w:szCs w:val="16"/>
                <w:lang w:val="en-GB"/>
              </w:rPr>
              <w:t xml:space="preserve">Patients missing </w:t>
            </w:r>
            <w:r w:rsidR="00AB0B68" w:rsidRPr="000300C6">
              <w:rPr>
                <w:sz w:val="16"/>
                <w:szCs w:val="16"/>
                <w:lang w:val="en-GB"/>
              </w:rPr>
              <w:t>PRO</w:t>
            </w:r>
            <w:r w:rsidRPr="000300C6">
              <w:rPr>
                <w:sz w:val="16"/>
                <w:szCs w:val="16"/>
                <w:lang w:val="en-GB"/>
              </w:rPr>
              <w:t xml:space="preserve"> data – n (%)</w:t>
            </w:r>
          </w:p>
        </w:tc>
        <w:tc>
          <w:tcPr>
            <w:tcW w:w="1163" w:type="dxa"/>
            <w:shd w:val="clear" w:color="auto" w:fill="auto"/>
            <w:vAlign w:val="center"/>
          </w:tcPr>
          <w:p w14:paraId="18707022"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5 (16%)</w:t>
            </w:r>
          </w:p>
        </w:tc>
        <w:tc>
          <w:tcPr>
            <w:tcW w:w="1288" w:type="dxa"/>
            <w:shd w:val="clear" w:color="auto" w:fill="auto"/>
            <w:vAlign w:val="center"/>
          </w:tcPr>
          <w:p w14:paraId="2C8A85A5"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4 (13%)</w:t>
            </w:r>
          </w:p>
        </w:tc>
        <w:tc>
          <w:tcPr>
            <w:tcW w:w="1288" w:type="dxa"/>
            <w:shd w:val="clear" w:color="auto" w:fill="auto"/>
            <w:vAlign w:val="center"/>
          </w:tcPr>
          <w:p w14:paraId="5935D4BF"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4 (13%)</w:t>
            </w:r>
          </w:p>
        </w:tc>
        <w:tc>
          <w:tcPr>
            <w:tcW w:w="1288" w:type="dxa"/>
            <w:shd w:val="clear" w:color="auto" w:fill="auto"/>
            <w:vAlign w:val="center"/>
          </w:tcPr>
          <w:p w14:paraId="012F7A02"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12 (38%)</w:t>
            </w:r>
          </w:p>
        </w:tc>
        <w:tc>
          <w:tcPr>
            <w:tcW w:w="1288" w:type="dxa"/>
            <w:shd w:val="clear" w:color="auto" w:fill="auto"/>
            <w:vAlign w:val="center"/>
          </w:tcPr>
          <w:p w14:paraId="1568514E"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10 (31%)</w:t>
            </w:r>
          </w:p>
        </w:tc>
        <w:tc>
          <w:tcPr>
            <w:tcW w:w="1288" w:type="dxa"/>
            <w:shd w:val="clear" w:color="auto" w:fill="auto"/>
            <w:vAlign w:val="center"/>
          </w:tcPr>
          <w:p w14:paraId="5E03E81D" w14:textId="77777777" w:rsidR="00BB1426" w:rsidRPr="000300C6" w:rsidRDefault="00BB1426" w:rsidP="00712A17">
            <w:pPr>
              <w:spacing w:after="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14 (44%)</w:t>
            </w:r>
          </w:p>
        </w:tc>
      </w:tr>
    </w:tbl>
    <w:p w14:paraId="4C70F05E" w14:textId="77777777" w:rsidR="00BB1426" w:rsidRPr="000300C6" w:rsidRDefault="00BB1426" w:rsidP="00BB1426">
      <w:pPr>
        <w:jc w:val="center"/>
        <w:rPr>
          <w:sz w:val="18"/>
          <w:szCs w:val="18"/>
        </w:rPr>
      </w:pPr>
    </w:p>
    <w:p w14:paraId="23C22CE1" w14:textId="77777777" w:rsidR="00BB1426" w:rsidRPr="000300C6" w:rsidRDefault="00BB1426" w:rsidP="00BB1426">
      <w:pPr>
        <w:spacing w:after="160" w:line="259" w:lineRule="auto"/>
        <w:rPr>
          <w:rFonts w:eastAsia="Times New Roman"/>
          <w:b/>
          <w:sz w:val="24"/>
          <w:szCs w:val="24"/>
          <w:lang w:val="en-GB" w:eastAsia="en-GB"/>
        </w:rPr>
      </w:pPr>
    </w:p>
    <w:p w14:paraId="31EF3DC3" w14:textId="77777777" w:rsidR="005E315A" w:rsidRPr="000300C6" w:rsidRDefault="00BB1426" w:rsidP="005E315A">
      <w:pPr>
        <w:spacing w:after="0" w:line="300" w:lineRule="auto"/>
        <w:jc w:val="center"/>
        <w:rPr>
          <w:b/>
          <w:sz w:val="28"/>
          <w:szCs w:val="28"/>
        </w:rPr>
      </w:pPr>
      <w:r w:rsidRPr="000300C6">
        <w:rPr>
          <w:rFonts w:eastAsia="Times New Roman"/>
          <w:b/>
          <w:sz w:val="24"/>
          <w:szCs w:val="24"/>
          <w:lang w:val="en-GB" w:eastAsia="en-GB"/>
        </w:rPr>
        <w:br w:type="page"/>
      </w:r>
      <w:r w:rsidR="005E315A" w:rsidRPr="000300C6">
        <w:rPr>
          <w:noProof/>
        </w:rPr>
        <w:lastRenderedPageBreak/>
        <w:drawing>
          <wp:inline distT="0" distB="0" distL="0" distR="0" wp14:anchorId="4ED48B77" wp14:editId="4AF74286">
            <wp:extent cx="4876800" cy="2285999"/>
            <wp:effectExtent l="0" t="0" r="0" b="635"/>
            <wp:docPr id="12" name="Chart 12">
              <a:extLst xmlns:a="http://schemas.openxmlformats.org/drawingml/2006/main">
                <a:ext uri="{FF2B5EF4-FFF2-40B4-BE49-F238E27FC236}">
                  <a16:creationId xmlns:a16="http://schemas.microsoft.com/office/drawing/2014/main" id="{91119C7D-A219-45E8-9128-14A0D43C3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E315A" w:rsidRPr="000300C6">
        <w:rPr>
          <w:noProof/>
        </w:rPr>
        <w:drawing>
          <wp:inline distT="0" distB="0" distL="0" distR="0" wp14:anchorId="0ABFF6E9" wp14:editId="016FEF29">
            <wp:extent cx="4876800" cy="2286000"/>
            <wp:effectExtent l="0" t="0" r="0" b="0"/>
            <wp:docPr id="15" name="Chart 15">
              <a:extLst xmlns:a="http://schemas.openxmlformats.org/drawingml/2006/main">
                <a:ext uri="{FF2B5EF4-FFF2-40B4-BE49-F238E27FC236}">
                  <a16:creationId xmlns:a16="http://schemas.microsoft.com/office/drawing/2014/main" id="{6CEA1E37-3540-4022-B585-4C41AE026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6FFCD2" w14:textId="129AC472" w:rsidR="005E315A" w:rsidRPr="000300C6" w:rsidRDefault="00B463C1" w:rsidP="005E315A">
      <w:pPr>
        <w:spacing w:after="0"/>
        <w:jc w:val="center"/>
        <w:rPr>
          <w:i/>
          <w:sz w:val="18"/>
          <w:szCs w:val="18"/>
        </w:rPr>
      </w:pPr>
      <w:r w:rsidRPr="000300C6">
        <w:rPr>
          <w:b/>
          <w:sz w:val="18"/>
          <w:szCs w:val="18"/>
        </w:rPr>
        <w:t>Supplementary f</w:t>
      </w:r>
      <w:r w:rsidR="005E315A" w:rsidRPr="000300C6">
        <w:rPr>
          <w:b/>
          <w:sz w:val="18"/>
          <w:szCs w:val="18"/>
        </w:rPr>
        <w:t xml:space="preserve">igure </w:t>
      </w:r>
      <w:r w:rsidRPr="000300C6">
        <w:rPr>
          <w:b/>
          <w:sz w:val="18"/>
          <w:szCs w:val="18"/>
        </w:rPr>
        <w:t>2.a.3-1</w:t>
      </w:r>
      <w:r w:rsidR="005E315A" w:rsidRPr="000300C6">
        <w:rPr>
          <w:b/>
          <w:sz w:val="18"/>
          <w:szCs w:val="18"/>
        </w:rPr>
        <w:t>:</w:t>
      </w:r>
      <w:r w:rsidR="005E315A" w:rsidRPr="000300C6">
        <w:rPr>
          <w:sz w:val="18"/>
          <w:szCs w:val="18"/>
        </w:rPr>
        <w:t xml:space="preserve"> Differences in (A) mean portions per week of meat (p=0.05), fish (p=0.02), vegetables (p=0.05) and cereals (p=0.03); and (B) mean grams of alcohol per week (p=0.1) between </w:t>
      </w:r>
      <w:r w:rsidRPr="000300C6">
        <w:rPr>
          <w:b/>
          <w:sz w:val="18"/>
          <w:szCs w:val="18"/>
        </w:rPr>
        <w:t>PRO-stratified</w:t>
      </w:r>
      <w:r w:rsidR="005E315A" w:rsidRPr="000300C6">
        <w:rPr>
          <w:sz w:val="18"/>
          <w:szCs w:val="18"/>
        </w:rPr>
        <w:t xml:space="preserve"> symptom groups</w:t>
      </w:r>
      <w:r w:rsidR="00C46D41" w:rsidRPr="000300C6">
        <w:rPr>
          <w:sz w:val="18"/>
          <w:szCs w:val="18"/>
        </w:rPr>
        <w:t xml:space="preserve"> in the early cohort</w:t>
      </w:r>
      <w:r w:rsidR="005E315A" w:rsidRPr="000300C6">
        <w:rPr>
          <w:sz w:val="18"/>
          <w:szCs w:val="18"/>
        </w:rPr>
        <w:t>.</w:t>
      </w:r>
      <w:r w:rsidR="00C46D41" w:rsidRPr="000300C6">
        <w:rPr>
          <w:sz w:val="18"/>
          <w:szCs w:val="18"/>
        </w:rPr>
        <w:t xml:space="preserve"> </w:t>
      </w:r>
      <w:r w:rsidR="005E315A" w:rsidRPr="000300C6">
        <w:rPr>
          <w:i/>
          <w:sz w:val="18"/>
          <w:szCs w:val="18"/>
        </w:rPr>
        <w:t xml:space="preserve">Significance testing reported here was made between all groups using the Kruskal-Wallis test. </w:t>
      </w:r>
    </w:p>
    <w:p w14:paraId="6442F654" w14:textId="77777777" w:rsidR="005E315A" w:rsidRPr="000300C6" w:rsidRDefault="005E315A" w:rsidP="005E315A">
      <w:pPr>
        <w:spacing w:after="0"/>
        <w:jc w:val="center"/>
        <w:rPr>
          <w:b/>
          <w:i/>
          <w:sz w:val="28"/>
          <w:szCs w:val="28"/>
        </w:rPr>
      </w:pPr>
      <w:r w:rsidRPr="000300C6">
        <w:rPr>
          <w:i/>
          <w:sz w:val="18"/>
          <w:szCs w:val="18"/>
        </w:rPr>
        <w:t>The group with no symptoms had a mean alcohol intake of 0g/week with SD=0.</w:t>
      </w:r>
    </w:p>
    <w:p w14:paraId="77F0E009" w14:textId="77777777" w:rsidR="005E315A" w:rsidRPr="000300C6" w:rsidRDefault="005E315A" w:rsidP="005E315A">
      <w:pPr>
        <w:spacing w:line="300" w:lineRule="auto"/>
        <w:jc w:val="both"/>
        <w:rPr>
          <w:b/>
          <w:sz w:val="28"/>
          <w:szCs w:val="28"/>
          <w:lang w:val="en-GB"/>
        </w:rPr>
      </w:pPr>
    </w:p>
    <w:p w14:paraId="6ECFAC35" w14:textId="77777777" w:rsidR="005E315A" w:rsidRPr="000300C6" w:rsidRDefault="005E315A" w:rsidP="005E315A">
      <w:pPr>
        <w:spacing w:after="0" w:line="300" w:lineRule="auto"/>
        <w:jc w:val="center"/>
        <w:rPr>
          <w:b/>
          <w:sz w:val="28"/>
          <w:szCs w:val="28"/>
          <w:lang w:val="en-GB"/>
        </w:rPr>
      </w:pPr>
      <w:r w:rsidRPr="000300C6">
        <w:rPr>
          <w:noProof/>
        </w:rPr>
        <w:lastRenderedPageBreak/>
        <w:drawing>
          <wp:inline distT="0" distB="0" distL="0" distR="0" wp14:anchorId="3E36B94F" wp14:editId="546FD521">
            <wp:extent cx="4876800" cy="2400300"/>
            <wp:effectExtent l="0" t="0" r="0" b="0"/>
            <wp:docPr id="20" name="Chart 20">
              <a:extLst xmlns:a="http://schemas.openxmlformats.org/drawingml/2006/main">
                <a:ext uri="{FF2B5EF4-FFF2-40B4-BE49-F238E27FC236}">
                  <a16:creationId xmlns:a16="http://schemas.microsoft.com/office/drawing/2014/main" id="{32544475-A045-4972-BB27-94A5CF2DA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300C6">
        <w:rPr>
          <w:noProof/>
        </w:rPr>
        <w:drawing>
          <wp:inline distT="0" distB="0" distL="0" distR="0" wp14:anchorId="61503897" wp14:editId="5D97DE62">
            <wp:extent cx="4876800" cy="2390775"/>
            <wp:effectExtent l="0" t="0" r="0" b="9525"/>
            <wp:docPr id="21" name="Chart 21">
              <a:extLst xmlns:a="http://schemas.openxmlformats.org/drawingml/2006/main">
                <a:ext uri="{FF2B5EF4-FFF2-40B4-BE49-F238E27FC236}">
                  <a16:creationId xmlns:a16="http://schemas.microsoft.com/office/drawing/2014/main" id="{2DFC6D2E-2620-43A4-922A-9814202BF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A9A2B9" w14:textId="7DC68451" w:rsidR="005E315A" w:rsidRPr="000300C6" w:rsidRDefault="00B463C1" w:rsidP="005E315A">
      <w:pPr>
        <w:spacing w:after="0"/>
        <w:jc w:val="center"/>
        <w:rPr>
          <w:i/>
          <w:sz w:val="18"/>
          <w:szCs w:val="18"/>
        </w:rPr>
      </w:pPr>
      <w:r w:rsidRPr="000300C6">
        <w:rPr>
          <w:b/>
          <w:sz w:val="18"/>
          <w:szCs w:val="18"/>
        </w:rPr>
        <w:t>Supplementary figure 2.a.3-2</w:t>
      </w:r>
      <w:r w:rsidR="005E315A" w:rsidRPr="000300C6">
        <w:rPr>
          <w:b/>
          <w:sz w:val="18"/>
          <w:szCs w:val="18"/>
        </w:rPr>
        <w:t>:</w:t>
      </w:r>
      <w:r w:rsidR="005E315A" w:rsidRPr="000300C6">
        <w:rPr>
          <w:sz w:val="18"/>
          <w:szCs w:val="18"/>
        </w:rPr>
        <w:t xml:space="preserve"> Differences in (A) mean portions per week of meat (p=0.006), fish (p=0.73), vegetables (p=0.13) and cereals (p=0.28); and (B) mean grams of alcohol per week (p=0.28) between </w:t>
      </w:r>
      <w:r w:rsidRPr="000300C6">
        <w:rPr>
          <w:b/>
          <w:sz w:val="18"/>
          <w:szCs w:val="18"/>
        </w:rPr>
        <w:t>CRO-stratified</w:t>
      </w:r>
      <w:r w:rsidR="005E315A" w:rsidRPr="000300C6">
        <w:rPr>
          <w:sz w:val="18"/>
          <w:szCs w:val="18"/>
        </w:rPr>
        <w:t xml:space="preserve"> symptom groups</w:t>
      </w:r>
      <w:r w:rsidR="00C46D41" w:rsidRPr="000300C6">
        <w:rPr>
          <w:sz w:val="18"/>
          <w:szCs w:val="18"/>
        </w:rPr>
        <w:t xml:space="preserve"> in the early cohort</w:t>
      </w:r>
      <w:r w:rsidR="005E315A" w:rsidRPr="000300C6">
        <w:rPr>
          <w:sz w:val="18"/>
          <w:szCs w:val="18"/>
        </w:rPr>
        <w:t>.</w:t>
      </w:r>
      <w:r w:rsidR="00C46D41" w:rsidRPr="000300C6">
        <w:rPr>
          <w:sz w:val="18"/>
          <w:szCs w:val="18"/>
        </w:rPr>
        <w:t xml:space="preserve"> </w:t>
      </w:r>
      <w:r w:rsidR="005E315A" w:rsidRPr="000300C6">
        <w:rPr>
          <w:i/>
          <w:sz w:val="18"/>
          <w:szCs w:val="18"/>
        </w:rPr>
        <w:t>Significance testing reported here was made between all groups using the Kruskal-Wallis test.</w:t>
      </w:r>
    </w:p>
    <w:p w14:paraId="6B406856" w14:textId="77777777" w:rsidR="00BB1426" w:rsidRPr="000300C6" w:rsidRDefault="00BB1426" w:rsidP="00BB1426">
      <w:pPr>
        <w:spacing w:after="160" w:line="259" w:lineRule="auto"/>
        <w:rPr>
          <w:rFonts w:eastAsia="Times New Roman"/>
          <w:b/>
          <w:sz w:val="24"/>
          <w:szCs w:val="24"/>
          <w:lang w:eastAsia="en-GB"/>
        </w:rPr>
      </w:pPr>
    </w:p>
    <w:p w14:paraId="02FACAC1" w14:textId="023F100D" w:rsidR="00952564" w:rsidRPr="000300C6" w:rsidRDefault="00952564" w:rsidP="00952564">
      <w:pPr>
        <w:spacing w:line="480" w:lineRule="auto"/>
        <w:ind w:firstLine="720"/>
        <w:jc w:val="both"/>
        <w:rPr>
          <w:sz w:val="20"/>
          <w:szCs w:val="20"/>
          <w:u w:val="single"/>
        </w:rPr>
      </w:pPr>
      <w:r w:rsidRPr="000300C6">
        <w:rPr>
          <w:sz w:val="20"/>
          <w:szCs w:val="20"/>
          <w:u w:val="single"/>
        </w:rPr>
        <w:t>2.a.4 – Correlation between CRO and PRO scores</w:t>
      </w:r>
    </w:p>
    <w:p w14:paraId="22C2667F" w14:textId="43458D17" w:rsidR="00BB1426" w:rsidRPr="000300C6" w:rsidRDefault="00BB1426" w:rsidP="00BD506F">
      <w:pPr>
        <w:spacing w:line="480" w:lineRule="auto"/>
        <w:jc w:val="both"/>
        <w:rPr>
          <w:sz w:val="20"/>
          <w:szCs w:val="20"/>
        </w:rPr>
      </w:pPr>
      <w:r w:rsidRPr="000300C6">
        <w:rPr>
          <w:sz w:val="20"/>
          <w:szCs w:val="20"/>
        </w:rPr>
        <w:t xml:space="preserve">To study the correlation between </w:t>
      </w:r>
      <w:r w:rsidR="00BD506F" w:rsidRPr="000300C6">
        <w:rPr>
          <w:sz w:val="20"/>
          <w:szCs w:val="20"/>
        </w:rPr>
        <w:t>CRO</w:t>
      </w:r>
      <w:r w:rsidRPr="000300C6">
        <w:rPr>
          <w:sz w:val="20"/>
          <w:szCs w:val="20"/>
        </w:rPr>
        <w:t xml:space="preserve"> and </w:t>
      </w:r>
      <w:r w:rsidR="00BD506F" w:rsidRPr="000300C6">
        <w:rPr>
          <w:sz w:val="20"/>
          <w:szCs w:val="20"/>
        </w:rPr>
        <w:t>PRO</w:t>
      </w:r>
      <w:r w:rsidRPr="000300C6">
        <w:rPr>
          <w:sz w:val="20"/>
          <w:szCs w:val="20"/>
        </w:rPr>
        <w:t xml:space="preserve"> sc</w:t>
      </w:r>
      <w:r w:rsidR="00BD506F" w:rsidRPr="000300C6">
        <w:rPr>
          <w:sz w:val="20"/>
          <w:szCs w:val="20"/>
        </w:rPr>
        <w:t>ores</w:t>
      </w:r>
      <w:r w:rsidRPr="000300C6">
        <w:rPr>
          <w:sz w:val="20"/>
          <w:szCs w:val="20"/>
        </w:rPr>
        <w:t xml:space="preserve">, all observations at all timepoints were included in a single dataframe. </w:t>
      </w:r>
      <w:r w:rsidR="00BD506F" w:rsidRPr="000300C6">
        <w:rPr>
          <w:sz w:val="20"/>
          <w:szCs w:val="20"/>
        </w:rPr>
        <w:t>CRO</w:t>
      </w:r>
      <w:r w:rsidRPr="000300C6">
        <w:rPr>
          <w:sz w:val="20"/>
          <w:szCs w:val="20"/>
        </w:rPr>
        <w:t xml:space="preserve"> and </w:t>
      </w:r>
      <w:r w:rsidR="00BD506F" w:rsidRPr="000300C6">
        <w:rPr>
          <w:sz w:val="20"/>
          <w:szCs w:val="20"/>
        </w:rPr>
        <w:t>PRO</w:t>
      </w:r>
      <w:r w:rsidRPr="000300C6">
        <w:rPr>
          <w:sz w:val="20"/>
          <w:szCs w:val="20"/>
        </w:rPr>
        <w:t xml:space="preserve"> were weakly correlated, with Spearman’s rank rho coefficient of -0.47 (p&lt;0.0001). The median </w:t>
      </w:r>
      <w:r w:rsidR="00BD506F" w:rsidRPr="000300C6">
        <w:rPr>
          <w:sz w:val="20"/>
          <w:szCs w:val="20"/>
        </w:rPr>
        <w:t>PRO</w:t>
      </w:r>
      <w:r w:rsidRPr="000300C6">
        <w:rPr>
          <w:sz w:val="20"/>
          <w:szCs w:val="20"/>
        </w:rPr>
        <w:t xml:space="preserve"> score (IQR) was 67 (64.5-70), 62.5 (57.3-66), and 58 (52.7-62.3) for </w:t>
      </w:r>
      <w:r w:rsidR="00BD506F" w:rsidRPr="000300C6">
        <w:rPr>
          <w:sz w:val="20"/>
          <w:szCs w:val="20"/>
        </w:rPr>
        <w:t>CRO</w:t>
      </w:r>
      <w:r w:rsidRPr="000300C6">
        <w:rPr>
          <w:sz w:val="20"/>
          <w:szCs w:val="20"/>
        </w:rPr>
        <w:t xml:space="preserve"> grades 0, 1 and 2 respectively, reflecting a clinically significant increase in patient-reported symptoms per clinician-reported toxicity grade.</w:t>
      </w:r>
      <w:r w:rsidR="00BD506F" w:rsidRPr="000300C6">
        <w:rPr>
          <w:sz w:val="20"/>
          <w:szCs w:val="20"/>
        </w:rPr>
        <w:t xml:space="preserve"> </w:t>
      </w:r>
    </w:p>
    <w:p w14:paraId="3240DCF0" w14:textId="77777777" w:rsidR="001B4FA0" w:rsidRPr="000300C6" w:rsidRDefault="001B4FA0">
      <w:pPr>
        <w:spacing w:after="160" w:line="259" w:lineRule="auto"/>
        <w:rPr>
          <w:rFonts w:eastAsia="Times New Roman"/>
          <w:b/>
          <w:sz w:val="24"/>
          <w:szCs w:val="24"/>
          <w:lang w:eastAsia="en-GB"/>
        </w:rPr>
      </w:pPr>
      <w:r w:rsidRPr="000300C6">
        <w:rPr>
          <w:rFonts w:eastAsia="Times New Roman"/>
          <w:b/>
          <w:sz w:val="24"/>
          <w:szCs w:val="24"/>
          <w:lang w:eastAsia="en-GB"/>
        </w:rPr>
        <w:br w:type="page"/>
      </w:r>
    </w:p>
    <w:p w14:paraId="6C074154" w14:textId="798D068A" w:rsidR="007341ED" w:rsidRPr="000300C6" w:rsidRDefault="007341ED" w:rsidP="007341ED">
      <w:pPr>
        <w:spacing w:line="360" w:lineRule="auto"/>
        <w:ind w:firstLine="720"/>
        <w:jc w:val="both"/>
        <w:rPr>
          <w:rFonts w:eastAsia="Times New Roman"/>
          <w:b/>
          <w:sz w:val="24"/>
          <w:szCs w:val="24"/>
          <w:lang w:eastAsia="en-GB"/>
        </w:rPr>
      </w:pPr>
      <w:r w:rsidRPr="000300C6">
        <w:rPr>
          <w:rFonts w:eastAsia="Times New Roman"/>
          <w:b/>
          <w:sz w:val="24"/>
          <w:szCs w:val="24"/>
          <w:lang w:eastAsia="en-GB"/>
        </w:rPr>
        <w:lastRenderedPageBreak/>
        <w:t>2.b – Symptoms and diet in the late cohort</w:t>
      </w:r>
    </w:p>
    <w:p w14:paraId="6D6218F7" w14:textId="63BB88DC" w:rsidR="007341ED" w:rsidRPr="000300C6" w:rsidRDefault="007341ED" w:rsidP="007341ED">
      <w:pPr>
        <w:spacing w:line="480" w:lineRule="auto"/>
        <w:ind w:firstLine="720"/>
        <w:jc w:val="both"/>
        <w:rPr>
          <w:sz w:val="20"/>
          <w:szCs w:val="20"/>
          <w:u w:val="single"/>
        </w:rPr>
      </w:pPr>
      <w:r w:rsidRPr="000300C6">
        <w:rPr>
          <w:sz w:val="20"/>
          <w:szCs w:val="20"/>
          <w:u w:val="single"/>
        </w:rPr>
        <w:t>2.b.1 – Clinician-reported outcomes</w:t>
      </w:r>
    </w:p>
    <w:p w14:paraId="7C341413" w14:textId="28838920" w:rsidR="007341ED" w:rsidRPr="000300C6" w:rsidRDefault="007341ED" w:rsidP="007341ED">
      <w:pPr>
        <w:spacing w:line="480" w:lineRule="auto"/>
        <w:jc w:val="both"/>
        <w:rPr>
          <w:sz w:val="20"/>
          <w:szCs w:val="20"/>
        </w:rPr>
      </w:pPr>
      <w:r w:rsidRPr="000300C6">
        <w:rPr>
          <w:sz w:val="20"/>
          <w:szCs w:val="20"/>
        </w:rPr>
        <w:t>Toxicity prevalence data at the time of sampling was obtained as for the early cohort (termed “actual”). However, cumulative peak toxicity (termed “historic”), obtained as per the IMRT for Prostate Cancer trial protocol, was also used. This data was obtained from the long-term late toxicity database of the IMRT-PCa trial, which included outcomes from 6 months after radiotherapy onwards, reflecting the late enteropathy timeline.</w:t>
      </w:r>
    </w:p>
    <w:p w14:paraId="74F32A24" w14:textId="02A241C6" w:rsidR="007341ED" w:rsidRPr="000300C6" w:rsidRDefault="007341ED" w:rsidP="007341ED">
      <w:pPr>
        <w:spacing w:line="480" w:lineRule="auto"/>
        <w:jc w:val="both"/>
        <w:rPr>
          <w:sz w:val="20"/>
          <w:szCs w:val="20"/>
        </w:rPr>
      </w:pPr>
      <w:r w:rsidRPr="000300C6">
        <w:rPr>
          <w:sz w:val="20"/>
          <w:szCs w:val="20"/>
        </w:rPr>
        <w:t>As expected, actual toxicity followed similar prevalence patterns as late toxicity timepoints in the IMRT-PCa trial (</w:t>
      </w:r>
      <w:bookmarkStart w:id="1" w:name="_Hlk524089061"/>
      <w:r w:rsidR="003B5BC9" w:rsidRPr="000300C6">
        <w:rPr>
          <w:sz w:val="20"/>
          <w:szCs w:val="20"/>
        </w:rPr>
        <w:t xml:space="preserve">supplementary </w:t>
      </w:r>
      <w:r w:rsidRPr="000300C6">
        <w:rPr>
          <w:sz w:val="20"/>
          <w:szCs w:val="20"/>
        </w:rPr>
        <w:t xml:space="preserve">figure </w:t>
      </w:r>
      <w:r w:rsidR="003B5BC9" w:rsidRPr="000300C6">
        <w:rPr>
          <w:sz w:val="20"/>
          <w:szCs w:val="20"/>
        </w:rPr>
        <w:t>2.b.1-1</w:t>
      </w:r>
      <w:bookmarkEnd w:id="1"/>
      <w:r w:rsidRPr="000300C6">
        <w:rPr>
          <w:sz w:val="20"/>
          <w:szCs w:val="20"/>
        </w:rPr>
        <w:t>).</w:t>
      </w:r>
      <w:r w:rsidR="003B5BC9" w:rsidRPr="000300C6">
        <w:rPr>
          <w:sz w:val="20"/>
          <w:szCs w:val="20"/>
        </w:rPr>
        <w:fldChar w:fldCharType="begin" w:fldLock="1"/>
      </w:r>
      <w:r w:rsidR="004605EC" w:rsidRPr="000300C6">
        <w:rPr>
          <w:sz w:val="20"/>
          <w:szCs w:val="20"/>
        </w:rPr>
        <w:instrText>ADDIN CSL_CITATION {"citationItems":[{"id":"ITEM-1","itemData":{"DOI":"10.1016/j.ijrobp.2017.07.041","ISSN":"03603016","author":[{"dropping-particle":"","family":"Reis Ferreira","given":"Miguel","non-dropping-particle":"","parse-names":false,"suffix":""},{"dropping-particle":"","family":"Khan","given":"Atia","non-dropping-particle":"","parse-names":false,"suffix":""},{"dropping-particle":"","family":"Thomas","given":"Karen","non-dropping-particle":"","parse-names":false,"suffix":""},{"dropping-particle":"","family":"Truelove","given":"Lesley","non-dropping-particle":"","parse-names":false,"suffix":""},{"dropping-particle":"","family":"McNair","given":"Helen","non-dropping-particle":"","parse-names":false,"suffix":""},{"dropping-particle":"","family":"Gao","given":"Annie","non-dropping-particle":"","parse-names":false,"suffix":""},{"dropping-particle":"","family":"Parker","given":"Chris C.","non-dropping-particle":"","parse-names":false,"suffix":""},{"dropping-particle":"","family":"Huddart","given":"Robert","non-dropping-particle":"","parse-names":false,"suffix":""},{"dropping-particle":"","family":"Bidmead","given":"Margaret","non-dropping-particle":"","parse-names":false,"suffix":""},{"dropping-particle":"","family":"Eeles","given":"Ros","non-dropping-particle":"","parse-names":false,"suffix":""},{"dropping-particle":"","family":"Khoo","given":"Vincent","non-dropping-particle":"","parse-names":false,"suffix":""},{"dropping-particle":"","family":"As","given":"Nicholas J.","non-dropping-particle":"van","parse-names":false,"suffix":""},{"dropping-particle":"","family":"Hansen","given":"Vibeke N.","non-dropping-particle":"","parse-names":false,"suffix":""},{"dropping-particle":"","family":"Dearnaley","given":"David P.","non-dropping-particle":"","parse-names":false,"suffix":""}],"container-title":"International Journal of Radiation Oncology*Biology*Physics","id":"ITEM-1","issued":{"date-parts":[["2017","8"]]},"title":"A phase I/II dose escalation study of the use of intensity modulated radiotherapy (IMRT) to treat the prostate and pelvic nodes in patients with prostate cancer","type":"article-journal"},"uris":["http://www.mendeley.com/documents/?uuid=6187e68c-e3fd-3a57-8339-97ddf8355f7b"]}],"mendeley":{"formattedCitation":"&lt;sup&gt;1&lt;/sup&gt;","plainTextFormattedCitation":"1","previouslyFormattedCitation":"&lt;sup&gt;1&lt;/sup&gt;"},"properties":{"noteIndex":0},"schema":"https://github.com/citation-style-language/schema/raw/master/csl-citation.json"}</w:instrText>
      </w:r>
      <w:r w:rsidR="003B5BC9" w:rsidRPr="000300C6">
        <w:rPr>
          <w:sz w:val="20"/>
          <w:szCs w:val="20"/>
        </w:rPr>
        <w:fldChar w:fldCharType="separate"/>
      </w:r>
      <w:r w:rsidR="003B5BC9" w:rsidRPr="000300C6">
        <w:rPr>
          <w:noProof/>
          <w:sz w:val="20"/>
          <w:szCs w:val="20"/>
          <w:vertAlign w:val="superscript"/>
        </w:rPr>
        <w:t>1</w:t>
      </w:r>
      <w:r w:rsidR="003B5BC9" w:rsidRPr="000300C6">
        <w:rPr>
          <w:sz w:val="20"/>
          <w:szCs w:val="20"/>
        </w:rPr>
        <w:fldChar w:fldCharType="end"/>
      </w:r>
      <w:r w:rsidRPr="000300C6">
        <w:rPr>
          <w:sz w:val="20"/>
          <w:szCs w:val="20"/>
        </w:rPr>
        <w:t xml:space="preserve"> Twenty patients (23%) had </w:t>
      </w:r>
      <w:r w:rsidR="00814988" w:rsidRPr="000300C6">
        <w:rPr>
          <w:sz w:val="20"/>
          <w:szCs w:val="20"/>
        </w:rPr>
        <w:t>CRO</w:t>
      </w:r>
      <w:r w:rsidRPr="000300C6">
        <w:rPr>
          <w:sz w:val="20"/>
          <w:szCs w:val="20"/>
        </w:rPr>
        <w:t xml:space="preserve"> toxicity grade 2 or above (grade 2+), mostly explained by proctopathy (19%), although 9.2% reported grade 2+ diarrhoea. Grade 2+ LENT-SOM tenesmus and bleeding were reported by 14% and 3.4%, making tenesmus the most frequent symptom of proctopathy at the time of sampling. Composite maximum prevalence scores were similar to </w:t>
      </w:r>
      <w:r w:rsidR="00814988" w:rsidRPr="000300C6">
        <w:rPr>
          <w:sz w:val="20"/>
          <w:szCs w:val="20"/>
        </w:rPr>
        <w:t>CRO</w:t>
      </w:r>
      <w:r w:rsidRPr="000300C6">
        <w:rPr>
          <w:sz w:val="20"/>
          <w:szCs w:val="20"/>
        </w:rPr>
        <w:t xml:space="preserve"> maximum, with grade 2+ toxicity in 25% of patients.</w:t>
      </w:r>
    </w:p>
    <w:p w14:paraId="7B12B22B" w14:textId="00CE1686" w:rsidR="007341ED" w:rsidRPr="000300C6" w:rsidRDefault="003B5BC9" w:rsidP="007341ED">
      <w:pPr>
        <w:spacing w:line="480" w:lineRule="auto"/>
        <w:jc w:val="both"/>
        <w:rPr>
          <w:sz w:val="20"/>
          <w:szCs w:val="20"/>
        </w:rPr>
      </w:pPr>
      <w:r w:rsidRPr="000300C6">
        <w:rPr>
          <w:sz w:val="20"/>
          <w:szCs w:val="20"/>
        </w:rPr>
        <w:t xml:space="preserve">Historic toxicity rates </w:t>
      </w:r>
      <w:r w:rsidR="007341ED" w:rsidRPr="000300C6">
        <w:rPr>
          <w:sz w:val="20"/>
          <w:szCs w:val="20"/>
        </w:rPr>
        <w:t>were obviously higher, with 15%/20%, 39%/17% and 32%/29% of patients experiencing grade 1/2+ diarrhoea, proctopathy and maximum toxicity respectively (</w:t>
      </w:r>
      <w:r w:rsidR="00C46D41" w:rsidRPr="000300C6">
        <w:rPr>
          <w:sz w:val="20"/>
          <w:szCs w:val="20"/>
        </w:rPr>
        <w:t>supplementary figure 2.b.1-2</w:t>
      </w:r>
      <w:r w:rsidR="007341ED" w:rsidRPr="000300C6">
        <w:rPr>
          <w:sz w:val="20"/>
          <w:szCs w:val="20"/>
        </w:rPr>
        <w:t xml:space="preserve">). It is noteworthy that, unlike for </w:t>
      </w:r>
      <w:r w:rsidRPr="000300C6">
        <w:rPr>
          <w:sz w:val="20"/>
          <w:szCs w:val="20"/>
        </w:rPr>
        <w:t>actual</w:t>
      </w:r>
      <w:r w:rsidR="007341ED" w:rsidRPr="000300C6">
        <w:rPr>
          <w:sz w:val="20"/>
          <w:szCs w:val="20"/>
        </w:rPr>
        <w:t xml:space="preserve"> toxicity endpoints, </w:t>
      </w:r>
      <w:r w:rsidR="00814988" w:rsidRPr="000300C6">
        <w:rPr>
          <w:sz w:val="20"/>
          <w:szCs w:val="20"/>
        </w:rPr>
        <w:t>CRO</w:t>
      </w:r>
      <w:r w:rsidR="007341ED" w:rsidRPr="000300C6">
        <w:rPr>
          <w:sz w:val="20"/>
          <w:szCs w:val="20"/>
        </w:rPr>
        <w:t xml:space="preserve"> rectal ulcer, rectal-anal stricture and bowel obstruction were included for computing the maximum figure, with three distinct patients experiencing bowel obstruction at one timepoint during follow-up graded 3, 2 and 1 respectively, but no other such toxicities observed. Correlation between peak historical and MARS-prevalence toxicity existed but was weak, with a Spearman rho coefficient of 0.56 (p&lt;0.0001).</w:t>
      </w:r>
    </w:p>
    <w:p w14:paraId="726AEADA" w14:textId="77777777" w:rsidR="00B657DA" w:rsidRPr="000300C6" w:rsidRDefault="00B657DA" w:rsidP="00B657DA">
      <w:pPr>
        <w:spacing w:line="480" w:lineRule="auto"/>
        <w:ind w:firstLine="720"/>
        <w:jc w:val="both"/>
        <w:rPr>
          <w:sz w:val="20"/>
          <w:szCs w:val="20"/>
          <w:u w:val="single"/>
        </w:rPr>
      </w:pPr>
      <w:r w:rsidRPr="000300C6">
        <w:rPr>
          <w:sz w:val="20"/>
          <w:szCs w:val="20"/>
          <w:u w:val="single"/>
        </w:rPr>
        <w:t>2.b.2 – Patient-reported outcomes</w:t>
      </w:r>
    </w:p>
    <w:p w14:paraId="0AC09A25" w14:textId="77777777" w:rsidR="00B657DA" w:rsidRPr="000300C6" w:rsidRDefault="00B657DA" w:rsidP="00B657DA">
      <w:pPr>
        <w:spacing w:line="480" w:lineRule="auto"/>
        <w:jc w:val="both"/>
        <w:rPr>
          <w:sz w:val="20"/>
          <w:szCs w:val="20"/>
          <w:lang w:val="en-US"/>
        </w:rPr>
      </w:pPr>
      <w:r w:rsidRPr="000300C6">
        <w:rPr>
          <w:sz w:val="20"/>
          <w:szCs w:val="20"/>
          <w:lang w:val="en-US"/>
        </w:rPr>
        <w:t>Actual patient-reported symptoms were generally low. Median PRO score was 67 (IQR=62-70) out of a maximum of 70, which represents best intestinal function (figure 2.b.2-1).</w:t>
      </w:r>
    </w:p>
    <w:p w14:paraId="19E6351E" w14:textId="1674B195" w:rsidR="00B657DA" w:rsidRPr="000300C6" w:rsidRDefault="00B657DA" w:rsidP="00B657DA">
      <w:pPr>
        <w:spacing w:line="480" w:lineRule="auto"/>
        <w:jc w:val="both"/>
        <w:rPr>
          <w:sz w:val="20"/>
          <w:szCs w:val="20"/>
          <w:lang w:val="en-US"/>
        </w:rPr>
      </w:pPr>
      <w:r w:rsidRPr="000300C6">
        <w:rPr>
          <w:sz w:val="20"/>
          <w:szCs w:val="20"/>
          <w:lang w:val="en-US"/>
        </w:rPr>
        <w:t>Historic patient-reported outcomes were available scored with the UCLA-PCI scale, as per the IMRT for Prostate Cancer study protocol.</w:t>
      </w:r>
      <w:r w:rsidRPr="000300C6">
        <w:rPr>
          <w:sz w:val="20"/>
          <w:szCs w:val="20"/>
        </w:rPr>
        <w:fldChar w:fldCharType="begin" w:fldLock="1"/>
      </w:r>
      <w:r w:rsidR="00661B9B" w:rsidRPr="000300C6">
        <w:rPr>
          <w:sz w:val="20"/>
          <w:szCs w:val="20"/>
          <w:lang w:val="en-US"/>
        </w:rPr>
        <w:instrText>ADDIN CSL_CITATION {"citationItems":[{"id":"ITEM-1","itemData":{"DOI":"10.1016/j.ijrobp.2017.07.041","ISSN":"03603016","author":[{"dropping-particle":"","family":"Reis Ferreira","given":"Miguel","non-dropping-particle":"","parse-names":false,"suffix":""},{"dropping-particle":"","family":"Khan","given":"Atia","non-dropping-particle":"","parse-names":false,"suffix":""},{"dropping-particle":"","family":"Thomas","given":"Karen","non-dropping-particle":"","parse-names":false,"suffix":""},{"dropping-particle":"","family":"Truelove","given":"Lesley","non-dropping-particle":"","parse-names":false,"suffix":""},{"dropping-particle":"","family":"McNair","given":"Helen","non-dropping-particle":"","parse-names":false,"suffix":""},{"dropping-particle":"","family":"Gao","given":"Annie","non-dropping-particle":"","parse-names":false,"suffix":""},{"dropping-particle":"","family":"Parker","given":"Chris C.","non-dropping-particle":"","parse-names":false,"suffix":""},{"dropping-particle":"","family":"Huddart","given":"Robert","non-dropping-particle":"","parse-names":false,"suffix":""},{"dropping-particle":"","family":"Bidmead","given":"Margaret","non-dropping-particle":"","parse-names":false,"suffix":""},{"dropping-particle":"","family":"Eeles","given":"Ros","non-dropping-particle":"","parse-names":false,"suffix":""},{"dropping-particle":"","family":"Khoo","given":"Vincent","non-dropping-particle":"","parse-names":false,"suffix":""},{"dropping-particle":"","family":"As","given":"Nicholas J.","non-dropping-particle":"van","parse-names":false,"suffix":""},{"dropping-particle":"","family":"Hansen","given":"Vibeke N.","non-dropping-particle":"","parse-names":false,"suffix":""},{"dropping-particle":"","family":"Dearnaley","given":"David P.","non-dropping-particle":"","parse-names":false,"suffix":""}],"container-title":"International Journal of Radiation Oncology*Biology*Physics","id":"ITEM-1","issued":{"date-parts":[["2017","8"]]},"title":"A phase I/II dose escalation study of the use of intensity modulated radiotherapy (IMRT) to treat the prostate and pelvic nodes in patients with prostate cancer","type":"article-journal"},"uris":["http://www.mendeley.com/documents/?uuid=6187e68c-e3fd-3a57-8339-97ddf8355f7b"]}],"mendeley":{"formattedCitation":"&lt;sup&gt;1&lt;/sup&gt;","plainTextFormattedCitation":"1","previouslyFormattedCitation":"&lt;sup&gt;1&lt;/sup&gt;"},"properties":{"noteIndex":0},"schema":"https://github.com/citation-style-language/schema/raw/master/csl-citation.json"}</w:instrText>
      </w:r>
      <w:r w:rsidRPr="000300C6">
        <w:rPr>
          <w:sz w:val="20"/>
          <w:szCs w:val="20"/>
        </w:rPr>
        <w:fldChar w:fldCharType="separate"/>
      </w:r>
      <w:r w:rsidRPr="000300C6">
        <w:rPr>
          <w:noProof/>
          <w:sz w:val="20"/>
          <w:szCs w:val="20"/>
          <w:vertAlign w:val="superscript"/>
          <w:lang w:val="en-US"/>
        </w:rPr>
        <w:t>1</w:t>
      </w:r>
      <w:r w:rsidRPr="000300C6">
        <w:rPr>
          <w:sz w:val="20"/>
          <w:szCs w:val="20"/>
        </w:rPr>
        <w:fldChar w:fldCharType="end"/>
      </w:r>
      <w:r w:rsidRPr="000300C6">
        <w:rPr>
          <w:sz w:val="20"/>
          <w:szCs w:val="20"/>
          <w:lang w:val="en-US"/>
        </w:rPr>
        <w:t xml:space="preserve">  Specifically, two items of the scale were used for comparison: bowel distress and bowel problem, representing overall bowel function.</w:t>
      </w:r>
      <w:r w:rsidRPr="000300C6">
        <w:rPr>
          <w:sz w:val="20"/>
          <w:szCs w:val="20"/>
        </w:rPr>
        <w:fldChar w:fldCharType="begin" w:fldLock="1"/>
      </w:r>
      <w:r w:rsidR="00661B9B" w:rsidRPr="000300C6">
        <w:rPr>
          <w:sz w:val="20"/>
          <w:szCs w:val="20"/>
          <w:lang w:val="en-US"/>
        </w:rPr>
        <w:instrText>ADDIN CSL_CITATION {"citationItems":[{"id":"ITEM-1","itemData":{"ISBN":"0025-7079 (Print)\\r0025-7079 (Linking)","ISSN":"0025-7079","PMID":"9674618","abstract":"The need for accurate measures of health-related quality of life (HRQOL) in men treated for prostate cancer is of paramount importance because patients may survive for many years after their diagnosis. Hence, interest has increased in choosing treatments that optimize both the quality and quantity of life in patients with this disease. This study sought to develop and evaluate a self-administered, multiitem, disease-specific instrument to capture the health concerns central to the quality of life of men treated for early stage prostate cancer.","author":[{"dropping-particle":"","family":"Litwin","given":"M S","non-dropping-particle":"","parse-names":false,"suffix":""},{"dropping-particle":"","family":"Hays","given":"R D","non-dropping-particle":"","parse-names":false,"suffix":""},{"dropping-particle":"","family":"Fink","given":"A","non-dropping-particle":"","parse-names":false,"suffix":""},{"dropping-particle":"","family":"Ganz","given":"P A","non-dropping-particle":"","parse-names":false,"suffix":""},{"dropping-particle":"","family":"Leake","given":"B","non-dropping-particle":"","parse-names":false,"suffix":""},{"dropping-particle":"","family":"Brook","given":"R H","non-dropping-particle":"","parse-names":false,"suffix":""}],"container-title":"Medical care","id":"ITEM-1","issue":"7","issued":{"date-parts":[["1998"]]},"page":"1002-12","title":"The UCLA Prostate Cancer Index: development, reliability, and validity of a health-related quality of life measure.","type":"article-journal","volume":"36"},"uris":["http://www.mendeley.com/documents/?uuid=68176a5c-bd0a-4564-b1df-87c5979ab682"]}],"mendeley":{"formattedCitation":"&lt;sup&gt;5&lt;/sup&gt;","plainTextFormattedCitation":"5","previouslyFormattedCitation":"&lt;sup&gt;5&lt;/sup&gt;"},"properties":{"noteIndex":0},"schema":"https://github.com/citation-style-language/schema/raw/master/csl-citation.json"}</w:instrText>
      </w:r>
      <w:r w:rsidRPr="000300C6">
        <w:rPr>
          <w:sz w:val="20"/>
          <w:szCs w:val="20"/>
        </w:rPr>
        <w:fldChar w:fldCharType="separate"/>
      </w:r>
      <w:r w:rsidRPr="000300C6">
        <w:rPr>
          <w:noProof/>
          <w:sz w:val="20"/>
          <w:szCs w:val="20"/>
          <w:vertAlign w:val="superscript"/>
          <w:lang w:val="en-US"/>
        </w:rPr>
        <w:t>5</w:t>
      </w:r>
      <w:r w:rsidRPr="000300C6">
        <w:rPr>
          <w:sz w:val="20"/>
          <w:szCs w:val="20"/>
        </w:rPr>
        <w:fldChar w:fldCharType="end"/>
      </w:r>
      <w:r w:rsidRPr="000300C6">
        <w:rPr>
          <w:sz w:val="20"/>
          <w:szCs w:val="20"/>
          <w:lang w:val="en-US"/>
        </w:rPr>
        <w:t xml:space="preserve"> Using peak scores obviously provided a different picture. Moderate to severe bowel distress had been reported by 29 patients (34%, </w:t>
      </w:r>
      <w:bookmarkStart w:id="2" w:name="_Hlk524094277"/>
      <w:r w:rsidRPr="000300C6">
        <w:rPr>
          <w:sz w:val="20"/>
          <w:szCs w:val="20"/>
          <w:lang w:val="en-US"/>
        </w:rPr>
        <w:t>supplementary figure 2.b.2-2A</w:t>
      </w:r>
      <w:bookmarkEnd w:id="2"/>
      <w:r w:rsidRPr="000300C6">
        <w:rPr>
          <w:sz w:val="20"/>
          <w:szCs w:val="20"/>
          <w:lang w:val="en-US"/>
        </w:rPr>
        <w:t xml:space="preserve">), </w:t>
      </w:r>
      <w:r w:rsidRPr="000300C6">
        <w:rPr>
          <w:sz w:val="20"/>
          <w:szCs w:val="20"/>
          <w:lang w:val="en-US"/>
        </w:rPr>
        <w:lastRenderedPageBreak/>
        <w:t>while moderate to big bowel problem had been reported by 28 patients (33%, supplementary figure 2.b.2-2B) since radiotherapy. As with clinician-reported outcomes, correlation between peak historical and actual patient-reported symptoms existed but was very weak, with a Spearman’s rho coefficient of 0.37 (p=0.001).</w:t>
      </w:r>
    </w:p>
    <w:p w14:paraId="06DE491F" w14:textId="02C0FAD6" w:rsidR="004570FF" w:rsidRPr="000300C6" w:rsidRDefault="004570FF" w:rsidP="004570FF">
      <w:pPr>
        <w:spacing w:line="480" w:lineRule="auto"/>
        <w:ind w:firstLine="720"/>
        <w:jc w:val="both"/>
        <w:rPr>
          <w:sz w:val="20"/>
          <w:szCs w:val="20"/>
          <w:u w:val="single"/>
        </w:rPr>
      </w:pPr>
      <w:r w:rsidRPr="000300C6">
        <w:rPr>
          <w:sz w:val="20"/>
          <w:szCs w:val="20"/>
          <w:u w:val="single"/>
        </w:rPr>
        <w:t>2.b.3 – Diet</w:t>
      </w:r>
    </w:p>
    <w:p w14:paraId="3DFB72AB" w14:textId="1D05BE94" w:rsidR="00B657DA" w:rsidRPr="000300C6" w:rsidRDefault="00661B9B" w:rsidP="00661B9B">
      <w:pPr>
        <w:spacing w:line="480" w:lineRule="auto"/>
        <w:jc w:val="both"/>
        <w:rPr>
          <w:sz w:val="20"/>
          <w:szCs w:val="20"/>
          <w:lang w:val="en-US"/>
        </w:rPr>
      </w:pPr>
      <w:r w:rsidRPr="000300C6">
        <w:rPr>
          <w:sz w:val="20"/>
          <w:szCs w:val="20"/>
          <w:lang w:val="en-US"/>
        </w:rPr>
        <w:t xml:space="preserve">Comparison between dietary habits was made by grouping patients according to </w:t>
      </w:r>
      <w:r w:rsidR="006B1AEA" w:rsidRPr="000300C6">
        <w:rPr>
          <w:sz w:val="20"/>
          <w:szCs w:val="20"/>
          <w:lang w:val="en-US"/>
        </w:rPr>
        <w:t xml:space="preserve">CRO </w:t>
      </w:r>
      <w:r w:rsidRPr="000300C6">
        <w:rPr>
          <w:sz w:val="20"/>
          <w:szCs w:val="20"/>
          <w:lang w:val="en-US"/>
        </w:rPr>
        <w:t>maximum toxicity at the time of sampling only</w:t>
      </w:r>
      <w:r w:rsidR="006B1AEA" w:rsidRPr="000300C6">
        <w:rPr>
          <w:sz w:val="20"/>
          <w:szCs w:val="20"/>
          <w:lang w:val="en-US"/>
        </w:rPr>
        <w:t>, as significant differences in microbiota endpoints were detected using this scale</w:t>
      </w:r>
      <w:r w:rsidRPr="000300C6">
        <w:rPr>
          <w:sz w:val="20"/>
          <w:szCs w:val="20"/>
          <w:lang w:val="en-US"/>
        </w:rPr>
        <w:t xml:space="preserve">. There were no vegetarians in the cohort. There were no significant or biologically relevant differences between patients grouped by </w:t>
      </w:r>
      <w:r w:rsidR="006B1AEA" w:rsidRPr="000300C6">
        <w:rPr>
          <w:sz w:val="20"/>
          <w:szCs w:val="20"/>
          <w:lang w:val="en-US"/>
        </w:rPr>
        <w:t>CRO</w:t>
      </w:r>
      <w:r w:rsidRPr="000300C6">
        <w:rPr>
          <w:sz w:val="20"/>
          <w:szCs w:val="20"/>
          <w:lang w:val="en-US"/>
        </w:rPr>
        <w:t xml:space="preserve"> in the cohort for any of the </w:t>
      </w:r>
      <w:proofErr w:type="spellStart"/>
      <w:r w:rsidRPr="000300C6">
        <w:rPr>
          <w:sz w:val="20"/>
          <w:szCs w:val="20"/>
          <w:lang w:val="en-US"/>
        </w:rPr>
        <w:t>analysed</w:t>
      </w:r>
      <w:proofErr w:type="spellEnd"/>
      <w:r w:rsidRPr="000300C6">
        <w:rPr>
          <w:sz w:val="20"/>
          <w:szCs w:val="20"/>
          <w:lang w:val="en-US"/>
        </w:rPr>
        <w:t xml:space="preserve"> diet parameters, including meat, fish, vegetable, cereal and alcohol intake per week (</w:t>
      </w:r>
      <w:r w:rsidR="006B1AEA" w:rsidRPr="000300C6">
        <w:rPr>
          <w:sz w:val="20"/>
          <w:szCs w:val="20"/>
          <w:lang w:val="en-US"/>
        </w:rPr>
        <w:t xml:space="preserve">supplementary </w:t>
      </w:r>
      <w:r w:rsidRPr="000300C6">
        <w:rPr>
          <w:sz w:val="20"/>
          <w:szCs w:val="20"/>
          <w:lang w:val="en-US"/>
        </w:rPr>
        <w:t xml:space="preserve">figure </w:t>
      </w:r>
      <w:r w:rsidR="006B1AEA" w:rsidRPr="000300C6">
        <w:rPr>
          <w:sz w:val="20"/>
          <w:szCs w:val="20"/>
          <w:lang w:val="en-US"/>
        </w:rPr>
        <w:t>2.b.3</w:t>
      </w:r>
      <w:r w:rsidRPr="000300C6">
        <w:rPr>
          <w:sz w:val="20"/>
          <w:szCs w:val="20"/>
          <w:lang w:val="en-US"/>
        </w:rPr>
        <w:t>).</w:t>
      </w:r>
    </w:p>
    <w:p w14:paraId="0622FDF6" w14:textId="77777777" w:rsidR="00C46D41" w:rsidRPr="000300C6" w:rsidRDefault="00C46D41" w:rsidP="007341ED">
      <w:pPr>
        <w:spacing w:line="480" w:lineRule="auto"/>
        <w:jc w:val="both"/>
        <w:rPr>
          <w:sz w:val="20"/>
          <w:szCs w:val="20"/>
        </w:rPr>
      </w:pPr>
    </w:p>
    <w:p w14:paraId="4CE49E40" w14:textId="77777777" w:rsidR="00C46D41" w:rsidRPr="000300C6" w:rsidRDefault="00C46D41" w:rsidP="00C46D41">
      <w:pPr>
        <w:spacing w:after="0"/>
        <w:ind w:left="-284"/>
        <w:jc w:val="center"/>
      </w:pPr>
      <w:r w:rsidRPr="000300C6">
        <w:rPr>
          <w:noProof/>
          <w:lang w:eastAsia="pt-PT"/>
        </w:rPr>
        <w:drawing>
          <wp:inline distT="0" distB="0" distL="0" distR="0" wp14:anchorId="4CFDC7C9" wp14:editId="3EE6534B">
            <wp:extent cx="5798820" cy="2918460"/>
            <wp:effectExtent l="0" t="0" r="11430" b="15240"/>
            <wp:docPr id="9" name="Chart 9">
              <a:extLst xmlns:a="http://schemas.openxmlformats.org/drawingml/2006/main">
                <a:ext uri="{FF2B5EF4-FFF2-40B4-BE49-F238E27FC236}">
                  <a16:creationId xmlns:a16="http://schemas.microsoft.com/office/drawing/2014/main" id="{5B317EA1-D935-485B-A38B-C63CC3A7C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97E925" w14:textId="5C253AF3" w:rsidR="00C46D41" w:rsidRPr="000300C6" w:rsidRDefault="00C46D41" w:rsidP="00C46D41">
      <w:pPr>
        <w:spacing w:after="0"/>
        <w:jc w:val="center"/>
        <w:rPr>
          <w:i/>
          <w:sz w:val="18"/>
          <w:szCs w:val="18"/>
          <w:lang w:val="en-US"/>
        </w:rPr>
      </w:pPr>
      <w:r w:rsidRPr="000300C6">
        <w:rPr>
          <w:b/>
          <w:sz w:val="18"/>
          <w:szCs w:val="18"/>
        </w:rPr>
        <w:t>S</w:t>
      </w:r>
      <w:proofErr w:type="spellStart"/>
      <w:r w:rsidRPr="000300C6">
        <w:rPr>
          <w:b/>
          <w:sz w:val="18"/>
          <w:szCs w:val="18"/>
          <w:lang w:val="en-US"/>
        </w:rPr>
        <w:t>upplementary</w:t>
      </w:r>
      <w:proofErr w:type="spellEnd"/>
      <w:r w:rsidRPr="000300C6">
        <w:rPr>
          <w:b/>
          <w:sz w:val="18"/>
          <w:szCs w:val="18"/>
          <w:lang w:val="en-US"/>
        </w:rPr>
        <w:t xml:space="preserve"> figure 2.b.1-1:</w:t>
      </w:r>
      <w:r w:rsidRPr="000300C6">
        <w:rPr>
          <w:sz w:val="18"/>
          <w:szCs w:val="18"/>
          <w:lang w:val="en-US"/>
        </w:rPr>
        <w:t xml:space="preserve"> Clinician-reported </w:t>
      </w:r>
      <w:r w:rsidR="00E37373" w:rsidRPr="000300C6">
        <w:rPr>
          <w:sz w:val="18"/>
          <w:szCs w:val="18"/>
          <w:lang w:val="en-US"/>
        </w:rPr>
        <w:t xml:space="preserve">actual </w:t>
      </w:r>
      <w:r w:rsidRPr="000300C6">
        <w:rPr>
          <w:sz w:val="18"/>
          <w:szCs w:val="18"/>
          <w:lang w:val="en-US"/>
        </w:rPr>
        <w:t>toxicity in the late cohort</w:t>
      </w:r>
      <w:r w:rsidRPr="000300C6">
        <w:rPr>
          <w:i/>
          <w:sz w:val="18"/>
          <w:szCs w:val="18"/>
          <w:lang w:val="en-US"/>
        </w:rPr>
        <w:t xml:space="preserve">. </w:t>
      </w:r>
    </w:p>
    <w:p w14:paraId="53D81FDC" w14:textId="77777777" w:rsidR="00C46D41" w:rsidRPr="000300C6" w:rsidRDefault="00C46D41" w:rsidP="00C46D41">
      <w:pPr>
        <w:spacing w:after="0"/>
        <w:jc w:val="center"/>
        <w:rPr>
          <w:i/>
          <w:sz w:val="18"/>
          <w:szCs w:val="18"/>
          <w:lang w:val="fr-FR"/>
        </w:rPr>
      </w:pPr>
      <w:r w:rsidRPr="000300C6">
        <w:rPr>
          <w:i/>
          <w:sz w:val="18"/>
          <w:szCs w:val="18"/>
          <w:lang w:val="fr-FR"/>
        </w:rPr>
        <w:t xml:space="preserve">LS=LENT-SOM. </w:t>
      </w:r>
      <w:proofErr w:type="spellStart"/>
      <w:r w:rsidRPr="000300C6">
        <w:rPr>
          <w:i/>
          <w:sz w:val="18"/>
          <w:szCs w:val="18"/>
          <w:lang w:val="fr-FR"/>
        </w:rPr>
        <w:t>Obj</w:t>
      </w:r>
      <w:proofErr w:type="spellEnd"/>
      <w:r w:rsidRPr="000300C6">
        <w:rPr>
          <w:i/>
          <w:sz w:val="18"/>
          <w:szCs w:val="18"/>
          <w:lang w:val="fr-FR"/>
        </w:rPr>
        <w:t xml:space="preserve">.=objective. </w:t>
      </w:r>
      <w:proofErr w:type="spellStart"/>
      <w:r w:rsidRPr="000300C6">
        <w:rPr>
          <w:i/>
          <w:sz w:val="18"/>
          <w:szCs w:val="18"/>
          <w:lang w:val="fr-FR"/>
        </w:rPr>
        <w:t>Mgt</w:t>
      </w:r>
      <w:proofErr w:type="spellEnd"/>
      <w:r w:rsidRPr="000300C6">
        <w:rPr>
          <w:i/>
          <w:sz w:val="18"/>
          <w:szCs w:val="18"/>
          <w:lang w:val="fr-FR"/>
        </w:rPr>
        <w:t xml:space="preserve">=management. Max=maximum. Composite max=maximum </w:t>
      </w:r>
    </w:p>
    <w:p w14:paraId="254B18A9" w14:textId="6028C11E" w:rsidR="00C46D41" w:rsidRPr="000300C6" w:rsidRDefault="00C46D41" w:rsidP="00C46D41">
      <w:pPr>
        <w:spacing w:after="0"/>
        <w:jc w:val="center"/>
        <w:rPr>
          <w:sz w:val="18"/>
          <w:szCs w:val="18"/>
          <w:lang w:val="en-US"/>
        </w:rPr>
      </w:pPr>
      <w:r w:rsidRPr="000300C6">
        <w:rPr>
          <w:i/>
          <w:sz w:val="18"/>
          <w:szCs w:val="18"/>
          <w:lang w:val="en-US"/>
        </w:rPr>
        <w:t xml:space="preserve">of composite score including all </w:t>
      </w:r>
      <w:r w:rsidR="00814988" w:rsidRPr="000300C6">
        <w:rPr>
          <w:i/>
          <w:sz w:val="18"/>
          <w:szCs w:val="18"/>
          <w:lang w:val="en-US"/>
        </w:rPr>
        <w:t>CRO</w:t>
      </w:r>
      <w:r w:rsidRPr="000300C6">
        <w:rPr>
          <w:i/>
          <w:sz w:val="18"/>
          <w:szCs w:val="18"/>
          <w:lang w:val="en-US"/>
        </w:rPr>
        <w:t xml:space="preserve"> endpoints. Higher scores represent more symptoms.</w:t>
      </w:r>
    </w:p>
    <w:p w14:paraId="0E965C5F" w14:textId="42AA7810" w:rsidR="007341ED" w:rsidRPr="000300C6" w:rsidRDefault="007341ED" w:rsidP="007341ED">
      <w:pPr>
        <w:spacing w:line="360" w:lineRule="auto"/>
        <w:jc w:val="both"/>
        <w:rPr>
          <w:b/>
          <w:sz w:val="28"/>
          <w:szCs w:val="28"/>
          <w:lang w:val="en-US"/>
        </w:rPr>
      </w:pPr>
    </w:p>
    <w:p w14:paraId="6CA53CE8" w14:textId="77777777" w:rsidR="00C46D41" w:rsidRPr="000300C6" w:rsidRDefault="00C46D41" w:rsidP="00C46D41">
      <w:pPr>
        <w:spacing w:after="0"/>
        <w:jc w:val="center"/>
      </w:pPr>
      <w:r w:rsidRPr="000300C6">
        <w:rPr>
          <w:noProof/>
          <w:lang w:eastAsia="pt-PT"/>
        </w:rPr>
        <w:lastRenderedPageBreak/>
        <w:drawing>
          <wp:inline distT="0" distB="0" distL="0" distR="0" wp14:anchorId="58392D9A" wp14:editId="2497516D">
            <wp:extent cx="4434840" cy="2872740"/>
            <wp:effectExtent l="0" t="0" r="3810" b="3810"/>
            <wp:docPr id="3" name="Chart 3">
              <a:extLst xmlns:a="http://schemas.openxmlformats.org/drawingml/2006/main">
                <a:ext uri="{FF2B5EF4-FFF2-40B4-BE49-F238E27FC236}">
                  <a16:creationId xmlns:a16="http://schemas.microsoft.com/office/drawing/2014/main" id="{1D6046C4-B39D-4813-B3A2-96C98D30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1E8E17" w14:textId="1B53596A" w:rsidR="00C46D41" w:rsidRPr="000300C6" w:rsidRDefault="00C46D41" w:rsidP="00C46D41">
      <w:pPr>
        <w:spacing w:after="0"/>
        <w:jc w:val="center"/>
        <w:rPr>
          <w:sz w:val="18"/>
          <w:szCs w:val="18"/>
          <w:lang w:val="en-US"/>
        </w:rPr>
      </w:pPr>
      <w:r w:rsidRPr="000300C6">
        <w:rPr>
          <w:b/>
          <w:sz w:val="18"/>
          <w:szCs w:val="18"/>
        </w:rPr>
        <w:t>S</w:t>
      </w:r>
      <w:proofErr w:type="spellStart"/>
      <w:r w:rsidRPr="000300C6">
        <w:rPr>
          <w:b/>
          <w:sz w:val="18"/>
          <w:szCs w:val="18"/>
          <w:lang w:val="en-US"/>
        </w:rPr>
        <w:t>upplementary</w:t>
      </w:r>
      <w:proofErr w:type="spellEnd"/>
      <w:r w:rsidRPr="000300C6">
        <w:rPr>
          <w:b/>
          <w:sz w:val="18"/>
          <w:szCs w:val="18"/>
          <w:lang w:val="en-US"/>
        </w:rPr>
        <w:t xml:space="preserve"> figure 2.b.1-2:</w:t>
      </w:r>
      <w:r w:rsidRPr="000300C6">
        <w:rPr>
          <w:sz w:val="18"/>
          <w:szCs w:val="18"/>
          <w:lang w:val="en-US"/>
        </w:rPr>
        <w:t xml:space="preserve"> Clinician-reported historical toxicity (since 6 months post-radiotherapy) </w:t>
      </w:r>
    </w:p>
    <w:p w14:paraId="213DBAEF" w14:textId="268992F0" w:rsidR="00C46D41" w:rsidRPr="000300C6" w:rsidRDefault="00C46D41" w:rsidP="00C46D41">
      <w:pPr>
        <w:spacing w:after="0"/>
        <w:jc w:val="center"/>
        <w:rPr>
          <w:sz w:val="18"/>
          <w:szCs w:val="18"/>
          <w:lang w:val="en-US"/>
        </w:rPr>
      </w:pPr>
      <w:r w:rsidRPr="000300C6">
        <w:rPr>
          <w:sz w:val="18"/>
          <w:szCs w:val="18"/>
          <w:lang w:val="en-US"/>
        </w:rPr>
        <w:t>In the late cohort</w:t>
      </w:r>
      <w:r w:rsidRPr="000300C6">
        <w:rPr>
          <w:i/>
          <w:sz w:val="18"/>
          <w:szCs w:val="18"/>
          <w:lang w:val="en-US"/>
        </w:rPr>
        <w:t>. Higher scores represent more symptoms.</w:t>
      </w:r>
    </w:p>
    <w:p w14:paraId="20CCD21C" w14:textId="2898D180" w:rsidR="00C46D41" w:rsidRPr="000300C6" w:rsidRDefault="00C46D41" w:rsidP="007341ED">
      <w:pPr>
        <w:spacing w:line="360" w:lineRule="auto"/>
        <w:jc w:val="both"/>
        <w:rPr>
          <w:b/>
          <w:sz w:val="28"/>
          <w:szCs w:val="28"/>
          <w:lang w:val="en-US"/>
        </w:rPr>
      </w:pPr>
    </w:p>
    <w:p w14:paraId="243E0F36" w14:textId="082B18F2" w:rsidR="004605EC" w:rsidRPr="000300C6" w:rsidRDefault="004605EC" w:rsidP="004605EC">
      <w:pPr>
        <w:spacing w:after="0"/>
        <w:jc w:val="center"/>
      </w:pPr>
      <w:r w:rsidRPr="000300C6">
        <w:rPr>
          <w:noProof/>
        </w:rPr>
        <w:drawing>
          <wp:inline distT="0" distB="0" distL="0" distR="0" wp14:anchorId="7868B6BB" wp14:editId="108FE1A6">
            <wp:extent cx="4572000" cy="2743200"/>
            <wp:effectExtent l="0" t="0" r="0" b="0"/>
            <wp:docPr id="4" name="Chart 4">
              <a:extLst xmlns:a="http://schemas.openxmlformats.org/drawingml/2006/main">
                <a:ext uri="{FF2B5EF4-FFF2-40B4-BE49-F238E27FC236}">
                  <a16:creationId xmlns:a16="http://schemas.microsoft.com/office/drawing/2014/main" id="{77083DC1-8F45-4760-837D-93E46CEA3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DA4CA0" w14:textId="18A62322" w:rsidR="004605EC" w:rsidRPr="000300C6" w:rsidRDefault="00280863" w:rsidP="004605EC">
      <w:pPr>
        <w:spacing w:after="0"/>
        <w:jc w:val="center"/>
        <w:rPr>
          <w:i/>
          <w:sz w:val="18"/>
          <w:szCs w:val="18"/>
          <w:lang w:val="en-US"/>
        </w:rPr>
      </w:pPr>
      <w:r w:rsidRPr="000300C6">
        <w:rPr>
          <w:b/>
          <w:sz w:val="18"/>
          <w:szCs w:val="18"/>
        </w:rPr>
        <w:t>S</w:t>
      </w:r>
      <w:proofErr w:type="spellStart"/>
      <w:r w:rsidRPr="000300C6">
        <w:rPr>
          <w:b/>
          <w:sz w:val="18"/>
          <w:szCs w:val="18"/>
          <w:lang w:val="en-US"/>
        </w:rPr>
        <w:t>upplementary</w:t>
      </w:r>
      <w:proofErr w:type="spellEnd"/>
      <w:r w:rsidRPr="000300C6">
        <w:rPr>
          <w:b/>
          <w:sz w:val="18"/>
          <w:szCs w:val="18"/>
          <w:lang w:val="en-US"/>
        </w:rPr>
        <w:t xml:space="preserve"> figure 2.b.2-</w:t>
      </w:r>
      <w:r w:rsidR="00FA38D9" w:rsidRPr="000300C6">
        <w:rPr>
          <w:b/>
          <w:sz w:val="18"/>
          <w:szCs w:val="18"/>
          <w:lang w:val="en-US"/>
        </w:rPr>
        <w:t>1</w:t>
      </w:r>
      <w:r w:rsidR="004605EC" w:rsidRPr="000300C6">
        <w:rPr>
          <w:b/>
          <w:sz w:val="18"/>
          <w:szCs w:val="18"/>
          <w:lang w:val="en-US"/>
        </w:rPr>
        <w:t>:</w:t>
      </w:r>
      <w:r w:rsidR="004605EC" w:rsidRPr="000300C6">
        <w:rPr>
          <w:sz w:val="18"/>
          <w:szCs w:val="18"/>
          <w:lang w:val="en-US"/>
        </w:rPr>
        <w:t xml:space="preserve"> Patient-reported </w:t>
      </w:r>
      <w:r w:rsidR="00422FF2" w:rsidRPr="000300C6">
        <w:rPr>
          <w:sz w:val="18"/>
          <w:szCs w:val="18"/>
          <w:lang w:val="en-US"/>
        </w:rPr>
        <w:t xml:space="preserve">actual </w:t>
      </w:r>
      <w:r w:rsidR="004605EC" w:rsidRPr="000300C6">
        <w:rPr>
          <w:sz w:val="18"/>
          <w:szCs w:val="18"/>
          <w:lang w:val="en-US"/>
        </w:rPr>
        <w:t xml:space="preserve">toxicity in </w:t>
      </w:r>
      <w:r w:rsidR="006F0831" w:rsidRPr="000300C6">
        <w:rPr>
          <w:sz w:val="18"/>
          <w:szCs w:val="18"/>
          <w:lang w:val="en-US"/>
        </w:rPr>
        <w:t>the late cohort</w:t>
      </w:r>
      <w:r w:rsidR="004605EC" w:rsidRPr="000300C6">
        <w:rPr>
          <w:i/>
          <w:sz w:val="18"/>
          <w:szCs w:val="18"/>
          <w:lang w:val="en-US"/>
        </w:rPr>
        <w:t xml:space="preserve">. </w:t>
      </w:r>
    </w:p>
    <w:p w14:paraId="114B4482" w14:textId="7B09F325" w:rsidR="004605EC" w:rsidRPr="000300C6" w:rsidRDefault="00661B9B" w:rsidP="004605EC">
      <w:pPr>
        <w:spacing w:after="0"/>
        <w:jc w:val="center"/>
        <w:rPr>
          <w:i/>
          <w:sz w:val="18"/>
          <w:szCs w:val="18"/>
          <w:lang w:val="en-US"/>
        </w:rPr>
      </w:pPr>
      <w:r w:rsidRPr="000300C6">
        <w:rPr>
          <w:i/>
          <w:sz w:val="18"/>
          <w:szCs w:val="18"/>
        </w:rPr>
        <w:t xml:space="preserve">Mean PRO score and standard deviation (error bar). </w:t>
      </w:r>
      <w:r w:rsidR="004605EC" w:rsidRPr="000300C6">
        <w:rPr>
          <w:i/>
          <w:sz w:val="18"/>
          <w:szCs w:val="18"/>
          <w:lang w:val="en-US"/>
        </w:rPr>
        <w:t>Higher scores reflect better function (less symptoms).</w:t>
      </w:r>
    </w:p>
    <w:p w14:paraId="12942901" w14:textId="4528E62E" w:rsidR="00103D0C" w:rsidRPr="000300C6" w:rsidRDefault="00103D0C" w:rsidP="00103D0C">
      <w:pPr>
        <w:spacing w:line="360" w:lineRule="auto"/>
        <w:jc w:val="both"/>
        <w:rPr>
          <w:b/>
          <w:sz w:val="28"/>
          <w:szCs w:val="28"/>
          <w:lang w:val="en-US"/>
        </w:rPr>
      </w:pPr>
    </w:p>
    <w:p w14:paraId="7AE4F271" w14:textId="77777777" w:rsidR="00280863" w:rsidRPr="000300C6" w:rsidRDefault="00280863" w:rsidP="00280863">
      <w:pPr>
        <w:spacing w:after="0"/>
        <w:jc w:val="center"/>
      </w:pPr>
      <w:r w:rsidRPr="000300C6">
        <w:rPr>
          <w:noProof/>
          <w:lang w:eastAsia="pt-PT"/>
        </w:rPr>
        <w:lastRenderedPageBreak/>
        <w:drawing>
          <wp:inline distT="0" distB="0" distL="0" distR="0" wp14:anchorId="133E7DDD" wp14:editId="5F6F48D9">
            <wp:extent cx="4267200" cy="2775857"/>
            <wp:effectExtent l="0" t="0" r="0" b="5715"/>
            <wp:docPr id="8" name="Chart 8">
              <a:extLst xmlns:a="http://schemas.openxmlformats.org/drawingml/2006/main">
                <a:ext uri="{FF2B5EF4-FFF2-40B4-BE49-F238E27FC236}">
                  <a16:creationId xmlns:a16="http://schemas.microsoft.com/office/drawing/2014/main" id="{BE60A0BE-3F33-4FEB-A743-A528FF450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35C087" w14:textId="77777777" w:rsidR="00280863" w:rsidRPr="000300C6" w:rsidRDefault="00280863" w:rsidP="00280863">
      <w:pPr>
        <w:spacing w:after="0"/>
        <w:jc w:val="center"/>
      </w:pPr>
      <w:r w:rsidRPr="000300C6">
        <w:rPr>
          <w:noProof/>
          <w:lang w:eastAsia="pt-PT"/>
        </w:rPr>
        <w:drawing>
          <wp:inline distT="0" distB="0" distL="0" distR="0" wp14:anchorId="4B4A8433" wp14:editId="04BE6A6E">
            <wp:extent cx="4267200" cy="2775857"/>
            <wp:effectExtent l="0" t="0" r="0" b="5715"/>
            <wp:docPr id="6" name="Chart 6">
              <a:extLst xmlns:a="http://schemas.openxmlformats.org/drawingml/2006/main">
                <a:ext uri="{FF2B5EF4-FFF2-40B4-BE49-F238E27FC236}">
                  <a16:creationId xmlns:a16="http://schemas.microsoft.com/office/drawing/2014/main" id="{1C3C084F-F95F-4740-AED1-E31E02BA8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27CF09" w14:textId="389E8C0B" w:rsidR="00280863" w:rsidRPr="000300C6" w:rsidRDefault="00280863" w:rsidP="00280863">
      <w:pPr>
        <w:spacing w:after="0"/>
        <w:jc w:val="center"/>
        <w:rPr>
          <w:sz w:val="18"/>
          <w:szCs w:val="18"/>
          <w:lang w:val="en-US"/>
        </w:rPr>
      </w:pPr>
      <w:r w:rsidRPr="000300C6">
        <w:rPr>
          <w:b/>
          <w:sz w:val="18"/>
          <w:szCs w:val="18"/>
        </w:rPr>
        <w:t>S</w:t>
      </w:r>
      <w:proofErr w:type="spellStart"/>
      <w:r w:rsidRPr="000300C6">
        <w:rPr>
          <w:b/>
          <w:sz w:val="18"/>
          <w:szCs w:val="18"/>
          <w:lang w:val="en-US"/>
        </w:rPr>
        <w:t>upplementary</w:t>
      </w:r>
      <w:proofErr w:type="spellEnd"/>
      <w:r w:rsidRPr="000300C6">
        <w:rPr>
          <w:b/>
          <w:sz w:val="18"/>
          <w:szCs w:val="18"/>
          <w:lang w:val="en-US"/>
        </w:rPr>
        <w:t xml:space="preserve"> figure 2.b.2-2:</w:t>
      </w:r>
      <w:r w:rsidRPr="000300C6">
        <w:rPr>
          <w:sz w:val="18"/>
          <w:szCs w:val="18"/>
          <w:lang w:val="en-US"/>
        </w:rPr>
        <w:t xml:space="preserve"> Patient-reported historical bowel distress (A) and bowel problem (B) in the early cohort</w:t>
      </w:r>
      <w:r w:rsidRPr="000300C6">
        <w:rPr>
          <w:i/>
          <w:sz w:val="18"/>
          <w:szCs w:val="18"/>
          <w:lang w:val="en-US"/>
        </w:rPr>
        <w:t>. Higher scores represent more symptoms.</w:t>
      </w:r>
    </w:p>
    <w:p w14:paraId="4D135D09" w14:textId="1D02B7FD" w:rsidR="00280863" w:rsidRPr="000300C6" w:rsidRDefault="00280863" w:rsidP="00103D0C">
      <w:pPr>
        <w:spacing w:line="360" w:lineRule="auto"/>
        <w:jc w:val="both"/>
        <w:rPr>
          <w:b/>
          <w:sz w:val="28"/>
          <w:szCs w:val="28"/>
          <w:lang w:val="en-US"/>
        </w:rPr>
      </w:pPr>
    </w:p>
    <w:p w14:paraId="16C09F6C" w14:textId="77777777" w:rsidR="006B1AEA" w:rsidRPr="000300C6" w:rsidRDefault="006B1AEA" w:rsidP="006B1AEA">
      <w:pPr>
        <w:spacing w:after="0"/>
        <w:jc w:val="center"/>
        <w:rPr>
          <w:noProof/>
        </w:rPr>
      </w:pPr>
      <w:r w:rsidRPr="000300C6">
        <w:rPr>
          <w:noProof/>
          <w:lang w:eastAsia="pt-PT"/>
        </w:rPr>
        <w:lastRenderedPageBreak/>
        <w:drawing>
          <wp:inline distT="0" distB="0" distL="0" distR="0" wp14:anchorId="34ACEF90" wp14:editId="696F30F7">
            <wp:extent cx="5212080" cy="2910840"/>
            <wp:effectExtent l="0" t="0" r="7620" b="3810"/>
            <wp:docPr id="251" name="Chart 251">
              <a:extLst xmlns:a="http://schemas.openxmlformats.org/drawingml/2006/main">
                <a:ext uri="{FF2B5EF4-FFF2-40B4-BE49-F238E27FC236}">
                  <a16:creationId xmlns:a16="http://schemas.microsoft.com/office/drawing/2014/main" id="{35C072A2-75A4-40F8-8EA9-EF93BD754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B0C0AE" w14:textId="77777777" w:rsidR="006B1AEA" w:rsidRPr="000300C6" w:rsidRDefault="006B1AEA" w:rsidP="006B1AEA">
      <w:pPr>
        <w:keepNext/>
        <w:spacing w:after="0"/>
        <w:jc w:val="center"/>
      </w:pPr>
      <w:r w:rsidRPr="000300C6">
        <w:rPr>
          <w:noProof/>
          <w:lang w:eastAsia="pt-PT"/>
        </w:rPr>
        <w:drawing>
          <wp:inline distT="0" distB="0" distL="0" distR="0" wp14:anchorId="69B662C6" wp14:editId="14F8271D">
            <wp:extent cx="5215890" cy="3124200"/>
            <wp:effectExtent l="0" t="0" r="3810" b="0"/>
            <wp:docPr id="252" name="Chart 252">
              <a:extLst xmlns:a="http://schemas.openxmlformats.org/drawingml/2006/main">
                <a:ext uri="{FF2B5EF4-FFF2-40B4-BE49-F238E27FC236}">
                  <a16:creationId xmlns:a16="http://schemas.microsoft.com/office/drawing/2014/main" id="{5F2A622B-99DB-4DFB-B53D-B696C0E7A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DCDA3B" w14:textId="78EF02A4" w:rsidR="006B1AEA" w:rsidRPr="000300C6" w:rsidRDefault="006B1AEA" w:rsidP="006B1AEA">
      <w:pPr>
        <w:pStyle w:val="Caption"/>
        <w:rPr>
          <w:b w:val="0"/>
          <w:noProof/>
        </w:rPr>
      </w:pPr>
      <w:bookmarkStart w:id="3" w:name="_Toc515981607"/>
      <w:r w:rsidRPr="000300C6">
        <w:rPr>
          <w:lang w:val="pt-PT"/>
        </w:rPr>
        <w:t>Supplementary f</w:t>
      </w:r>
      <w:proofErr w:type="spellStart"/>
      <w:r w:rsidRPr="000300C6">
        <w:t>igure</w:t>
      </w:r>
      <w:proofErr w:type="spellEnd"/>
      <w:r w:rsidRPr="000300C6">
        <w:rPr>
          <w:noProof/>
        </w:rPr>
        <w:t xml:space="preserve"> 2.b.3</w:t>
      </w:r>
      <w:r w:rsidRPr="000300C6">
        <w:t xml:space="preserve">: </w:t>
      </w:r>
      <w:r w:rsidRPr="000300C6">
        <w:rPr>
          <w:b w:val="0"/>
        </w:rPr>
        <w:t xml:space="preserve">Differences in (A) mean portions per week of meat (p=0.28), fish (p=0.48), vegetables (p=0.42) and cereals (p=0.35); and (B) mean grams of alcohol per week (p=0.83) according to </w:t>
      </w:r>
      <w:r w:rsidR="00814988" w:rsidRPr="000300C6">
        <w:rPr>
          <w:b w:val="0"/>
        </w:rPr>
        <w:t>CRO</w:t>
      </w:r>
      <w:r w:rsidRPr="000300C6">
        <w:rPr>
          <w:b w:val="0"/>
        </w:rPr>
        <w:t xml:space="preserve"> maximum.</w:t>
      </w:r>
      <w:bookmarkEnd w:id="3"/>
    </w:p>
    <w:p w14:paraId="0C591551" w14:textId="77777777" w:rsidR="006B1AEA" w:rsidRPr="000300C6" w:rsidRDefault="006B1AEA" w:rsidP="00103D0C">
      <w:pPr>
        <w:spacing w:line="360" w:lineRule="auto"/>
        <w:jc w:val="both"/>
        <w:rPr>
          <w:b/>
          <w:sz w:val="28"/>
          <w:szCs w:val="28"/>
          <w:lang w:val="en-GB"/>
        </w:rPr>
      </w:pPr>
    </w:p>
    <w:p w14:paraId="31CD3965" w14:textId="77777777" w:rsidR="001B4FA0" w:rsidRPr="000300C6" w:rsidRDefault="001B4FA0">
      <w:pPr>
        <w:spacing w:after="160" w:line="259" w:lineRule="auto"/>
        <w:rPr>
          <w:rFonts w:eastAsia="Times New Roman"/>
          <w:b/>
          <w:sz w:val="24"/>
          <w:szCs w:val="24"/>
          <w:lang w:eastAsia="en-GB"/>
        </w:rPr>
      </w:pPr>
      <w:r w:rsidRPr="000300C6">
        <w:rPr>
          <w:rFonts w:eastAsia="Times New Roman"/>
          <w:b/>
          <w:sz w:val="24"/>
          <w:szCs w:val="24"/>
          <w:lang w:eastAsia="en-GB"/>
        </w:rPr>
        <w:br w:type="page"/>
      </w:r>
    </w:p>
    <w:p w14:paraId="48BD797B" w14:textId="7D689FF3" w:rsidR="00CD3BD9" w:rsidRPr="000300C6" w:rsidRDefault="00CD3BD9" w:rsidP="00CD3BD9">
      <w:pPr>
        <w:spacing w:line="360" w:lineRule="auto"/>
        <w:ind w:firstLine="720"/>
        <w:jc w:val="both"/>
        <w:rPr>
          <w:rFonts w:eastAsia="Times New Roman"/>
          <w:b/>
          <w:sz w:val="24"/>
          <w:szCs w:val="24"/>
          <w:lang w:eastAsia="en-GB"/>
        </w:rPr>
      </w:pPr>
      <w:r w:rsidRPr="000300C6">
        <w:rPr>
          <w:rFonts w:eastAsia="Times New Roman"/>
          <w:b/>
          <w:sz w:val="24"/>
          <w:szCs w:val="24"/>
          <w:lang w:eastAsia="en-GB"/>
        </w:rPr>
        <w:lastRenderedPageBreak/>
        <w:t>2.</w:t>
      </w:r>
      <w:r w:rsidR="00FA38D9" w:rsidRPr="000300C6">
        <w:rPr>
          <w:rFonts w:eastAsia="Times New Roman"/>
          <w:b/>
          <w:sz w:val="24"/>
          <w:szCs w:val="24"/>
          <w:lang w:eastAsia="en-GB"/>
        </w:rPr>
        <w:t>c</w:t>
      </w:r>
      <w:r w:rsidRPr="000300C6">
        <w:rPr>
          <w:rFonts w:eastAsia="Times New Roman"/>
          <w:b/>
          <w:sz w:val="24"/>
          <w:szCs w:val="24"/>
          <w:lang w:eastAsia="en-GB"/>
        </w:rPr>
        <w:t xml:space="preserve"> – Symptoms and diet in the colonoscopy cohort</w:t>
      </w:r>
    </w:p>
    <w:p w14:paraId="27EA4684" w14:textId="52EEC40C" w:rsidR="00CD3BD9" w:rsidRPr="000300C6" w:rsidRDefault="00CD3BD9" w:rsidP="00CD3BD9">
      <w:pPr>
        <w:spacing w:line="480" w:lineRule="auto"/>
        <w:ind w:firstLine="720"/>
        <w:jc w:val="both"/>
        <w:rPr>
          <w:sz w:val="20"/>
          <w:szCs w:val="20"/>
          <w:u w:val="single"/>
        </w:rPr>
      </w:pPr>
      <w:r w:rsidRPr="000300C6">
        <w:rPr>
          <w:sz w:val="20"/>
          <w:szCs w:val="20"/>
          <w:u w:val="single"/>
        </w:rPr>
        <w:t>2.</w:t>
      </w:r>
      <w:r w:rsidR="00FA38D9" w:rsidRPr="000300C6">
        <w:rPr>
          <w:sz w:val="20"/>
          <w:szCs w:val="20"/>
          <w:u w:val="single"/>
        </w:rPr>
        <w:t>c</w:t>
      </w:r>
      <w:r w:rsidRPr="000300C6">
        <w:rPr>
          <w:sz w:val="20"/>
          <w:szCs w:val="20"/>
          <w:u w:val="single"/>
        </w:rPr>
        <w:t>.1 – Clinician-reported outcomes</w:t>
      </w:r>
    </w:p>
    <w:p w14:paraId="2708B78D" w14:textId="0010093D" w:rsidR="00CD3BD9" w:rsidRPr="000300C6" w:rsidRDefault="001D7453" w:rsidP="006C4962">
      <w:pPr>
        <w:spacing w:line="480" w:lineRule="auto"/>
        <w:jc w:val="both"/>
        <w:rPr>
          <w:sz w:val="20"/>
          <w:szCs w:val="20"/>
        </w:rPr>
      </w:pPr>
      <w:r w:rsidRPr="000300C6">
        <w:rPr>
          <w:sz w:val="20"/>
          <w:szCs w:val="20"/>
        </w:rPr>
        <w:t>Case subjects had significantly higher proctitis (p=0.02) and maximum toxicity (p=0.006), as well as trends for higher tenesmus (p=0.051), objective bleeding  (p=0.051) and maximum toxicity (p=0.06)</w:t>
      </w:r>
      <w:r w:rsidR="00661B9B" w:rsidRPr="000300C6">
        <w:rPr>
          <w:sz w:val="20"/>
          <w:szCs w:val="20"/>
        </w:rPr>
        <w:t xml:space="preserve"> when compared to controls</w:t>
      </w:r>
      <w:r w:rsidRPr="000300C6">
        <w:rPr>
          <w:sz w:val="20"/>
          <w:szCs w:val="20"/>
        </w:rPr>
        <w:t xml:space="preserve">. There was also a trend for higher diarrhoea </w:t>
      </w:r>
      <w:r w:rsidR="00FA38D9" w:rsidRPr="000300C6">
        <w:rPr>
          <w:sz w:val="20"/>
          <w:szCs w:val="20"/>
        </w:rPr>
        <w:t>(</w:t>
      </w:r>
      <w:r w:rsidRPr="000300C6">
        <w:rPr>
          <w:sz w:val="20"/>
          <w:szCs w:val="20"/>
        </w:rPr>
        <w:t>p=0.08).</w:t>
      </w:r>
      <w:r w:rsidR="00FA38D9" w:rsidRPr="000300C6">
        <w:rPr>
          <w:sz w:val="20"/>
          <w:szCs w:val="20"/>
        </w:rPr>
        <w:t xml:space="preserve"> Results are summarized in supplementary figure 2.c.1.</w:t>
      </w:r>
      <w:r w:rsidR="000C26A0" w:rsidRPr="000300C6">
        <w:rPr>
          <w:sz w:val="20"/>
          <w:szCs w:val="20"/>
        </w:rPr>
        <w:t xml:space="preserve"> Supplementary table 2.c.1 summarizes symptoms of case patients as reported by the specialist gastroenterology clinical team. </w:t>
      </w:r>
    </w:p>
    <w:p w14:paraId="7BDF4C35" w14:textId="04B8A886" w:rsidR="00661B9B" w:rsidRPr="000300C6" w:rsidRDefault="00661B9B" w:rsidP="00661B9B">
      <w:pPr>
        <w:spacing w:line="480" w:lineRule="auto"/>
        <w:ind w:firstLine="720"/>
        <w:jc w:val="both"/>
        <w:rPr>
          <w:sz w:val="20"/>
          <w:szCs w:val="20"/>
          <w:u w:val="single"/>
        </w:rPr>
      </w:pPr>
      <w:r w:rsidRPr="000300C6">
        <w:rPr>
          <w:sz w:val="20"/>
          <w:szCs w:val="20"/>
          <w:u w:val="single"/>
        </w:rPr>
        <w:t>2.c.2 – Patient-reported outcomes</w:t>
      </w:r>
    </w:p>
    <w:p w14:paraId="492FA28F" w14:textId="3E4440BD" w:rsidR="00661B9B" w:rsidRPr="000300C6" w:rsidRDefault="00661B9B" w:rsidP="00661B9B">
      <w:pPr>
        <w:spacing w:line="480" w:lineRule="auto"/>
        <w:jc w:val="both"/>
        <w:rPr>
          <w:rFonts w:eastAsia="Times New Roman"/>
          <w:sz w:val="20"/>
          <w:szCs w:val="20"/>
          <w:lang w:eastAsia="en-GB"/>
        </w:rPr>
      </w:pPr>
      <w:r w:rsidRPr="000300C6">
        <w:rPr>
          <w:rFonts w:eastAsia="Times New Roman"/>
          <w:sz w:val="20"/>
          <w:szCs w:val="20"/>
          <w:lang w:eastAsia="en-GB"/>
        </w:rPr>
        <w:t xml:space="preserve">Case subjects had a lower PRO scores than controls, with median scores of 61.5 (IQR: 54.5-64.5) and 63.5 (62.25-65.5) for cases and controls respectively (supplementary figure 2.c.2). This difference did not reach a difference of </w:t>
      </w:r>
      <w:r w:rsidRPr="000300C6">
        <w:rPr>
          <w:rFonts w:eastAsia="Times New Roman" w:cs="Calibri"/>
          <w:sz w:val="20"/>
          <w:szCs w:val="20"/>
          <w:lang w:eastAsia="en-GB"/>
        </w:rPr>
        <w:t>≥</w:t>
      </w:r>
      <w:r w:rsidRPr="000300C6">
        <w:rPr>
          <w:rFonts w:eastAsia="Times New Roman"/>
          <w:sz w:val="20"/>
          <w:szCs w:val="20"/>
          <w:lang w:eastAsia="en-GB"/>
        </w:rPr>
        <w:t>6 defined as clinically meaningful difference and was not statistically significant (p=0.3).</w:t>
      </w:r>
      <w:r w:rsidRPr="000300C6">
        <w:rPr>
          <w:rFonts w:eastAsia="Times New Roman"/>
          <w:sz w:val="20"/>
          <w:szCs w:val="20"/>
          <w:lang w:eastAsia="en-GB"/>
        </w:rPr>
        <w:fldChar w:fldCharType="begin" w:fldLock="1"/>
      </w:r>
      <w:r w:rsidRPr="000300C6">
        <w:rPr>
          <w:rFonts w:eastAsia="Times New Roman"/>
          <w:sz w:val="20"/>
          <w:szCs w:val="20"/>
          <w:lang w:eastAsia="en-GB"/>
        </w:rPr>
        <w:instrText>ADDIN CSL_CITATION {"citationItems":[{"id":"ITEM-1","itemData":{"DOI":"10.1016/S0140-6736(13)61648-7","ISSN":"1474-547X","PMID":"24067488","abstract":"BACKGROUND: Chronic gastrointestinal symptoms after pelvic radiotherapy are common, multifactorial in cause, and affect patients' quality of life. We assessed whether such patients could be helped if a practitioner followed an investigative and management algorithm, and whether outcomes differed by whether a nurse or a gastroenterologist led this algorithm-based care.\\n\\nMETHODS: For this three-arm randomised controlled trial we recruited patients (aged ≥18 years) from clinics in London, UK, with new-onset gastrointestinal symptoms persisting 6 months after pelvic radiotherapy. Using a computer-generated randomisation sequence, we randomly allocated patients to one of three groups (1:1:1; stratified by tumour site [urological, gynaecological, or gastrointestinal], and degree of bowel dysfunction [IBDQ-B score &lt;60 vs 60-70]): usual care (a detailed self-help booklet), gastroenterologist-led algorithm-based treatment, or nurse-led algorithm-based treatment. The primary endpoint was change in Inflammatory Bowel Disease Questionnaire-Bowel subset score (IBDQ-B) at 6 months, analysed by intention to treat. This trial is registered with ClinicalTrials.gov, number NCT00737230.\\n\\nFINDINGS: Between Nov 26, 2007, and Dec 12, 2011, we enrolled and randomly allocated 218 patients to treatment: 80 to the nurse group, 70 to the gastroenterologist group, and 68 to the booklet group (figure). Most had a baseline IBDQ-B score indicating moderate-to-severe symptoms. We recorded the following pair-wise mean difference in change in IBDQ-B score between groups: nurse versus booklet 4·12 (95% CI 0·04-8·19; p=0·04), gastroenterologist versus booklet 5·47 (1·14-9·81; p=0·01). Outcomes in the nurse group were not inferior to outcomes in the gastroenterologist group (mean difference 1·36, one sided 95% CI -1·48).\\n\\nINTERPRETATION: Patients given targeted intervention following a detailed clinical algorithm had better improvements in radiotherapy-induced gastrointestinal symptoms than did patients given usual care. Our findings suggest that, for most patients, this algorithm-based care can be given by a trained nurse.\\n\\nFUNDING: The National Institute for Health Research.","author":[{"dropping-particle":"","family":"Andreyev","given":"H Jervoise N","non-dropping-particle":"","parse-names":false,"suffix":""},{"dropping-particle":"","family":"Benton","given":"Barbara E","non-dropping-particle":"","parse-names":false,"suffix":""},{"dropping-particle":"","family":"Lalji","given":"Amyn","non-dropping-particle":"","parse-names":false,"suffix":""},{"dropping-particle":"","family":"Norton","given":"Christine","non-dropping-particle":"","parse-names":false,"suffix":""},{"dropping-particle":"","family":"Mohammed","given":"Kabir","non-dropping-particle":"","parse-names":false,"suffix":""},{"dropping-particle":"","family":"Gage","given":"Heather","non-dropping-particle":"","parse-names":false,"suffix":""},{"dropping-particle":"","family":"Pennert","given":"Kjell","non-dropping-particle":"","parse-names":false,"suffix":""},{"dropping-particle":"","family":"Lindsay","given":"James O","non-dropping-particle":"","parse-names":false,"suffix":""}],"container-title":"Lancet","id":"ITEM-1","issue":"9910","issued":{"date-parts":[["2013"]]},"page":"2084-92","title":"Algorithm-based management of patients with gastrointestinal symptoms in patients after pelvic radiation treatment (ORBIT): a randomised controlled trial.","type":"article-journal","volume":"382"},"uris":["http://www.mendeley.com/documents/?uuid=8fbf9a18-ce21-43ff-a7b2-ba5b2e599d8a"]}],"mendeley":{"formattedCitation":"&lt;sup&gt;6&lt;/sup&gt;","plainTextFormattedCitation":"6","previouslyFormattedCitation":"&lt;sup&gt;188&lt;/sup&gt;"},"properties":{"noteIndex":0},"schema":"https://github.com/citation-style-language/schema/raw/master/csl-citation.json"}</w:instrText>
      </w:r>
      <w:r w:rsidRPr="000300C6">
        <w:rPr>
          <w:rFonts w:eastAsia="Times New Roman"/>
          <w:sz w:val="20"/>
          <w:szCs w:val="20"/>
          <w:lang w:eastAsia="en-GB"/>
        </w:rPr>
        <w:fldChar w:fldCharType="separate"/>
      </w:r>
      <w:r w:rsidRPr="000300C6">
        <w:rPr>
          <w:rFonts w:eastAsia="Times New Roman"/>
          <w:noProof/>
          <w:sz w:val="20"/>
          <w:szCs w:val="20"/>
          <w:vertAlign w:val="superscript"/>
          <w:lang w:eastAsia="en-GB"/>
        </w:rPr>
        <w:t>6</w:t>
      </w:r>
      <w:r w:rsidRPr="000300C6">
        <w:rPr>
          <w:rFonts w:eastAsia="Times New Roman"/>
          <w:sz w:val="20"/>
          <w:szCs w:val="20"/>
          <w:lang w:eastAsia="en-GB"/>
        </w:rPr>
        <w:fldChar w:fldCharType="end"/>
      </w:r>
    </w:p>
    <w:p w14:paraId="1C67BCB1" w14:textId="7714F4A4" w:rsidR="00661B9B" w:rsidRPr="000300C6" w:rsidRDefault="00661B9B" w:rsidP="00661B9B">
      <w:pPr>
        <w:spacing w:line="480" w:lineRule="auto"/>
        <w:ind w:firstLine="720"/>
        <w:jc w:val="both"/>
        <w:rPr>
          <w:sz w:val="20"/>
          <w:szCs w:val="20"/>
          <w:u w:val="single"/>
        </w:rPr>
      </w:pPr>
      <w:r w:rsidRPr="000300C6">
        <w:rPr>
          <w:sz w:val="20"/>
          <w:szCs w:val="20"/>
          <w:u w:val="single"/>
        </w:rPr>
        <w:t>2.c.3 – Diet</w:t>
      </w:r>
    </w:p>
    <w:p w14:paraId="5B746C33" w14:textId="4ECF95A7" w:rsidR="00661B9B" w:rsidRPr="000300C6" w:rsidRDefault="00661B9B" w:rsidP="00661B9B">
      <w:pPr>
        <w:spacing w:line="480" w:lineRule="auto"/>
        <w:jc w:val="both"/>
        <w:rPr>
          <w:rFonts w:eastAsia="Times New Roman"/>
          <w:sz w:val="20"/>
          <w:szCs w:val="20"/>
          <w:lang w:eastAsia="en-GB"/>
        </w:rPr>
      </w:pPr>
      <w:r w:rsidRPr="000300C6">
        <w:rPr>
          <w:rFonts w:eastAsia="Times New Roman"/>
          <w:sz w:val="20"/>
          <w:szCs w:val="20"/>
          <w:lang w:eastAsia="en-GB"/>
        </w:rPr>
        <w:t>Except for one control subject, there were no other vegetarians. There were no significant differences in diet between the control and case populations (supplementary figure 2.c.3). However, alcohol consumption appeared higher in case subjects, although this was not significant (p=0.62).</w:t>
      </w:r>
    </w:p>
    <w:p w14:paraId="314A940B" w14:textId="77777777" w:rsidR="00B657DA" w:rsidRPr="000300C6" w:rsidRDefault="00B657DA" w:rsidP="00B657DA">
      <w:pPr>
        <w:keepNext/>
        <w:spacing w:after="0" w:line="300" w:lineRule="auto"/>
        <w:jc w:val="center"/>
      </w:pPr>
      <w:r w:rsidRPr="000300C6">
        <w:rPr>
          <w:noProof/>
        </w:rPr>
        <w:lastRenderedPageBreak/>
        <w:drawing>
          <wp:inline distT="0" distB="0" distL="0" distR="0" wp14:anchorId="4279B8CE" wp14:editId="52B39997">
            <wp:extent cx="5394960" cy="3474720"/>
            <wp:effectExtent l="0" t="0" r="15240" b="11430"/>
            <wp:docPr id="191" name="Chart 191">
              <a:extLst xmlns:a="http://schemas.openxmlformats.org/drawingml/2006/main">
                <a:ext uri="{FF2B5EF4-FFF2-40B4-BE49-F238E27FC236}">
                  <a16:creationId xmlns:a16="http://schemas.microsoft.com/office/drawing/2014/main" id="{5DD2A30D-B8AF-4135-8B08-DF1942903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1E323B" w14:textId="51581C07" w:rsidR="00B657DA" w:rsidRPr="000300C6" w:rsidRDefault="00B657DA" w:rsidP="00B657DA">
      <w:pPr>
        <w:pStyle w:val="Caption"/>
        <w:rPr>
          <w:rFonts w:eastAsia="Times New Roman"/>
          <w:lang w:eastAsia="en-GB"/>
        </w:rPr>
      </w:pPr>
      <w:bookmarkStart w:id="4" w:name="_Toc515981560"/>
      <w:r w:rsidRPr="000300C6">
        <w:t xml:space="preserve">Supplementary figure 2.c.1: </w:t>
      </w:r>
      <w:r w:rsidRPr="000300C6">
        <w:rPr>
          <w:b w:val="0"/>
        </w:rPr>
        <w:t xml:space="preserve">Mean clinician-reported bowel symptoms. </w:t>
      </w:r>
      <w:r w:rsidRPr="000300C6">
        <w:rPr>
          <w:rFonts w:eastAsia="Times New Roman"/>
          <w:b w:val="0"/>
          <w:i/>
          <w:lang w:eastAsia="en-GB"/>
        </w:rPr>
        <w:t>LS = LENT-SOM</w:t>
      </w:r>
      <w:r w:rsidRPr="000300C6">
        <w:rPr>
          <w:rFonts w:eastAsia="Times New Roman"/>
          <w:b w:val="0"/>
          <w:lang w:eastAsia="en-GB"/>
        </w:rPr>
        <w:t>.</w:t>
      </w:r>
      <w:bookmarkEnd w:id="4"/>
    </w:p>
    <w:p w14:paraId="47E18225" w14:textId="647820FA" w:rsidR="00B657DA" w:rsidRPr="000300C6" w:rsidRDefault="00B657DA" w:rsidP="006C4962">
      <w:pPr>
        <w:spacing w:line="480" w:lineRule="auto"/>
        <w:jc w:val="both"/>
        <w:rPr>
          <w:b/>
          <w:sz w:val="28"/>
          <w:szCs w:val="28"/>
        </w:rPr>
      </w:pPr>
    </w:p>
    <w:p w14:paraId="3E0795CE" w14:textId="77777777" w:rsidR="001B4FA0" w:rsidRPr="000300C6" w:rsidRDefault="001B4FA0">
      <w:pPr>
        <w:spacing w:after="160" w:line="259" w:lineRule="auto"/>
        <w:rPr>
          <w:b/>
          <w:sz w:val="18"/>
          <w:szCs w:val="18"/>
        </w:rPr>
      </w:pPr>
      <w:r w:rsidRPr="000300C6">
        <w:rPr>
          <w:b/>
          <w:sz w:val="18"/>
          <w:szCs w:val="18"/>
        </w:rPr>
        <w:br w:type="page"/>
      </w:r>
    </w:p>
    <w:p w14:paraId="77CC98A1" w14:textId="291FA4F2" w:rsidR="000C26A0" w:rsidRPr="000300C6" w:rsidRDefault="000C26A0" w:rsidP="000C26A0">
      <w:pPr>
        <w:spacing w:after="160" w:line="259" w:lineRule="auto"/>
        <w:jc w:val="center"/>
        <w:rPr>
          <w:sz w:val="18"/>
          <w:szCs w:val="18"/>
        </w:rPr>
      </w:pPr>
      <w:r w:rsidRPr="000300C6">
        <w:rPr>
          <w:b/>
          <w:sz w:val="18"/>
          <w:szCs w:val="18"/>
        </w:rPr>
        <w:lastRenderedPageBreak/>
        <w:t xml:space="preserve">Supplementary table 2.c.1: </w:t>
      </w:r>
      <w:r w:rsidRPr="000300C6">
        <w:rPr>
          <w:sz w:val="18"/>
          <w:szCs w:val="18"/>
        </w:rPr>
        <w:t>Symptoms and diagnoses made by the gastroenterology team for case patients.</w:t>
      </w:r>
    </w:p>
    <w:tbl>
      <w:tblPr>
        <w:tblStyle w:val="PlainTable4"/>
        <w:tblW w:w="0" w:type="auto"/>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05"/>
        <w:gridCol w:w="3005"/>
        <w:gridCol w:w="3006"/>
      </w:tblGrid>
      <w:tr w:rsidR="000C26A0" w:rsidRPr="000300C6" w14:paraId="07264E93" w14:textId="77777777" w:rsidTr="006B2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right w:val="single" w:sz="4" w:space="0" w:color="auto"/>
            </w:tcBorders>
            <w:vAlign w:val="center"/>
          </w:tcPr>
          <w:p w14:paraId="7F085AC9" w14:textId="77777777" w:rsidR="000C26A0" w:rsidRPr="000300C6" w:rsidRDefault="000C26A0" w:rsidP="006B2955">
            <w:pPr>
              <w:pStyle w:val="Caption"/>
              <w:rPr>
                <w:b/>
              </w:rPr>
            </w:pPr>
            <w:r w:rsidRPr="000300C6">
              <w:rPr>
                <w:b/>
              </w:rPr>
              <w:t>Trial ID</w:t>
            </w:r>
          </w:p>
        </w:tc>
        <w:tc>
          <w:tcPr>
            <w:tcW w:w="3005" w:type="dxa"/>
            <w:tcBorders>
              <w:top w:val="single" w:sz="4" w:space="0" w:color="auto"/>
              <w:left w:val="single" w:sz="4" w:space="0" w:color="auto"/>
              <w:bottom w:val="single" w:sz="4" w:space="0" w:color="auto"/>
              <w:right w:val="single" w:sz="4" w:space="0" w:color="auto"/>
            </w:tcBorders>
            <w:vAlign w:val="center"/>
          </w:tcPr>
          <w:p w14:paraId="7E8FCC6C" w14:textId="77777777" w:rsidR="000C26A0" w:rsidRPr="000300C6" w:rsidRDefault="000C26A0" w:rsidP="006B2955">
            <w:pPr>
              <w:pStyle w:val="Caption"/>
              <w:spacing w:before="40" w:after="40"/>
              <w:cnfStyle w:val="100000000000" w:firstRow="1" w:lastRow="0" w:firstColumn="0" w:lastColumn="0" w:oddVBand="0" w:evenVBand="0" w:oddHBand="0" w:evenHBand="0" w:firstRowFirstColumn="0" w:firstRowLastColumn="0" w:lastRowFirstColumn="0" w:lastRowLastColumn="0"/>
              <w:rPr>
                <w:b/>
              </w:rPr>
            </w:pPr>
            <w:r w:rsidRPr="000300C6">
              <w:rPr>
                <w:b/>
              </w:rPr>
              <w:t>Symptoms reported by clinical team prior to colonoscopy</w:t>
            </w:r>
          </w:p>
        </w:tc>
        <w:tc>
          <w:tcPr>
            <w:tcW w:w="3006" w:type="dxa"/>
            <w:tcBorders>
              <w:top w:val="single" w:sz="4" w:space="0" w:color="auto"/>
              <w:left w:val="single" w:sz="4" w:space="0" w:color="auto"/>
              <w:bottom w:val="single" w:sz="4" w:space="0" w:color="auto"/>
            </w:tcBorders>
            <w:vAlign w:val="center"/>
          </w:tcPr>
          <w:p w14:paraId="6DA251BA" w14:textId="77777777" w:rsidR="000C26A0" w:rsidRPr="000300C6" w:rsidRDefault="000C26A0" w:rsidP="006B2955">
            <w:pPr>
              <w:pStyle w:val="Caption"/>
              <w:spacing w:before="40" w:after="40"/>
              <w:cnfStyle w:val="100000000000" w:firstRow="1" w:lastRow="0" w:firstColumn="0" w:lastColumn="0" w:oddVBand="0" w:evenVBand="0" w:oddHBand="0" w:evenHBand="0" w:firstRowFirstColumn="0" w:firstRowLastColumn="0" w:lastRowFirstColumn="0" w:lastRowLastColumn="0"/>
              <w:rPr>
                <w:b/>
              </w:rPr>
            </w:pPr>
            <w:r w:rsidRPr="000300C6">
              <w:rPr>
                <w:b/>
              </w:rPr>
              <w:t>Diagnoses made by clinical team for each patient</w:t>
            </w:r>
          </w:p>
        </w:tc>
      </w:tr>
      <w:tr w:rsidR="000C26A0" w:rsidRPr="000300C6" w14:paraId="0D9D2769" w14:textId="77777777" w:rsidTr="006B2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right w:val="single" w:sz="4" w:space="0" w:color="auto"/>
            </w:tcBorders>
            <w:vAlign w:val="center"/>
          </w:tcPr>
          <w:p w14:paraId="63A11692" w14:textId="77777777" w:rsidR="000C26A0" w:rsidRPr="000300C6" w:rsidRDefault="000C26A0" w:rsidP="006B2955">
            <w:pPr>
              <w:pStyle w:val="Caption"/>
            </w:pPr>
            <w:r w:rsidRPr="000300C6">
              <w:t>3001</w:t>
            </w:r>
          </w:p>
        </w:tc>
        <w:tc>
          <w:tcPr>
            <w:tcW w:w="3005" w:type="dxa"/>
            <w:tcBorders>
              <w:top w:val="single" w:sz="4" w:space="0" w:color="auto"/>
              <w:left w:val="single" w:sz="4" w:space="0" w:color="auto"/>
              <w:right w:val="single" w:sz="4" w:space="0" w:color="auto"/>
            </w:tcBorders>
            <w:vAlign w:val="center"/>
          </w:tcPr>
          <w:p w14:paraId="35EBCF95"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Flatulence, faecal incontinence, steatorrhoea.</w:t>
            </w:r>
          </w:p>
        </w:tc>
        <w:tc>
          <w:tcPr>
            <w:tcW w:w="3006" w:type="dxa"/>
            <w:tcBorders>
              <w:top w:val="single" w:sz="4" w:space="0" w:color="auto"/>
              <w:left w:val="single" w:sz="4" w:space="0" w:color="auto"/>
            </w:tcBorders>
            <w:vAlign w:val="center"/>
          </w:tcPr>
          <w:p w14:paraId="32875A3A"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Mild bile acid malabsorption, and radiation proctopathy (</w:t>
            </w:r>
            <w:proofErr w:type="spellStart"/>
            <w:r w:rsidRPr="000300C6">
              <w:rPr>
                <w:b w:val="0"/>
              </w:rPr>
              <w:t>telangectasia</w:t>
            </w:r>
            <w:proofErr w:type="spellEnd"/>
            <w:r w:rsidRPr="000300C6">
              <w:rPr>
                <w:b w:val="0"/>
              </w:rPr>
              <w:t>) grade 1.</w:t>
            </w:r>
          </w:p>
        </w:tc>
      </w:tr>
      <w:tr w:rsidR="000C26A0" w:rsidRPr="000300C6" w14:paraId="7C835517" w14:textId="77777777" w:rsidTr="006B2955">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60FD8D6E" w14:textId="77777777" w:rsidR="000C26A0" w:rsidRPr="000300C6" w:rsidRDefault="000C26A0" w:rsidP="006B2955">
            <w:pPr>
              <w:pStyle w:val="Caption"/>
            </w:pPr>
            <w:r w:rsidRPr="000300C6">
              <w:t>3002</w:t>
            </w:r>
          </w:p>
        </w:tc>
        <w:tc>
          <w:tcPr>
            <w:tcW w:w="3005" w:type="dxa"/>
            <w:tcBorders>
              <w:left w:val="single" w:sz="4" w:space="0" w:color="auto"/>
              <w:right w:val="single" w:sz="4" w:space="0" w:color="auto"/>
            </w:tcBorders>
            <w:vAlign w:val="center"/>
          </w:tcPr>
          <w:p w14:paraId="7A27AE31"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Erratic bowel function with intermittent rectal mucus discharge, faecal incontinence, tenesmus, urgency, borborygmi.</w:t>
            </w:r>
          </w:p>
        </w:tc>
        <w:tc>
          <w:tcPr>
            <w:tcW w:w="3006" w:type="dxa"/>
            <w:tcBorders>
              <w:left w:val="single" w:sz="4" w:space="0" w:color="auto"/>
            </w:tcBorders>
            <w:vAlign w:val="center"/>
          </w:tcPr>
          <w:p w14:paraId="5F5289F5"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Radiation proctopathy (</w:t>
            </w:r>
            <w:proofErr w:type="spellStart"/>
            <w:r w:rsidRPr="000300C6">
              <w:rPr>
                <w:b w:val="0"/>
              </w:rPr>
              <w:t>telangectasia</w:t>
            </w:r>
            <w:proofErr w:type="spellEnd"/>
            <w:r w:rsidRPr="000300C6">
              <w:rPr>
                <w:b w:val="0"/>
              </w:rPr>
              <w:t>) grade 1, no other diagnoses.</w:t>
            </w:r>
          </w:p>
        </w:tc>
      </w:tr>
      <w:tr w:rsidR="000C26A0" w:rsidRPr="000300C6" w14:paraId="43CEE25A" w14:textId="77777777" w:rsidTr="006B2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5564526F" w14:textId="77777777" w:rsidR="000C26A0" w:rsidRPr="000300C6" w:rsidRDefault="000C26A0" w:rsidP="006B2955">
            <w:pPr>
              <w:pStyle w:val="Caption"/>
            </w:pPr>
            <w:r w:rsidRPr="000300C6">
              <w:t>3003</w:t>
            </w:r>
          </w:p>
        </w:tc>
        <w:tc>
          <w:tcPr>
            <w:tcW w:w="3005" w:type="dxa"/>
            <w:tcBorders>
              <w:left w:val="single" w:sz="4" w:space="0" w:color="auto"/>
              <w:right w:val="single" w:sz="4" w:space="0" w:color="auto"/>
            </w:tcBorders>
            <w:vAlign w:val="center"/>
          </w:tcPr>
          <w:p w14:paraId="04BB4891"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Stool frequency 6 times/day, urgency, tenesmus, faecal incontinence, excessive flatulence, borborygmi.</w:t>
            </w:r>
          </w:p>
        </w:tc>
        <w:tc>
          <w:tcPr>
            <w:tcW w:w="3006" w:type="dxa"/>
            <w:tcBorders>
              <w:left w:val="single" w:sz="4" w:space="0" w:color="auto"/>
            </w:tcBorders>
            <w:vAlign w:val="center"/>
          </w:tcPr>
          <w:p w14:paraId="1FDB86CB"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Small intestinal bacterial overgrowth, excessive fibre intake, and radiation proctopathy (</w:t>
            </w:r>
            <w:proofErr w:type="spellStart"/>
            <w:r w:rsidRPr="000300C6">
              <w:rPr>
                <w:b w:val="0"/>
              </w:rPr>
              <w:t>telangectasia</w:t>
            </w:r>
            <w:proofErr w:type="spellEnd"/>
            <w:r w:rsidRPr="000300C6">
              <w:rPr>
                <w:b w:val="0"/>
              </w:rPr>
              <w:t>) grade 1.</w:t>
            </w:r>
          </w:p>
        </w:tc>
      </w:tr>
      <w:tr w:rsidR="000C26A0" w:rsidRPr="000300C6" w14:paraId="198BE73D" w14:textId="77777777" w:rsidTr="006B2955">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72CE70E8" w14:textId="77777777" w:rsidR="000C26A0" w:rsidRPr="000300C6" w:rsidRDefault="000C26A0" w:rsidP="006B2955">
            <w:pPr>
              <w:pStyle w:val="Caption"/>
            </w:pPr>
            <w:r w:rsidRPr="000300C6">
              <w:t>3004</w:t>
            </w:r>
          </w:p>
        </w:tc>
        <w:tc>
          <w:tcPr>
            <w:tcW w:w="3005" w:type="dxa"/>
            <w:tcBorders>
              <w:left w:val="single" w:sz="4" w:space="0" w:color="auto"/>
              <w:right w:val="single" w:sz="4" w:space="0" w:color="auto"/>
            </w:tcBorders>
            <w:vAlign w:val="center"/>
          </w:tcPr>
          <w:p w14:paraId="74CE68CB"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Urgency, faecal incontinence, rectal bleeding, nocturnal defecation, bowel frequency (3-6 times/day).</w:t>
            </w:r>
          </w:p>
        </w:tc>
        <w:tc>
          <w:tcPr>
            <w:tcW w:w="3006" w:type="dxa"/>
            <w:tcBorders>
              <w:left w:val="single" w:sz="4" w:space="0" w:color="auto"/>
            </w:tcBorders>
            <w:vAlign w:val="center"/>
          </w:tcPr>
          <w:p w14:paraId="2D971EF8"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Pancreatic insufficiency, excessive fibre, and radiation proctopathy (</w:t>
            </w:r>
            <w:proofErr w:type="spellStart"/>
            <w:r w:rsidRPr="000300C6">
              <w:rPr>
                <w:b w:val="0"/>
              </w:rPr>
              <w:t>telangectasia</w:t>
            </w:r>
            <w:proofErr w:type="spellEnd"/>
            <w:r w:rsidRPr="000300C6">
              <w:rPr>
                <w:b w:val="0"/>
              </w:rPr>
              <w:t>) grade 2.</w:t>
            </w:r>
          </w:p>
        </w:tc>
      </w:tr>
      <w:tr w:rsidR="000C26A0" w:rsidRPr="000300C6" w14:paraId="756F2A88" w14:textId="77777777" w:rsidTr="006B2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2732CC27" w14:textId="77777777" w:rsidR="000C26A0" w:rsidRPr="000300C6" w:rsidRDefault="000C26A0" w:rsidP="006B2955">
            <w:pPr>
              <w:pStyle w:val="Caption"/>
            </w:pPr>
            <w:r w:rsidRPr="000300C6">
              <w:t>3006</w:t>
            </w:r>
          </w:p>
        </w:tc>
        <w:tc>
          <w:tcPr>
            <w:tcW w:w="3005" w:type="dxa"/>
            <w:tcBorders>
              <w:left w:val="single" w:sz="4" w:space="0" w:color="auto"/>
              <w:right w:val="single" w:sz="4" w:space="0" w:color="auto"/>
            </w:tcBorders>
            <w:vAlign w:val="center"/>
          </w:tcPr>
          <w:p w14:paraId="62CEC876" w14:textId="391AD768" w:rsidR="000C26A0" w:rsidRPr="000300C6" w:rsidRDefault="001C3D75"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P</w:t>
            </w:r>
            <w:r w:rsidR="000C26A0" w:rsidRPr="000300C6">
              <w:rPr>
                <w:b w:val="0"/>
              </w:rPr>
              <w:t>eri-anal pain and pruritus, tenesmus, mucus discharge, rectal bleeding.</w:t>
            </w:r>
          </w:p>
        </w:tc>
        <w:tc>
          <w:tcPr>
            <w:tcW w:w="3006" w:type="dxa"/>
            <w:tcBorders>
              <w:left w:val="single" w:sz="4" w:space="0" w:color="auto"/>
            </w:tcBorders>
            <w:vAlign w:val="center"/>
          </w:tcPr>
          <w:p w14:paraId="31ED3DF8"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Bile acid malabsorption + radiation proctopathy (</w:t>
            </w:r>
            <w:proofErr w:type="spellStart"/>
            <w:r w:rsidRPr="000300C6">
              <w:rPr>
                <w:b w:val="0"/>
              </w:rPr>
              <w:t>telangectasia</w:t>
            </w:r>
            <w:proofErr w:type="spellEnd"/>
            <w:r w:rsidRPr="000300C6">
              <w:rPr>
                <w:b w:val="0"/>
              </w:rPr>
              <w:t>) grade 2, and peri-anal radiation-induced ulcers.</w:t>
            </w:r>
          </w:p>
        </w:tc>
      </w:tr>
      <w:tr w:rsidR="000C26A0" w:rsidRPr="000300C6" w14:paraId="40FE0ECB" w14:textId="77777777" w:rsidTr="006B2955">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44BFA2A2" w14:textId="77777777" w:rsidR="000C26A0" w:rsidRPr="000300C6" w:rsidRDefault="000C26A0" w:rsidP="006B2955">
            <w:pPr>
              <w:pStyle w:val="Caption"/>
            </w:pPr>
            <w:r w:rsidRPr="000300C6">
              <w:t>3007</w:t>
            </w:r>
          </w:p>
        </w:tc>
        <w:tc>
          <w:tcPr>
            <w:tcW w:w="3005" w:type="dxa"/>
            <w:tcBorders>
              <w:left w:val="single" w:sz="4" w:space="0" w:color="auto"/>
              <w:right w:val="single" w:sz="4" w:space="0" w:color="auto"/>
            </w:tcBorders>
            <w:vAlign w:val="center"/>
          </w:tcPr>
          <w:p w14:paraId="06CF0B2E" w14:textId="3CBB07B1" w:rsidR="000C26A0" w:rsidRPr="000300C6" w:rsidRDefault="001C3D75"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A</w:t>
            </w:r>
            <w:r w:rsidR="000C26A0" w:rsidRPr="000300C6">
              <w:rPr>
                <w:b w:val="0"/>
              </w:rPr>
              <w:t>bdominal cramps, upper and lower abdominal pain, perianal discomfort, abdominal bloating, excessive flatulence, borborygmi, tenesmus, intermittent steatorrhoea, perianal pruritus, nocturnal defecation.</w:t>
            </w:r>
          </w:p>
        </w:tc>
        <w:tc>
          <w:tcPr>
            <w:tcW w:w="3006" w:type="dxa"/>
            <w:tcBorders>
              <w:left w:val="single" w:sz="4" w:space="0" w:color="auto"/>
            </w:tcBorders>
            <w:vAlign w:val="center"/>
          </w:tcPr>
          <w:p w14:paraId="4FEC8D85"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Small intestinal bacterial overgrowth, and radiation proctopathy (</w:t>
            </w:r>
            <w:proofErr w:type="spellStart"/>
            <w:r w:rsidRPr="000300C6">
              <w:rPr>
                <w:b w:val="0"/>
              </w:rPr>
              <w:t>telangectasia</w:t>
            </w:r>
            <w:proofErr w:type="spellEnd"/>
            <w:r w:rsidRPr="000300C6">
              <w:rPr>
                <w:b w:val="0"/>
              </w:rPr>
              <w:t>) grade 1.</w:t>
            </w:r>
          </w:p>
        </w:tc>
      </w:tr>
      <w:tr w:rsidR="000C26A0" w:rsidRPr="000300C6" w14:paraId="11865576" w14:textId="77777777" w:rsidTr="006B2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6D8A55AA" w14:textId="77777777" w:rsidR="000C26A0" w:rsidRPr="000300C6" w:rsidRDefault="000C26A0" w:rsidP="006B2955">
            <w:pPr>
              <w:pStyle w:val="Caption"/>
            </w:pPr>
            <w:r w:rsidRPr="000300C6">
              <w:t>3008</w:t>
            </w:r>
          </w:p>
        </w:tc>
        <w:tc>
          <w:tcPr>
            <w:tcW w:w="3005" w:type="dxa"/>
            <w:tcBorders>
              <w:left w:val="single" w:sz="4" w:space="0" w:color="auto"/>
              <w:right w:val="single" w:sz="4" w:space="0" w:color="auto"/>
            </w:tcBorders>
            <w:vAlign w:val="center"/>
          </w:tcPr>
          <w:p w14:paraId="6F054561" w14:textId="4DCE884D" w:rsidR="000C26A0" w:rsidRPr="000300C6" w:rsidRDefault="001C3D75"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U</w:t>
            </w:r>
            <w:r w:rsidR="000C26A0" w:rsidRPr="000300C6">
              <w:rPr>
                <w:b w:val="0"/>
              </w:rPr>
              <w:t>rgency, mucus discharge, bowel frequency (4-6 times/day).</w:t>
            </w:r>
          </w:p>
        </w:tc>
        <w:tc>
          <w:tcPr>
            <w:tcW w:w="3006" w:type="dxa"/>
            <w:tcBorders>
              <w:left w:val="single" w:sz="4" w:space="0" w:color="auto"/>
            </w:tcBorders>
            <w:vAlign w:val="center"/>
          </w:tcPr>
          <w:p w14:paraId="3843865C"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Excessive fibre intake, diverticular disease, and radiation proctopathy (</w:t>
            </w:r>
            <w:proofErr w:type="spellStart"/>
            <w:r w:rsidRPr="000300C6">
              <w:rPr>
                <w:b w:val="0"/>
              </w:rPr>
              <w:t>telangectasia</w:t>
            </w:r>
            <w:proofErr w:type="spellEnd"/>
            <w:r w:rsidRPr="000300C6">
              <w:rPr>
                <w:b w:val="0"/>
              </w:rPr>
              <w:t>) grade 1.</w:t>
            </w:r>
          </w:p>
        </w:tc>
      </w:tr>
      <w:tr w:rsidR="000C26A0" w:rsidRPr="000300C6" w14:paraId="7EBDB80F" w14:textId="77777777" w:rsidTr="006B2955">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698941C4" w14:textId="77777777" w:rsidR="000C26A0" w:rsidRPr="000300C6" w:rsidRDefault="000C26A0" w:rsidP="006B2955">
            <w:pPr>
              <w:pStyle w:val="Caption"/>
            </w:pPr>
            <w:r w:rsidRPr="000300C6">
              <w:t>3010</w:t>
            </w:r>
          </w:p>
        </w:tc>
        <w:tc>
          <w:tcPr>
            <w:tcW w:w="3005" w:type="dxa"/>
            <w:tcBorders>
              <w:left w:val="single" w:sz="4" w:space="0" w:color="auto"/>
              <w:right w:val="single" w:sz="4" w:space="0" w:color="auto"/>
            </w:tcBorders>
            <w:vAlign w:val="center"/>
          </w:tcPr>
          <w:p w14:paraId="51ACFB5B"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Urgency, tenesmus, abdominal cramps, occasional mucus discharge, occasional flatulence.</w:t>
            </w:r>
          </w:p>
        </w:tc>
        <w:tc>
          <w:tcPr>
            <w:tcW w:w="3006" w:type="dxa"/>
            <w:tcBorders>
              <w:left w:val="single" w:sz="4" w:space="0" w:color="auto"/>
            </w:tcBorders>
            <w:vAlign w:val="center"/>
          </w:tcPr>
          <w:p w14:paraId="7433B543" w14:textId="77777777" w:rsidR="000C26A0" w:rsidRPr="000300C6" w:rsidRDefault="000C26A0" w:rsidP="006B2955">
            <w:pPr>
              <w:pStyle w:val="Caption"/>
              <w:spacing w:before="40" w:after="40"/>
              <w:jc w:val="left"/>
              <w:cnfStyle w:val="000000000000" w:firstRow="0" w:lastRow="0" w:firstColumn="0" w:lastColumn="0" w:oddVBand="0" w:evenVBand="0" w:oddHBand="0" w:evenHBand="0" w:firstRowFirstColumn="0" w:firstRowLastColumn="0" w:lastRowFirstColumn="0" w:lastRowLastColumn="0"/>
              <w:rPr>
                <w:b w:val="0"/>
              </w:rPr>
            </w:pPr>
            <w:r w:rsidRPr="000300C6">
              <w:rPr>
                <w:b w:val="0"/>
              </w:rPr>
              <w:t>Radiation proctopathy (</w:t>
            </w:r>
            <w:proofErr w:type="spellStart"/>
            <w:r w:rsidRPr="000300C6">
              <w:rPr>
                <w:b w:val="0"/>
              </w:rPr>
              <w:t>telangectasia</w:t>
            </w:r>
            <w:proofErr w:type="spellEnd"/>
            <w:r w:rsidRPr="000300C6">
              <w:rPr>
                <w:b w:val="0"/>
              </w:rPr>
              <w:t>) grade 2, no other diagnoses.</w:t>
            </w:r>
          </w:p>
        </w:tc>
      </w:tr>
      <w:tr w:rsidR="000C26A0" w:rsidRPr="000300C6" w14:paraId="6B446655" w14:textId="77777777" w:rsidTr="006B29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vAlign w:val="center"/>
          </w:tcPr>
          <w:p w14:paraId="4F4B06DE" w14:textId="77777777" w:rsidR="000C26A0" w:rsidRPr="000300C6" w:rsidRDefault="000C26A0" w:rsidP="006B2955">
            <w:pPr>
              <w:pStyle w:val="Caption"/>
            </w:pPr>
            <w:r w:rsidRPr="000300C6">
              <w:t>3015</w:t>
            </w:r>
          </w:p>
        </w:tc>
        <w:tc>
          <w:tcPr>
            <w:tcW w:w="3005" w:type="dxa"/>
            <w:tcBorders>
              <w:left w:val="single" w:sz="4" w:space="0" w:color="auto"/>
              <w:bottom w:val="single" w:sz="4" w:space="0" w:color="auto"/>
              <w:right w:val="single" w:sz="4" w:space="0" w:color="auto"/>
            </w:tcBorders>
            <w:vAlign w:val="center"/>
          </w:tcPr>
          <w:p w14:paraId="0C535063"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Abdominal cramps, abdominal pain, perianal pain, excessive flatulence, borborygmi, tenesmus, bowel frequency 4 times/day</w:t>
            </w:r>
          </w:p>
        </w:tc>
        <w:tc>
          <w:tcPr>
            <w:tcW w:w="3006" w:type="dxa"/>
            <w:tcBorders>
              <w:left w:val="single" w:sz="4" w:space="0" w:color="auto"/>
              <w:bottom w:val="single" w:sz="4" w:space="0" w:color="auto"/>
            </w:tcBorders>
            <w:vAlign w:val="center"/>
          </w:tcPr>
          <w:p w14:paraId="733FA25B" w14:textId="77777777" w:rsidR="000C26A0" w:rsidRPr="000300C6" w:rsidRDefault="000C26A0" w:rsidP="006B2955">
            <w:pPr>
              <w:pStyle w:val="Caption"/>
              <w:spacing w:before="40" w:after="40"/>
              <w:jc w:val="left"/>
              <w:cnfStyle w:val="000000100000" w:firstRow="0" w:lastRow="0" w:firstColumn="0" w:lastColumn="0" w:oddVBand="0" w:evenVBand="0" w:oddHBand="1" w:evenHBand="0" w:firstRowFirstColumn="0" w:firstRowLastColumn="0" w:lastRowFirstColumn="0" w:lastRowLastColumn="0"/>
              <w:rPr>
                <w:b w:val="0"/>
              </w:rPr>
            </w:pPr>
            <w:r w:rsidRPr="000300C6">
              <w:rPr>
                <w:b w:val="0"/>
              </w:rPr>
              <w:t>Excessive fibre intake and radiation proctopathy (</w:t>
            </w:r>
            <w:proofErr w:type="spellStart"/>
            <w:r w:rsidRPr="000300C6">
              <w:rPr>
                <w:b w:val="0"/>
              </w:rPr>
              <w:t>telangectasia</w:t>
            </w:r>
            <w:proofErr w:type="spellEnd"/>
            <w:r w:rsidRPr="000300C6">
              <w:rPr>
                <w:b w:val="0"/>
              </w:rPr>
              <w:t>) grade 1.</w:t>
            </w:r>
          </w:p>
        </w:tc>
      </w:tr>
    </w:tbl>
    <w:p w14:paraId="6F95F347" w14:textId="77777777" w:rsidR="000C26A0" w:rsidRPr="000300C6" w:rsidRDefault="000C26A0" w:rsidP="006C4962">
      <w:pPr>
        <w:spacing w:line="480" w:lineRule="auto"/>
        <w:jc w:val="both"/>
        <w:rPr>
          <w:b/>
          <w:sz w:val="28"/>
          <w:szCs w:val="28"/>
        </w:rPr>
      </w:pPr>
    </w:p>
    <w:p w14:paraId="4F1A2554" w14:textId="77777777" w:rsidR="00661B9B" w:rsidRPr="000300C6" w:rsidRDefault="00661B9B" w:rsidP="00661B9B">
      <w:pPr>
        <w:keepNext/>
        <w:spacing w:after="0" w:line="300" w:lineRule="auto"/>
        <w:jc w:val="center"/>
      </w:pPr>
      <w:r w:rsidRPr="000300C6">
        <w:rPr>
          <w:noProof/>
        </w:rPr>
        <w:lastRenderedPageBreak/>
        <w:drawing>
          <wp:inline distT="0" distB="0" distL="0" distR="0" wp14:anchorId="0EDC45F3" wp14:editId="3173ECA9">
            <wp:extent cx="4572000" cy="2743200"/>
            <wp:effectExtent l="0" t="0" r="0" b="0"/>
            <wp:docPr id="190" name="Chart 190">
              <a:extLst xmlns:a="http://schemas.openxmlformats.org/drawingml/2006/main">
                <a:ext uri="{FF2B5EF4-FFF2-40B4-BE49-F238E27FC236}">
                  <a16:creationId xmlns:a16="http://schemas.microsoft.com/office/drawing/2014/main" id="{597C3DFE-9A21-4504-9F85-ED40D0219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16DAC3" w14:textId="28EBAA53" w:rsidR="00661B9B" w:rsidRPr="000300C6" w:rsidRDefault="00661B9B" w:rsidP="00661B9B">
      <w:pPr>
        <w:pStyle w:val="Caption"/>
        <w:rPr>
          <w:rFonts w:eastAsia="Times New Roman"/>
          <w:b w:val="0"/>
          <w:sz w:val="24"/>
          <w:szCs w:val="24"/>
          <w:lang w:eastAsia="en-GB"/>
        </w:rPr>
      </w:pPr>
      <w:bookmarkStart w:id="5" w:name="_Toc515981559"/>
      <w:r w:rsidRPr="000300C6">
        <w:t>Supplementary figure 2.c.2: Mean patient-reported bowel symptoms.</w:t>
      </w:r>
      <w:bookmarkEnd w:id="5"/>
    </w:p>
    <w:p w14:paraId="4BF54BE8" w14:textId="77777777" w:rsidR="006C1C17" w:rsidRPr="000300C6" w:rsidRDefault="00661B9B" w:rsidP="006C1C17">
      <w:pPr>
        <w:jc w:val="center"/>
        <w:rPr>
          <w:rFonts w:eastAsia="Times New Roman"/>
          <w:i/>
          <w:sz w:val="18"/>
          <w:szCs w:val="18"/>
          <w:lang w:eastAsia="en-GB"/>
        </w:rPr>
      </w:pPr>
      <w:r w:rsidRPr="000300C6">
        <w:rPr>
          <w:i/>
          <w:sz w:val="18"/>
          <w:szCs w:val="18"/>
        </w:rPr>
        <w:t>Mean PRO score and standard deviation (error bar).</w:t>
      </w:r>
      <w:r w:rsidRPr="000300C6">
        <w:rPr>
          <w:rFonts w:eastAsia="Times New Roman"/>
          <w:i/>
          <w:sz w:val="18"/>
          <w:szCs w:val="18"/>
          <w:lang w:eastAsia="en-GB"/>
        </w:rPr>
        <w:t xml:space="preserve"> Higher scores represent best intestinal function. </w:t>
      </w:r>
    </w:p>
    <w:p w14:paraId="3DD43F6B" w14:textId="77777777" w:rsidR="006C1C17" w:rsidRPr="000300C6" w:rsidRDefault="006C1C17" w:rsidP="006C1C17">
      <w:pPr>
        <w:jc w:val="center"/>
      </w:pPr>
    </w:p>
    <w:p w14:paraId="71179BEC" w14:textId="1C6DDD6C" w:rsidR="00661B9B" w:rsidRPr="000300C6" w:rsidRDefault="00661B9B" w:rsidP="006C1C17">
      <w:pPr>
        <w:jc w:val="center"/>
      </w:pPr>
      <w:r w:rsidRPr="000300C6">
        <w:rPr>
          <w:noProof/>
        </w:rPr>
        <w:lastRenderedPageBreak/>
        <w:drawing>
          <wp:inline distT="0" distB="0" distL="0" distR="0" wp14:anchorId="05467F02" wp14:editId="7C832107">
            <wp:extent cx="4267200" cy="2682240"/>
            <wp:effectExtent l="0" t="0" r="0" b="3810"/>
            <wp:docPr id="192" name="Chart 192">
              <a:extLst xmlns:a="http://schemas.openxmlformats.org/drawingml/2006/main">
                <a:ext uri="{FF2B5EF4-FFF2-40B4-BE49-F238E27FC236}">
                  <a16:creationId xmlns:a16="http://schemas.microsoft.com/office/drawing/2014/main" id="{B4128C82-C4E6-4956-AB87-004E1E350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300C6">
        <w:rPr>
          <w:noProof/>
        </w:rPr>
        <w:drawing>
          <wp:inline distT="0" distB="0" distL="0" distR="0" wp14:anchorId="4D96F750" wp14:editId="339A95F3">
            <wp:extent cx="4267200" cy="2682240"/>
            <wp:effectExtent l="0" t="0" r="0" b="3810"/>
            <wp:docPr id="193" name="Chart 193">
              <a:extLst xmlns:a="http://schemas.openxmlformats.org/drawingml/2006/main">
                <a:ext uri="{FF2B5EF4-FFF2-40B4-BE49-F238E27FC236}">
                  <a16:creationId xmlns:a16="http://schemas.microsoft.com/office/drawing/2014/main" id="{891152B3-E47B-4FA8-9E72-290C0AEB9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C59DE1" w14:textId="2E926E30" w:rsidR="00661B9B" w:rsidRPr="000300C6" w:rsidRDefault="00661B9B" w:rsidP="00661B9B">
      <w:pPr>
        <w:pStyle w:val="Caption"/>
        <w:rPr>
          <w:lang w:eastAsia="en-GB"/>
        </w:rPr>
      </w:pPr>
      <w:bookmarkStart w:id="6" w:name="_Toc515981561"/>
      <w:r w:rsidRPr="000300C6">
        <w:t xml:space="preserve">Supplementary figure 2.c.3: : </w:t>
      </w:r>
      <w:r w:rsidRPr="000300C6">
        <w:rPr>
          <w:b w:val="0"/>
        </w:rPr>
        <w:t xml:space="preserve">Mean diet scores (A) and alcohol consumption (B). </w:t>
      </w:r>
      <w:proofErr w:type="spellStart"/>
      <w:r w:rsidRPr="000300C6">
        <w:rPr>
          <w:b w:val="0"/>
          <w:lang w:eastAsia="en-GB"/>
        </w:rPr>
        <w:t>wk</w:t>
      </w:r>
      <w:proofErr w:type="spellEnd"/>
      <w:r w:rsidRPr="000300C6">
        <w:rPr>
          <w:b w:val="0"/>
          <w:lang w:eastAsia="en-GB"/>
        </w:rPr>
        <w:t xml:space="preserve"> = week. No significant differences were observed for meat (p=0.27), fish (p=0.71), vegetable (p=0.94), cereal (p=0.20), or alcohol (p=0.62).</w:t>
      </w:r>
      <w:bookmarkEnd w:id="6"/>
    </w:p>
    <w:p w14:paraId="43431E13" w14:textId="39030B98" w:rsidR="00661B9B" w:rsidRPr="000300C6" w:rsidRDefault="00661B9B" w:rsidP="006C4962">
      <w:pPr>
        <w:spacing w:line="480" w:lineRule="auto"/>
        <w:jc w:val="both"/>
        <w:rPr>
          <w:b/>
          <w:sz w:val="28"/>
          <w:szCs w:val="28"/>
          <w:lang w:val="en-GB"/>
        </w:rPr>
      </w:pPr>
    </w:p>
    <w:p w14:paraId="7732BF16" w14:textId="2482F803" w:rsidR="009F7341" w:rsidRPr="000300C6" w:rsidRDefault="009F7341" w:rsidP="009F7341">
      <w:pPr>
        <w:spacing w:line="360" w:lineRule="auto"/>
        <w:ind w:firstLine="720"/>
        <w:jc w:val="both"/>
        <w:rPr>
          <w:rFonts w:eastAsia="Times New Roman"/>
          <w:b/>
          <w:sz w:val="24"/>
          <w:szCs w:val="24"/>
          <w:lang w:eastAsia="en-GB"/>
        </w:rPr>
      </w:pPr>
      <w:r w:rsidRPr="000300C6">
        <w:rPr>
          <w:rFonts w:eastAsia="Times New Roman"/>
          <w:b/>
          <w:sz w:val="24"/>
          <w:szCs w:val="24"/>
          <w:lang w:eastAsia="en-GB"/>
        </w:rPr>
        <w:t>2.</w:t>
      </w:r>
      <w:r w:rsidR="006B1F91" w:rsidRPr="000300C6">
        <w:rPr>
          <w:rFonts w:eastAsia="Times New Roman"/>
          <w:b/>
          <w:sz w:val="24"/>
          <w:szCs w:val="24"/>
          <w:lang w:eastAsia="en-GB"/>
        </w:rPr>
        <w:t>d</w:t>
      </w:r>
      <w:r w:rsidRPr="000300C6">
        <w:rPr>
          <w:rFonts w:eastAsia="Times New Roman"/>
          <w:b/>
          <w:sz w:val="24"/>
          <w:szCs w:val="24"/>
          <w:lang w:eastAsia="en-GB"/>
        </w:rPr>
        <w:t xml:space="preserve"> – </w:t>
      </w:r>
      <w:r w:rsidR="006B1F91" w:rsidRPr="000300C6">
        <w:rPr>
          <w:rFonts w:eastAsia="Times New Roman"/>
          <w:b/>
          <w:sz w:val="24"/>
          <w:szCs w:val="24"/>
          <w:lang w:eastAsia="en-GB"/>
        </w:rPr>
        <w:t>Comparisons of microbiota features in the colonoscopy cohort</w:t>
      </w:r>
    </w:p>
    <w:p w14:paraId="0FE930FC" w14:textId="2F9A3843" w:rsidR="00A14C16" w:rsidRPr="00A14C16" w:rsidRDefault="00A14C16" w:rsidP="00A14C16">
      <w:pPr>
        <w:spacing w:after="160" w:line="480" w:lineRule="auto"/>
        <w:ind w:firstLine="720"/>
        <w:jc w:val="both"/>
        <w:rPr>
          <w:sz w:val="20"/>
          <w:szCs w:val="20"/>
          <w:u w:val="single"/>
        </w:rPr>
      </w:pPr>
      <w:r w:rsidRPr="00A14C16">
        <w:rPr>
          <w:sz w:val="20"/>
          <w:szCs w:val="20"/>
          <w:u w:val="single"/>
        </w:rPr>
        <w:t>2.</w:t>
      </w:r>
      <w:r>
        <w:rPr>
          <w:sz w:val="20"/>
          <w:szCs w:val="20"/>
          <w:u w:val="single"/>
        </w:rPr>
        <w:t>d</w:t>
      </w:r>
      <w:r w:rsidRPr="00A14C16">
        <w:rPr>
          <w:sz w:val="20"/>
          <w:szCs w:val="20"/>
          <w:u w:val="single"/>
        </w:rPr>
        <w:t xml:space="preserve">.1 – </w:t>
      </w:r>
      <w:r>
        <w:rPr>
          <w:rFonts w:cs="Calibri"/>
          <w:sz w:val="20"/>
          <w:szCs w:val="20"/>
          <w:u w:val="single"/>
        </w:rPr>
        <w:t>α</w:t>
      </w:r>
      <w:r>
        <w:rPr>
          <w:sz w:val="20"/>
          <w:szCs w:val="20"/>
          <w:u w:val="single"/>
        </w:rPr>
        <w:t>-d</w:t>
      </w:r>
      <w:r w:rsidRPr="00A14C16">
        <w:rPr>
          <w:sz w:val="20"/>
          <w:szCs w:val="20"/>
          <w:u w:val="single"/>
        </w:rPr>
        <w:t>iversity</w:t>
      </w:r>
    </w:p>
    <w:p w14:paraId="53C323F3" w14:textId="4C98294F" w:rsidR="00A14C16" w:rsidRPr="00A14C16" w:rsidRDefault="00A14C16" w:rsidP="00A14C16">
      <w:pPr>
        <w:spacing w:after="160" w:line="480" w:lineRule="auto"/>
        <w:jc w:val="both"/>
        <w:rPr>
          <w:sz w:val="20"/>
          <w:szCs w:val="20"/>
        </w:rPr>
      </w:pPr>
      <w:r w:rsidRPr="00A14C16">
        <w:rPr>
          <w:sz w:val="20"/>
          <w:szCs w:val="20"/>
        </w:rPr>
        <w:t>The Chao microbial α-diversity index was compared between intestinal mucosa and stool samples obtained from control and case subjects and is summarized in table 2</w:t>
      </w:r>
      <w:r>
        <w:rPr>
          <w:sz w:val="20"/>
          <w:szCs w:val="20"/>
        </w:rPr>
        <w:t>.a.1</w:t>
      </w:r>
      <w:r w:rsidRPr="00A14C16">
        <w:rPr>
          <w:sz w:val="20"/>
          <w:szCs w:val="20"/>
        </w:rPr>
        <w:t xml:space="preserve"> and figure 2</w:t>
      </w:r>
      <w:r>
        <w:rPr>
          <w:sz w:val="20"/>
          <w:szCs w:val="20"/>
        </w:rPr>
        <w:t>.a.1</w:t>
      </w:r>
      <w:r w:rsidRPr="00A14C16">
        <w:rPr>
          <w:sz w:val="20"/>
          <w:szCs w:val="20"/>
        </w:rPr>
        <w:t xml:space="preserve">. Microbial communities in stool samples appeared less diverse than communities in rectal biopsy samples, with median (IQR) Chao diversity of 54.1 (51.3-65.2) and 69.8 (67.6-73.8) in stools compared to 77 (59.3-117.1) and 76.4 (66-102.1) in rectal mucosa of cases and controls, respectively. This difference was not apparent when comparing the diversity of distal </w:t>
      </w:r>
      <w:r w:rsidRPr="00A14C16">
        <w:rPr>
          <w:sz w:val="20"/>
          <w:szCs w:val="20"/>
        </w:rPr>
        <w:lastRenderedPageBreak/>
        <w:t>sigmoid microbial communities (median: 52.3, IQR: 44.6-75.2) with stool diversity. However, when testing the significance of these observations, only the difference between stools and biopsies from the anterior rectal wall samples in cases showed a trend for significance (p=0.07).</w:t>
      </w:r>
    </w:p>
    <w:p w14:paraId="4F872E10" w14:textId="5C17BD78" w:rsidR="004B04F1" w:rsidRPr="004B04F1" w:rsidRDefault="004B04F1" w:rsidP="004B04F1">
      <w:pPr>
        <w:spacing w:after="160" w:line="480" w:lineRule="auto"/>
        <w:ind w:firstLine="720"/>
        <w:jc w:val="both"/>
        <w:rPr>
          <w:sz w:val="20"/>
          <w:szCs w:val="20"/>
          <w:u w:val="single"/>
        </w:rPr>
      </w:pPr>
      <w:r w:rsidRPr="004B04F1">
        <w:rPr>
          <w:sz w:val="20"/>
          <w:szCs w:val="20"/>
          <w:u w:val="single"/>
        </w:rPr>
        <w:t>2.d.</w:t>
      </w:r>
      <w:r w:rsidR="00A14C16">
        <w:rPr>
          <w:sz w:val="20"/>
          <w:szCs w:val="20"/>
          <w:u w:val="single"/>
        </w:rPr>
        <w:t>2</w:t>
      </w:r>
      <w:r w:rsidRPr="004B04F1">
        <w:rPr>
          <w:sz w:val="20"/>
          <w:szCs w:val="20"/>
          <w:u w:val="single"/>
        </w:rPr>
        <w:t xml:space="preserve"> – Comparison of β-diversity between stool and mucosal samples</w:t>
      </w:r>
    </w:p>
    <w:p w14:paraId="0FFEEB9D" w14:textId="77777777" w:rsidR="004B04F1" w:rsidRPr="004B04F1" w:rsidRDefault="004B04F1" w:rsidP="004B04F1">
      <w:pPr>
        <w:spacing w:after="160" w:line="480" w:lineRule="auto"/>
        <w:jc w:val="both"/>
        <w:rPr>
          <w:sz w:val="20"/>
          <w:szCs w:val="20"/>
        </w:rPr>
      </w:pPr>
      <w:r w:rsidRPr="004B04F1">
        <w:rPr>
          <w:sz w:val="20"/>
          <w:szCs w:val="20"/>
        </w:rPr>
        <w:t>β-diversity distance matrices were generated using UniFrac distances between mucosal and stool samples in cases and controls. UniFrac is a distance metric based upon the unique fraction of branch length in a phylogenetic tree built from two sets of taxa.404  Presence of significant effects of sample type on β-diversity metrics were tested using permutational multivariate analysis of variance (PERMANOVA) through the function adonis() in the “vegan” R package.405 PERMANOVA tests group-level differences through an ordination method and provides an assessment of grouping factors in an iterative, pairwise subject-to-subject procedure.404 Non-metric multidimensional scaling (NMDS) plots were also generated using the vegan and MASS R packages.406 NMDS allows for collapsing information from multiple dimensions (in this case, bacterial communities) into a two-dimensional format, allowing for visual representations of distance between communities by sample types</w:t>
      </w:r>
    </w:p>
    <w:p w14:paraId="65C84836" w14:textId="43CBFA42" w:rsidR="004B04F1" w:rsidRDefault="004B04F1" w:rsidP="004B04F1">
      <w:pPr>
        <w:spacing w:after="160" w:line="480" w:lineRule="auto"/>
        <w:jc w:val="both"/>
        <w:rPr>
          <w:sz w:val="20"/>
          <w:szCs w:val="20"/>
        </w:rPr>
      </w:pPr>
      <w:r w:rsidRPr="004B04F1">
        <w:rPr>
          <w:sz w:val="20"/>
          <w:szCs w:val="20"/>
        </w:rPr>
        <w:t xml:space="preserve">There was no evidence of a significant impact of sample type (sigmoid or rectum mucosa and stool samples) on UniFrac distance matrices in either control or case samples (table </w:t>
      </w:r>
      <w:r w:rsidR="00EE38D2">
        <w:rPr>
          <w:sz w:val="20"/>
          <w:szCs w:val="20"/>
        </w:rPr>
        <w:t>2.d.</w:t>
      </w:r>
      <w:r w:rsidR="00A14C16">
        <w:rPr>
          <w:sz w:val="20"/>
          <w:szCs w:val="20"/>
        </w:rPr>
        <w:t>2</w:t>
      </w:r>
      <w:r w:rsidRPr="004B04F1">
        <w:rPr>
          <w:sz w:val="20"/>
          <w:szCs w:val="20"/>
        </w:rPr>
        <w:t xml:space="preserve">). This indicates that stool and mucosa-associated bacterial communities overlapped significantly, as summarized in NMDS plots (figure </w:t>
      </w:r>
      <w:r w:rsidR="00EE38D2">
        <w:rPr>
          <w:sz w:val="20"/>
          <w:szCs w:val="20"/>
        </w:rPr>
        <w:t>2.d.</w:t>
      </w:r>
      <w:r w:rsidR="00A14C16">
        <w:rPr>
          <w:sz w:val="20"/>
          <w:szCs w:val="20"/>
        </w:rPr>
        <w:t>2</w:t>
      </w:r>
      <w:r w:rsidRPr="004B04F1">
        <w:rPr>
          <w:sz w:val="20"/>
          <w:szCs w:val="20"/>
        </w:rPr>
        <w:t>). Of note, a trend was found for distance between case sigmoid and case stool samples, suggesting that faecal samples are more representative of rectal than sigmoid colon communities. However, R2 and pseudo-F values were low (R2=0.14, pseudo-F=2.55), and the NMDS plot does not suggest that this difference is relevant in terms of overall microbial communities.</w:t>
      </w:r>
    </w:p>
    <w:p w14:paraId="2BB5BD4C" w14:textId="60914034" w:rsidR="00EE38D2" w:rsidRDefault="00EE38D2" w:rsidP="00EE38D2">
      <w:pPr>
        <w:pStyle w:val="Caption"/>
      </w:pPr>
      <w:bookmarkStart w:id="7" w:name="_Toc515981646"/>
      <w:r>
        <w:t>Table</w:t>
      </w:r>
      <w:r>
        <w:rPr>
          <w:noProof/>
        </w:rPr>
        <w:t xml:space="preserve"> 2.d.</w:t>
      </w:r>
      <w:r w:rsidR="00A14C16">
        <w:rPr>
          <w:noProof/>
        </w:rPr>
        <w:t>2</w:t>
      </w:r>
      <w:r>
        <w:t xml:space="preserve">: </w:t>
      </w:r>
      <w:r w:rsidRPr="007E7A1E">
        <w:t xml:space="preserve">PERMANOVA results based on </w:t>
      </w:r>
      <w:proofErr w:type="spellStart"/>
      <w:r w:rsidRPr="007E7A1E">
        <w:t>UniFrac</w:t>
      </w:r>
      <w:proofErr w:type="spellEnd"/>
      <w:r w:rsidRPr="007E7A1E">
        <w:t xml:space="preserve"> distance matrices by sample type.</w:t>
      </w:r>
      <w:bookmarkEnd w:id="7"/>
    </w:p>
    <w:tbl>
      <w:tblPr>
        <w:tblStyle w:val="PlainTable4"/>
        <w:tblW w:w="0" w:type="auto"/>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3"/>
        <w:gridCol w:w="1803"/>
        <w:gridCol w:w="1803"/>
        <w:gridCol w:w="1803"/>
      </w:tblGrid>
      <w:tr w:rsidR="00EE38D2" w:rsidRPr="002050F7" w14:paraId="1C6989EF" w14:textId="77777777" w:rsidTr="00EE38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62BCF98" w14:textId="77777777" w:rsidR="00EE38D2" w:rsidRPr="002050F7" w:rsidRDefault="00EE38D2" w:rsidP="00EE38D2">
            <w:pPr>
              <w:spacing w:after="60"/>
              <w:rPr>
                <w:rFonts w:cstheme="minorHAnsi"/>
                <w:sz w:val="18"/>
                <w:szCs w:val="18"/>
              </w:rPr>
            </w:pPr>
            <w:r>
              <w:rPr>
                <w:rFonts w:eastAsia="Times New Roman" w:cstheme="minorHAnsi"/>
                <w:color w:val="000000"/>
                <w:sz w:val="18"/>
                <w:szCs w:val="18"/>
              </w:rPr>
              <w:t>P</w:t>
            </w:r>
            <w:r w:rsidRPr="0086544F">
              <w:rPr>
                <w:rFonts w:eastAsia="Times New Roman" w:cstheme="minorHAnsi"/>
                <w:color w:val="000000"/>
                <w:sz w:val="18"/>
                <w:szCs w:val="18"/>
              </w:rPr>
              <w:t>airs</w:t>
            </w:r>
          </w:p>
        </w:tc>
        <w:tc>
          <w:tcPr>
            <w:tcW w:w="1803" w:type="dxa"/>
            <w:vAlign w:val="center"/>
          </w:tcPr>
          <w:p w14:paraId="09C7E2E6" w14:textId="77777777" w:rsidR="00EE38D2" w:rsidRPr="002050F7" w:rsidRDefault="00EE38D2" w:rsidP="00EE38D2">
            <w:pPr>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eastAsia="Times New Roman" w:cstheme="minorHAnsi"/>
                <w:color w:val="000000"/>
                <w:sz w:val="18"/>
                <w:szCs w:val="18"/>
              </w:rPr>
              <w:t>Pseudo-F</w:t>
            </w:r>
          </w:p>
        </w:tc>
        <w:tc>
          <w:tcPr>
            <w:tcW w:w="1803" w:type="dxa"/>
            <w:vAlign w:val="center"/>
          </w:tcPr>
          <w:p w14:paraId="54583B97" w14:textId="77777777" w:rsidR="00EE38D2" w:rsidRPr="002050F7" w:rsidRDefault="00EE38D2" w:rsidP="00EE38D2">
            <w:pPr>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R</w:t>
            </w:r>
            <w:r w:rsidRPr="009C4E68">
              <w:rPr>
                <w:rFonts w:eastAsia="Times New Roman" w:cstheme="minorHAnsi"/>
                <w:color w:val="000000"/>
                <w:sz w:val="18"/>
                <w:szCs w:val="18"/>
                <w:vertAlign w:val="superscript"/>
              </w:rPr>
              <w:t>2</w:t>
            </w:r>
          </w:p>
        </w:tc>
        <w:tc>
          <w:tcPr>
            <w:tcW w:w="1803" w:type="dxa"/>
            <w:vAlign w:val="center"/>
          </w:tcPr>
          <w:p w14:paraId="57F2E5DF" w14:textId="77777777" w:rsidR="00EE38D2" w:rsidRPr="002050F7" w:rsidRDefault="00EE38D2" w:rsidP="00EE38D2">
            <w:pPr>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p</w:t>
            </w:r>
            <w:r>
              <w:rPr>
                <w:rFonts w:eastAsia="Times New Roman" w:cstheme="minorHAnsi"/>
                <w:color w:val="000000"/>
                <w:sz w:val="18"/>
                <w:szCs w:val="18"/>
              </w:rPr>
              <w:t>-</w:t>
            </w:r>
            <w:r w:rsidRPr="0086544F">
              <w:rPr>
                <w:rFonts w:eastAsia="Times New Roman" w:cstheme="minorHAnsi"/>
                <w:color w:val="000000"/>
                <w:sz w:val="18"/>
                <w:szCs w:val="18"/>
              </w:rPr>
              <w:t>value</w:t>
            </w:r>
          </w:p>
        </w:tc>
      </w:tr>
      <w:tr w:rsidR="00EE38D2" w:rsidRPr="002050F7" w14:paraId="5CC432C0" w14:textId="77777777" w:rsidTr="00EE38D2">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7DD5B36" w14:textId="77777777" w:rsidR="00EE38D2" w:rsidRPr="002050F7" w:rsidRDefault="00EE38D2" w:rsidP="00EE38D2">
            <w:pPr>
              <w:spacing w:after="60"/>
              <w:rPr>
                <w:rFonts w:cstheme="minorHAnsi"/>
                <w:sz w:val="18"/>
                <w:szCs w:val="18"/>
              </w:rPr>
            </w:pPr>
            <w:r w:rsidRPr="0086544F">
              <w:rPr>
                <w:rFonts w:eastAsia="Times New Roman" w:cstheme="minorHAnsi"/>
                <w:color w:val="000000"/>
                <w:sz w:val="18"/>
                <w:szCs w:val="18"/>
              </w:rPr>
              <w:t>Rectum-Case vs Stool-Case</w:t>
            </w:r>
          </w:p>
        </w:tc>
        <w:tc>
          <w:tcPr>
            <w:tcW w:w="1803" w:type="dxa"/>
            <w:vAlign w:val="center"/>
          </w:tcPr>
          <w:p w14:paraId="2200E1BD"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0.23</w:t>
            </w:r>
          </w:p>
        </w:tc>
        <w:tc>
          <w:tcPr>
            <w:tcW w:w="1803" w:type="dxa"/>
            <w:vAlign w:val="center"/>
          </w:tcPr>
          <w:p w14:paraId="16E0CF34"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0.01</w:t>
            </w:r>
          </w:p>
        </w:tc>
        <w:tc>
          <w:tcPr>
            <w:tcW w:w="1803" w:type="dxa"/>
            <w:vAlign w:val="center"/>
          </w:tcPr>
          <w:p w14:paraId="4979B291"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0.8</w:t>
            </w:r>
            <w:r>
              <w:rPr>
                <w:rFonts w:eastAsia="Times New Roman" w:cstheme="minorHAnsi"/>
                <w:color w:val="000000"/>
                <w:sz w:val="18"/>
                <w:szCs w:val="18"/>
              </w:rPr>
              <w:t>8</w:t>
            </w:r>
          </w:p>
        </w:tc>
      </w:tr>
      <w:tr w:rsidR="00EE38D2" w:rsidRPr="002050F7" w14:paraId="77F3BCE5" w14:textId="77777777" w:rsidTr="00EE38D2">
        <w:trPr>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DDBD3ED" w14:textId="77777777" w:rsidR="00EE38D2" w:rsidRPr="002050F7" w:rsidRDefault="00EE38D2" w:rsidP="00EE38D2">
            <w:pPr>
              <w:spacing w:after="60"/>
              <w:rPr>
                <w:rFonts w:cstheme="minorHAnsi"/>
                <w:sz w:val="18"/>
                <w:szCs w:val="18"/>
              </w:rPr>
            </w:pPr>
            <w:r w:rsidRPr="0086544F">
              <w:rPr>
                <w:rFonts w:eastAsia="Times New Roman" w:cstheme="minorHAnsi"/>
                <w:color w:val="000000"/>
                <w:sz w:val="18"/>
                <w:szCs w:val="18"/>
              </w:rPr>
              <w:t>Sigmoid-Case vs Stool-Case</w:t>
            </w:r>
          </w:p>
        </w:tc>
        <w:tc>
          <w:tcPr>
            <w:tcW w:w="1803" w:type="dxa"/>
            <w:vAlign w:val="center"/>
          </w:tcPr>
          <w:p w14:paraId="255E25AF" w14:textId="77777777" w:rsidR="00EE38D2" w:rsidRPr="002050F7" w:rsidRDefault="00EE38D2" w:rsidP="00EE38D2">
            <w:pPr>
              <w:spacing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2.5</w:t>
            </w:r>
            <w:r>
              <w:rPr>
                <w:rFonts w:eastAsia="Times New Roman" w:cstheme="minorHAnsi"/>
                <w:color w:val="000000"/>
                <w:sz w:val="18"/>
                <w:szCs w:val="18"/>
              </w:rPr>
              <w:t>5</w:t>
            </w:r>
          </w:p>
        </w:tc>
        <w:tc>
          <w:tcPr>
            <w:tcW w:w="1803" w:type="dxa"/>
            <w:vAlign w:val="center"/>
          </w:tcPr>
          <w:p w14:paraId="27D86459" w14:textId="77777777" w:rsidR="00EE38D2" w:rsidRPr="002050F7" w:rsidRDefault="00EE38D2" w:rsidP="00EE38D2">
            <w:pPr>
              <w:spacing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0.1</w:t>
            </w:r>
            <w:r>
              <w:rPr>
                <w:rFonts w:eastAsia="Times New Roman" w:cstheme="minorHAnsi"/>
                <w:color w:val="000000"/>
                <w:sz w:val="18"/>
                <w:szCs w:val="18"/>
              </w:rPr>
              <w:t>4</w:t>
            </w:r>
          </w:p>
        </w:tc>
        <w:tc>
          <w:tcPr>
            <w:tcW w:w="1803" w:type="dxa"/>
            <w:vAlign w:val="center"/>
          </w:tcPr>
          <w:p w14:paraId="338E5F88" w14:textId="77777777" w:rsidR="00EE38D2" w:rsidRPr="002050F7" w:rsidRDefault="00EE38D2" w:rsidP="00EE38D2">
            <w:pPr>
              <w:spacing w:after="6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0.0</w:t>
            </w:r>
            <w:r>
              <w:rPr>
                <w:rFonts w:eastAsia="Times New Roman" w:cstheme="minorHAnsi"/>
                <w:color w:val="000000"/>
                <w:sz w:val="18"/>
                <w:szCs w:val="18"/>
              </w:rPr>
              <w:t>9</w:t>
            </w:r>
          </w:p>
        </w:tc>
      </w:tr>
      <w:tr w:rsidR="00EE38D2" w:rsidRPr="002050F7" w14:paraId="205AA504" w14:textId="77777777" w:rsidTr="00EE38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CA28AE3" w14:textId="77777777" w:rsidR="00EE38D2" w:rsidRPr="002050F7" w:rsidRDefault="00EE38D2" w:rsidP="00EE38D2">
            <w:pPr>
              <w:spacing w:after="60"/>
              <w:rPr>
                <w:rFonts w:cstheme="minorHAnsi"/>
                <w:sz w:val="18"/>
                <w:szCs w:val="18"/>
              </w:rPr>
            </w:pPr>
            <w:r w:rsidRPr="0086544F">
              <w:rPr>
                <w:rFonts w:eastAsia="Times New Roman" w:cstheme="minorHAnsi"/>
                <w:color w:val="000000"/>
                <w:sz w:val="18"/>
                <w:szCs w:val="18"/>
              </w:rPr>
              <w:t>Rectum-Control vs Stool-Control</w:t>
            </w:r>
          </w:p>
        </w:tc>
        <w:tc>
          <w:tcPr>
            <w:tcW w:w="1803" w:type="dxa"/>
            <w:vAlign w:val="center"/>
          </w:tcPr>
          <w:p w14:paraId="62B6FD4E"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0.31</w:t>
            </w:r>
          </w:p>
        </w:tc>
        <w:tc>
          <w:tcPr>
            <w:tcW w:w="1803" w:type="dxa"/>
            <w:vAlign w:val="center"/>
          </w:tcPr>
          <w:p w14:paraId="2120872F"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0.03</w:t>
            </w:r>
          </w:p>
        </w:tc>
        <w:tc>
          <w:tcPr>
            <w:tcW w:w="1803" w:type="dxa"/>
            <w:vAlign w:val="center"/>
          </w:tcPr>
          <w:p w14:paraId="77EED47D" w14:textId="77777777" w:rsidR="00EE38D2" w:rsidRPr="002050F7" w:rsidRDefault="00EE38D2" w:rsidP="00EE38D2">
            <w:pPr>
              <w:spacing w:after="6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6544F">
              <w:rPr>
                <w:rFonts w:eastAsia="Times New Roman" w:cstheme="minorHAnsi"/>
                <w:color w:val="000000"/>
                <w:sz w:val="18"/>
                <w:szCs w:val="18"/>
              </w:rPr>
              <w:t>0.</w:t>
            </w:r>
            <w:r>
              <w:rPr>
                <w:rFonts w:eastAsia="Times New Roman" w:cstheme="minorHAnsi"/>
                <w:color w:val="000000"/>
                <w:sz w:val="18"/>
                <w:szCs w:val="18"/>
              </w:rPr>
              <w:t>80</w:t>
            </w:r>
          </w:p>
        </w:tc>
      </w:tr>
    </w:tbl>
    <w:p w14:paraId="5079499E" w14:textId="77777777" w:rsidR="00EE38D2" w:rsidRDefault="00EE38D2" w:rsidP="00EE38D2">
      <w:pPr>
        <w:spacing w:before="200"/>
        <w:jc w:val="both"/>
      </w:pPr>
    </w:p>
    <w:p w14:paraId="580A10F5" w14:textId="77777777" w:rsidR="00EE38D2" w:rsidRDefault="00EE38D2" w:rsidP="00EE38D2">
      <w:pPr>
        <w:keepNext/>
        <w:spacing w:before="200" w:after="0"/>
        <w:ind w:left="-284"/>
        <w:jc w:val="center"/>
      </w:pPr>
      <w:r>
        <w:rPr>
          <w:noProof/>
        </w:rPr>
        <w:lastRenderedPageBreak/>
        <w:drawing>
          <wp:inline distT="0" distB="0" distL="0" distR="0" wp14:anchorId="569840E1" wp14:editId="29FDDD91">
            <wp:extent cx="6383887" cy="2407920"/>
            <wp:effectExtent l="19050" t="19050" r="17145" b="1143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4468" cy="2408139"/>
                    </a:xfrm>
                    <a:prstGeom prst="rect">
                      <a:avLst/>
                    </a:prstGeom>
                    <a:noFill/>
                    <a:ln>
                      <a:solidFill>
                        <a:schemeClr val="tx1"/>
                      </a:solidFill>
                    </a:ln>
                  </pic:spPr>
                </pic:pic>
              </a:graphicData>
            </a:graphic>
          </wp:inline>
        </w:drawing>
      </w:r>
    </w:p>
    <w:p w14:paraId="153969B0" w14:textId="2A4A6134" w:rsidR="00EE38D2" w:rsidRPr="003641AB" w:rsidRDefault="00EE38D2" w:rsidP="00EE38D2">
      <w:pPr>
        <w:pStyle w:val="Caption"/>
        <w:rPr>
          <w:lang w:eastAsia="en-GB"/>
        </w:rPr>
      </w:pPr>
      <w:bookmarkStart w:id="8" w:name="_Toc515981555"/>
      <w:r>
        <w:t>Figure</w:t>
      </w:r>
      <w:r>
        <w:rPr>
          <w:noProof/>
        </w:rPr>
        <w:t xml:space="preserve"> 2.d.</w:t>
      </w:r>
      <w:r w:rsidR="00A14C16">
        <w:rPr>
          <w:noProof/>
        </w:rPr>
        <w:t>2</w:t>
      </w:r>
      <w:r>
        <w:t xml:space="preserve">: </w:t>
      </w:r>
      <w:r w:rsidRPr="00C932F4">
        <w:t xml:space="preserve">NMDS plots of </w:t>
      </w:r>
      <w:proofErr w:type="spellStart"/>
      <w:r w:rsidRPr="00C932F4">
        <w:t>UniFrac</w:t>
      </w:r>
      <w:proofErr w:type="spellEnd"/>
      <w:r w:rsidRPr="00C932F4">
        <w:t xml:space="preserve"> distances between samples.</w:t>
      </w:r>
      <w:r>
        <w:t xml:space="preserve"> </w:t>
      </w:r>
      <w:r w:rsidRPr="003641AB">
        <w:rPr>
          <w:lang w:eastAsia="en-GB"/>
        </w:rPr>
        <w:t>A: Cases (red=stool samples; blue=rectal biopsy samples; purple=distal sigmoid samples). B: Controls (red=stool samples; blue=rectal biopsy samples).</w:t>
      </w:r>
      <w:bookmarkEnd w:id="8"/>
      <w:r w:rsidRPr="003641AB">
        <w:rPr>
          <w:lang w:eastAsia="en-GB"/>
        </w:rPr>
        <w:t xml:space="preserve"> </w:t>
      </w:r>
    </w:p>
    <w:p w14:paraId="29320125" w14:textId="7E62ADE5" w:rsidR="00EE38D2" w:rsidRPr="00A14C16" w:rsidRDefault="00EE38D2" w:rsidP="004B04F1">
      <w:pPr>
        <w:spacing w:after="160" w:line="480" w:lineRule="auto"/>
        <w:jc w:val="both"/>
        <w:rPr>
          <w:sz w:val="20"/>
          <w:szCs w:val="20"/>
          <w:lang w:val="en-GB"/>
        </w:rPr>
      </w:pPr>
    </w:p>
    <w:p w14:paraId="70D99F75" w14:textId="03983AAE" w:rsidR="009F7341" w:rsidRPr="000300C6" w:rsidRDefault="009F7341" w:rsidP="009F7341">
      <w:pPr>
        <w:spacing w:line="480" w:lineRule="auto"/>
        <w:ind w:firstLine="720"/>
        <w:jc w:val="both"/>
        <w:rPr>
          <w:sz w:val="20"/>
          <w:szCs w:val="20"/>
          <w:u w:val="single"/>
        </w:rPr>
      </w:pPr>
      <w:r w:rsidRPr="000300C6">
        <w:rPr>
          <w:sz w:val="20"/>
          <w:szCs w:val="20"/>
          <w:u w:val="single"/>
        </w:rPr>
        <w:t>2.</w:t>
      </w:r>
      <w:r w:rsidR="006B1F91" w:rsidRPr="000300C6">
        <w:rPr>
          <w:sz w:val="20"/>
          <w:szCs w:val="20"/>
          <w:u w:val="single"/>
        </w:rPr>
        <w:t>d</w:t>
      </w:r>
      <w:r w:rsidRPr="000300C6">
        <w:rPr>
          <w:sz w:val="20"/>
          <w:szCs w:val="20"/>
          <w:u w:val="single"/>
        </w:rPr>
        <w:t>.</w:t>
      </w:r>
      <w:r w:rsidR="00A14C16">
        <w:rPr>
          <w:sz w:val="20"/>
          <w:szCs w:val="20"/>
          <w:u w:val="single"/>
        </w:rPr>
        <w:t>3</w:t>
      </w:r>
      <w:r w:rsidRPr="000300C6">
        <w:rPr>
          <w:sz w:val="20"/>
          <w:szCs w:val="20"/>
          <w:u w:val="single"/>
        </w:rPr>
        <w:t xml:space="preserve"> – </w:t>
      </w:r>
      <w:r w:rsidR="006B1F91" w:rsidRPr="000300C6">
        <w:rPr>
          <w:sz w:val="20"/>
          <w:szCs w:val="20"/>
          <w:u w:val="single"/>
        </w:rPr>
        <w:t>Stool samples</w:t>
      </w:r>
    </w:p>
    <w:p w14:paraId="3FD4D95E" w14:textId="53CC4A64" w:rsidR="006B1F91" w:rsidRPr="000300C6" w:rsidRDefault="006B1F91" w:rsidP="006B1F91">
      <w:pPr>
        <w:spacing w:after="160" w:line="480" w:lineRule="auto"/>
        <w:jc w:val="both"/>
        <w:rPr>
          <w:sz w:val="20"/>
          <w:szCs w:val="20"/>
        </w:rPr>
      </w:pPr>
      <w:r w:rsidRPr="000300C6">
        <w:rPr>
          <w:sz w:val="20"/>
          <w:szCs w:val="20"/>
        </w:rPr>
        <w:t>Stool samples of cases and controls were highly correlated (R</w:t>
      </w:r>
      <w:r w:rsidRPr="000300C6">
        <w:rPr>
          <w:sz w:val="20"/>
          <w:szCs w:val="20"/>
          <w:vertAlign w:val="superscript"/>
        </w:rPr>
        <w:t>2</w:t>
      </w:r>
      <w:r w:rsidRPr="000300C6">
        <w:rPr>
          <w:sz w:val="20"/>
          <w:szCs w:val="20"/>
        </w:rPr>
        <w:t>=0.88 and R</w:t>
      </w:r>
      <w:r w:rsidRPr="000300C6">
        <w:rPr>
          <w:sz w:val="20"/>
          <w:szCs w:val="20"/>
          <w:vertAlign w:val="superscript"/>
        </w:rPr>
        <w:t>2</w:t>
      </w:r>
      <w:r w:rsidRPr="000300C6">
        <w:rPr>
          <w:sz w:val="20"/>
          <w:szCs w:val="20"/>
        </w:rPr>
        <w:t xml:space="preserve">=0.86 for phyla and genera respectively). No observed differences at the phylum or genus level were statistically significant. Bacteroidetes appeared higher in case subjects (difference in mean proportions (DiM) = 17.2%, p&gt;0.05) and Firmicutes were conversely lower (DiM = 10.7%, p&gt;0.05). When analysing genera, the proportion of </w:t>
      </w:r>
      <w:r w:rsidRPr="000300C6">
        <w:rPr>
          <w:i/>
          <w:sz w:val="20"/>
          <w:szCs w:val="20"/>
        </w:rPr>
        <w:t>Faecalibacterium</w:t>
      </w:r>
      <w:r w:rsidRPr="000300C6">
        <w:rPr>
          <w:sz w:val="20"/>
          <w:szCs w:val="20"/>
        </w:rPr>
        <w:t xml:space="preserve"> appeared higher in controls (DiM=9.61%, p&gt;0.05) and </w:t>
      </w:r>
      <w:r w:rsidRPr="000300C6">
        <w:rPr>
          <w:i/>
          <w:sz w:val="20"/>
          <w:szCs w:val="20"/>
        </w:rPr>
        <w:t>Bacteroides</w:t>
      </w:r>
      <w:r w:rsidRPr="000300C6">
        <w:rPr>
          <w:sz w:val="20"/>
          <w:szCs w:val="20"/>
        </w:rPr>
        <w:t xml:space="preserve"> higher in cases (DiM=13.79%, p&gt;0.05).</w:t>
      </w:r>
    </w:p>
    <w:p w14:paraId="63A3BEEB" w14:textId="35B0A155" w:rsidR="006B1F91" w:rsidRPr="000300C6" w:rsidRDefault="006B1F91" w:rsidP="006B1F91">
      <w:pPr>
        <w:spacing w:line="480" w:lineRule="auto"/>
        <w:ind w:firstLine="720"/>
        <w:jc w:val="both"/>
        <w:rPr>
          <w:sz w:val="20"/>
          <w:szCs w:val="20"/>
          <w:u w:val="single"/>
        </w:rPr>
      </w:pPr>
      <w:r w:rsidRPr="000300C6">
        <w:rPr>
          <w:sz w:val="20"/>
          <w:szCs w:val="20"/>
          <w:u w:val="single"/>
        </w:rPr>
        <w:t>2.d.</w:t>
      </w:r>
      <w:r w:rsidR="00A14C16">
        <w:rPr>
          <w:sz w:val="20"/>
          <w:szCs w:val="20"/>
          <w:u w:val="single"/>
        </w:rPr>
        <w:t>4</w:t>
      </w:r>
      <w:r w:rsidRPr="000300C6">
        <w:rPr>
          <w:sz w:val="20"/>
          <w:szCs w:val="20"/>
          <w:u w:val="single"/>
        </w:rPr>
        <w:t xml:space="preserve"> – Mucosal samples</w:t>
      </w:r>
      <w:r w:rsidRPr="000300C6">
        <w:rPr>
          <w:u w:val="single"/>
        </w:rPr>
        <w:t xml:space="preserve"> </w:t>
      </w:r>
      <w:r w:rsidRPr="000300C6">
        <w:rPr>
          <w:sz w:val="20"/>
          <w:szCs w:val="20"/>
          <w:u w:val="single"/>
        </w:rPr>
        <w:t>– rectal biopsy (controls) vs rectal biopsy (cases)</w:t>
      </w:r>
    </w:p>
    <w:p w14:paraId="50F7BEB9" w14:textId="46A08A8D" w:rsidR="006B1F91" w:rsidRPr="000300C6" w:rsidRDefault="006B1F91" w:rsidP="006B1F91">
      <w:pPr>
        <w:spacing w:line="480" w:lineRule="auto"/>
        <w:jc w:val="both"/>
        <w:rPr>
          <w:sz w:val="20"/>
          <w:szCs w:val="20"/>
        </w:rPr>
      </w:pPr>
      <w:r w:rsidRPr="000300C6">
        <w:rPr>
          <w:sz w:val="20"/>
          <w:szCs w:val="20"/>
        </w:rPr>
        <w:t>Rectal biopsy samples were highly correlated (phylum: R</w:t>
      </w:r>
      <w:r w:rsidRPr="000300C6">
        <w:rPr>
          <w:sz w:val="20"/>
          <w:szCs w:val="20"/>
          <w:vertAlign w:val="superscript"/>
        </w:rPr>
        <w:t>2</w:t>
      </w:r>
      <w:r w:rsidRPr="000300C6">
        <w:rPr>
          <w:sz w:val="20"/>
          <w:szCs w:val="20"/>
        </w:rPr>
        <w:t>=1; genus: R</w:t>
      </w:r>
      <w:r w:rsidRPr="000300C6">
        <w:rPr>
          <w:sz w:val="20"/>
          <w:szCs w:val="20"/>
          <w:vertAlign w:val="superscript"/>
        </w:rPr>
        <w:t>2</w:t>
      </w:r>
      <w:r w:rsidRPr="000300C6">
        <w:rPr>
          <w:sz w:val="20"/>
          <w:szCs w:val="20"/>
        </w:rPr>
        <w:t xml:space="preserve">=0.96). No </w:t>
      </w:r>
      <w:r w:rsidR="008A6541" w:rsidRPr="000300C6">
        <w:rPr>
          <w:sz w:val="20"/>
          <w:szCs w:val="20"/>
        </w:rPr>
        <w:t xml:space="preserve">significant </w:t>
      </w:r>
      <w:r w:rsidRPr="000300C6">
        <w:rPr>
          <w:sz w:val="20"/>
          <w:szCs w:val="20"/>
        </w:rPr>
        <w:t xml:space="preserve">differences were observed between cases and controls at the phylum level (figure 13). At the genus level, </w:t>
      </w:r>
      <w:r w:rsidRPr="000300C6">
        <w:rPr>
          <w:i/>
          <w:sz w:val="20"/>
          <w:szCs w:val="20"/>
        </w:rPr>
        <w:t>Faecalibacterium</w:t>
      </w:r>
      <w:r w:rsidRPr="000300C6">
        <w:rPr>
          <w:sz w:val="20"/>
          <w:szCs w:val="20"/>
        </w:rPr>
        <w:t xml:space="preserve"> (DiM=6.21%, p&gt;0.05) appeared higher in control samples although differences were non-statistically significant.</w:t>
      </w:r>
    </w:p>
    <w:p w14:paraId="558B991E" w14:textId="6DEA1B04" w:rsidR="008A6541" w:rsidRPr="000300C6" w:rsidRDefault="008A6541" w:rsidP="008A6541">
      <w:pPr>
        <w:spacing w:line="480" w:lineRule="auto"/>
        <w:ind w:firstLine="720"/>
        <w:jc w:val="both"/>
        <w:rPr>
          <w:sz w:val="20"/>
          <w:szCs w:val="20"/>
          <w:u w:val="single"/>
        </w:rPr>
      </w:pPr>
      <w:r w:rsidRPr="000300C6">
        <w:rPr>
          <w:sz w:val="20"/>
          <w:szCs w:val="20"/>
          <w:u w:val="single"/>
        </w:rPr>
        <w:t>2.d.</w:t>
      </w:r>
      <w:r w:rsidR="00A14C16">
        <w:rPr>
          <w:sz w:val="20"/>
          <w:szCs w:val="20"/>
          <w:u w:val="single"/>
        </w:rPr>
        <w:t>5</w:t>
      </w:r>
      <w:r w:rsidRPr="000300C6">
        <w:rPr>
          <w:sz w:val="20"/>
          <w:szCs w:val="20"/>
          <w:u w:val="single"/>
        </w:rPr>
        <w:t xml:space="preserve"> – Mucosal samples</w:t>
      </w:r>
      <w:r w:rsidRPr="000300C6">
        <w:rPr>
          <w:u w:val="single"/>
        </w:rPr>
        <w:t xml:space="preserve"> </w:t>
      </w:r>
      <w:r w:rsidRPr="000300C6">
        <w:rPr>
          <w:sz w:val="20"/>
          <w:szCs w:val="20"/>
          <w:u w:val="single"/>
        </w:rPr>
        <w:t>– rectal biopsy (controls) vs rectal biopsy (cases)</w:t>
      </w:r>
    </w:p>
    <w:p w14:paraId="17F015B9" w14:textId="1297140C" w:rsidR="008A6541" w:rsidRPr="000300C6" w:rsidRDefault="008A6541" w:rsidP="008A6541">
      <w:pPr>
        <w:spacing w:line="480" w:lineRule="auto"/>
        <w:jc w:val="both"/>
        <w:rPr>
          <w:sz w:val="20"/>
          <w:szCs w:val="20"/>
        </w:rPr>
      </w:pPr>
      <w:r w:rsidRPr="000300C6">
        <w:rPr>
          <w:sz w:val="20"/>
          <w:szCs w:val="20"/>
        </w:rPr>
        <w:t>Rectal biopsy control samples were highly correlated with distal sigmoid mucosa samples in cases (phylum: R</w:t>
      </w:r>
      <w:r w:rsidRPr="000300C6">
        <w:rPr>
          <w:sz w:val="20"/>
          <w:szCs w:val="20"/>
          <w:vertAlign w:val="superscript"/>
        </w:rPr>
        <w:t>2</w:t>
      </w:r>
      <w:r w:rsidRPr="000300C6">
        <w:rPr>
          <w:sz w:val="20"/>
          <w:szCs w:val="20"/>
        </w:rPr>
        <w:t>=0.992; genus: R</w:t>
      </w:r>
      <w:r w:rsidRPr="000300C6">
        <w:rPr>
          <w:sz w:val="20"/>
          <w:szCs w:val="20"/>
          <w:vertAlign w:val="superscript"/>
        </w:rPr>
        <w:t>2</w:t>
      </w:r>
      <w:r w:rsidRPr="000300C6">
        <w:rPr>
          <w:sz w:val="20"/>
          <w:szCs w:val="20"/>
        </w:rPr>
        <w:t xml:space="preserve">=0.952). No differences were observed between cases and controls at the phylum level. At the genus level, </w:t>
      </w:r>
      <w:r w:rsidRPr="000300C6">
        <w:rPr>
          <w:i/>
          <w:sz w:val="20"/>
          <w:szCs w:val="20"/>
        </w:rPr>
        <w:t>Faecalibacterium</w:t>
      </w:r>
      <w:r w:rsidRPr="000300C6">
        <w:rPr>
          <w:sz w:val="20"/>
          <w:szCs w:val="20"/>
        </w:rPr>
        <w:t xml:space="preserve"> (DiM=7.14%, p&gt;0.05) appeared higher in control samples although non-significantly.</w:t>
      </w:r>
    </w:p>
    <w:p w14:paraId="279638EC" w14:textId="38CA868A" w:rsidR="00205DF4" w:rsidRPr="000300C6" w:rsidRDefault="00205DF4" w:rsidP="00205DF4">
      <w:pPr>
        <w:spacing w:line="480" w:lineRule="auto"/>
        <w:ind w:firstLine="720"/>
        <w:jc w:val="both"/>
        <w:rPr>
          <w:sz w:val="20"/>
          <w:szCs w:val="20"/>
          <w:u w:val="single"/>
        </w:rPr>
      </w:pPr>
      <w:r w:rsidRPr="000300C6">
        <w:rPr>
          <w:sz w:val="20"/>
          <w:szCs w:val="20"/>
          <w:u w:val="single"/>
        </w:rPr>
        <w:t>2.d.</w:t>
      </w:r>
      <w:r w:rsidR="00A14C16">
        <w:rPr>
          <w:sz w:val="20"/>
          <w:szCs w:val="20"/>
          <w:u w:val="single"/>
        </w:rPr>
        <w:t>6</w:t>
      </w:r>
      <w:r w:rsidRPr="000300C6">
        <w:rPr>
          <w:sz w:val="20"/>
          <w:szCs w:val="20"/>
          <w:u w:val="single"/>
        </w:rPr>
        <w:t xml:space="preserve"> – Mucosal samples – rectal biopsy (cases) vs distal sigmoid (cases)</w:t>
      </w:r>
    </w:p>
    <w:p w14:paraId="5EDB7CA7" w14:textId="7E721E52" w:rsidR="004A7A7C" w:rsidRPr="000300C6" w:rsidRDefault="00205DF4" w:rsidP="006B1F91">
      <w:pPr>
        <w:spacing w:after="160" w:line="480" w:lineRule="auto"/>
        <w:jc w:val="both"/>
        <w:rPr>
          <w:sz w:val="20"/>
          <w:szCs w:val="20"/>
        </w:rPr>
      </w:pPr>
      <w:r w:rsidRPr="000300C6">
        <w:rPr>
          <w:sz w:val="20"/>
          <w:szCs w:val="20"/>
        </w:rPr>
        <w:lastRenderedPageBreak/>
        <w:t>No evident differences were found when comparing microbiota features of the rectal biopsy and the distal sigmoid in cases. Samples were highly correlated at the phylum (R</w:t>
      </w:r>
      <w:r w:rsidRPr="000300C6">
        <w:rPr>
          <w:sz w:val="20"/>
          <w:szCs w:val="20"/>
          <w:vertAlign w:val="superscript"/>
        </w:rPr>
        <w:t>2</w:t>
      </w:r>
      <w:r w:rsidRPr="000300C6">
        <w:rPr>
          <w:sz w:val="20"/>
          <w:szCs w:val="20"/>
        </w:rPr>
        <w:t>=0.993) and genus (R</w:t>
      </w:r>
      <w:r w:rsidRPr="000300C6">
        <w:rPr>
          <w:sz w:val="20"/>
          <w:szCs w:val="20"/>
          <w:vertAlign w:val="superscript"/>
        </w:rPr>
        <w:t>2</w:t>
      </w:r>
      <w:r w:rsidRPr="000300C6">
        <w:rPr>
          <w:sz w:val="20"/>
          <w:szCs w:val="20"/>
        </w:rPr>
        <w:t>=0.982) levels.</w:t>
      </w:r>
    </w:p>
    <w:p w14:paraId="350E5261" w14:textId="0D7A5B9A" w:rsidR="004A7A7C" w:rsidRPr="000300C6" w:rsidRDefault="004A7A7C" w:rsidP="004A7A7C">
      <w:pPr>
        <w:spacing w:line="360" w:lineRule="auto"/>
        <w:ind w:firstLine="720"/>
        <w:jc w:val="both"/>
        <w:rPr>
          <w:rFonts w:eastAsia="Times New Roman"/>
          <w:b/>
          <w:sz w:val="24"/>
          <w:szCs w:val="24"/>
          <w:lang w:eastAsia="en-GB"/>
        </w:rPr>
      </w:pPr>
      <w:r w:rsidRPr="000300C6">
        <w:rPr>
          <w:rFonts w:eastAsia="Times New Roman"/>
          <w:b/>
          <w:sz w:val="24"/>
          <w:szCs w:val="24"/>
          <w:lang w:eastAsia="en-GB"/>
        </w:rPr>
        <w:t>2.e – Comparison of the microbiota according to androgen deprivation therapy (ADT) and testosterone recovery status in the late cohort</w:t>
      </w:r>
    </w:p>
    <w:p w14:paraId="3C14CCA4" w14:textId="2E927A32" w:rsidR="004A7A7C" w:rsidRPr="000300C6" w:rsidRDefault="004A7A7C" w:rsidP="004A7A7C">
      <w:pPr>
        <w:spacing w:line="360" w:lineRule="auto"/>
        <w:jc w:val="both"/>
        <w:rPr>
          <w:sz w:val="20"/>
          <w:szCs w:val="20"/>
          <w:lang w:val="en-US"/>
        </w:rPr>
      </w:pPr>
      <w:r w:rsidRPr="000300C6">
        <w:rPr>
          <w:sz w:val="20"/>
          <w:szCs w:val="20"/>
          <w:lang w:val="en-US"/>
        </w:rPr>
        <w:t>In the late cohort, 10 (11%) patients were under active androgen deprivation therapy (ADT) and 40 (46%) had unrecovered testosterone levels. To test if these aspects had any impact on microbiota profiles, patients were divided in groups according to each characteristic and differences in the microbiota were tested. Table 2.e.1 summarizes overlapping features between these two groups of patients.</w:t>
      </w:r>
    </w:p>
    <w:p w14:paraId="30FF40C3" w14:textId="4464FBA6" w:rsidR="004A7A7C" w:rsidRPr="000300C6" w:rsidRDefault="004A7A7C" w:rsidP="004A7A7C">
      <w:pPr>
        <w:spacing w:after="40" w:line="259" w:lineRule="auto"/>
        <w:jc w:val="center"/>
        <w:rPr>
          <w:sz w:val="18"/>
          <w:szCs w:val="18"/>
        </w:rPr>
      </w:pPr>
      <w:r w:rsidRPr="000300C6">
        <w:rPr>
          <w:b/>
          <w:sz w:val="18"/>
          <w:szCs w:val="18"/>
        </w:rPr>
        <w:t xml:space="preserve">Supplementary table 2.e.1: </w:t>
      </w:r>
      <w:r w:rsidR="00854A6C">
        <w:rPr>
          <w:sz w:val="18"/>
          <w:szCs w:val="18"/>
        </w:rPr>
        <w:t>Number of patients on ADT and/or with testosterone levels not recovered to normal</w:t>
      </w:r>
      <w:r w:rsidRPr="000300C6">
        <w:rPr>
          <w:sz w:val="18"/>
          <w:szCs w:val="18"/>
        </w:rPr>
        <w:t>.</w:t>
      </w:r>
    </w:p>
    <w:tbl>
      <w:tblPr>
        <w:tblStyle w:val="PlainTable2"/>
        <w:tblW w:w="6966" w:type="dxa"/>
        <w:jc w:val="center"/>
        <w:tblInd w:w="0" w:type="dxa"/>
        <w:tblBorders>
          <w:left w:val="single" w:sz="4" w:space="0" w:color="7F7F7F" w:themeColor="text1" w:themeTint="80"/>
          <w:right w:val="single" w:sz="4" w:space="0" w:color="7F7F7F" w:themeColor="text1" w:themeTint="80"/>
          <w:insideH w:val="single" w:sz="4" w:space="0" w:color="7F7F7F" w:themeColor="text1" w:themeTint="80"/>
        </w:tblBorders>
        <w:tblLook w:val="04A0" w:firstRow="1" w:lastRow="0" w:firstColumn="1" w:lastColumn="0" w:noHBand="0" w:noVBand="1"/>
      </w:tblPr>
      <w:tblGrid>
        <w:gridCol w:w="2665"/>
        <w:gridCol w:w="2127"/>
        <w:gridCol w:w="2174"/>
      </w:tblGrid>
      <w:tr w:rsidR="004A7A7C" w:rsidRPr="000300C6" w14:paraId="19E59375" w14:textId="77777777" w:rsidTr="004A7A7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14:paraId="671C4FB6" w14:textId="77777777" w:rsidR="004A7A7C" w:rsidRPr="000300C6" w:rsidRDefault="004A7A7C" w:rsidP="004A7A7C">
            <w:pPr>
              <w:spacing w:after="0" w:line="240" w:lineRule="auto"/>
              <w:rPr>
                <w:rFonts w:asciiTheme="minorHAnsi" w:eastAsia="Times New Roman" w:hAnsiTheme="minorHAnsi" w:cstheme="minorHAnsi"/>
                <w:sz w:val="16"/>
                <w:szCs w:val="16"/>
                <w:lang w:val="en-GB" w:eastAsia="en-GB"/>
              </w:rPr>
            </w:pPr>
          </w:p>
        </w:tc>
        <w:tc>
          <w:tcPr>
            <w:tcW w:w="2127" w:type="dxa"/>
            <w:noWrap/>
            <w:vAlign w:val="center"/>
            <w:hideMark/>
          </w:tcPr>
          <w:p w14:paraId="3CA37361" w14:textId="77777777" w:rsidR="004A7A7C" w:rsidRPr="000300C6" w:rsidRDefault="004A7A7C" w:rsidP="004A7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GB" w:eastAsia="en-GB"/>
              </w:rPr>
            </w:pPr>
            <w:r w:rsidRPr="000300C6">
              <w:rPr>
                <w:rFonts w:asciiTheme="minorHAnsi" w:eastAsia="Times New Roman" w:hAnsiTheme="minorHAnsi" w:cstheme="minorHAnsi"/>
                <w:sz w:val="16"/>
                <w:szCs w:val="16"/>
                <w:lang w:val="en-GB" w:eastAsia="en-GB"/>
              </w:rPr>
              <w:t>On hormone therapy (ADT)</w:t>
            </w:r>
          </w:p>
        </w:tc>
        <w:tc>
          <w:tcPr>
            <w:tcW w:w="2174" w:type="dxa"/>
            <w:noWrap/>
            <w:vAlign w:val="center"/>
            <w:hideMark/>
          </w:tcPr>
          <w:p w14:paraId="658E29C7" w14:textId="77777777" w:rsidR="004A7A7C" w:rsidRPr="000300C6" w:rsidRDefault="004A7A7C" w:rsidP="004A7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GB" w:eastAsia="en-GB"/>
              </w:rPr>
            </w:pPr>
            <w:r w:rsidRPr="000300C6">
              <w:rPr>
                <w:rFonts w:asciiTheme="minorHAnsi" w:eastAsia="Times New Roman" w:hAnsiTheme="minorHAnsi" w:cstheme="minorHAnsi"/>
                <w:sz w:val="16"/>
                <w:szCs w:val="16"/>
                <w:lang w:val="en-GB" w:eastAsia="en-GB"/>
              </w:rPr>
              <w:t>Testosterone not recovered</w:t>
            </w:r>
          </w:p>
        </w:tc>
      </w:tr>
      <w:tr w:rsidR="004A7A7C" w:rsidRPr="000300C6" w14:paraId="1C57EF68" w14:textId="77777777" w:rsidTr="004A7A7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65" w:type="dxa"/>
            <w:tcBorders>
              <w:right w:val="single" w:sz="4" w:space="0" w:color="7F7F7F" w:themeColor="text1" w:themeTint="80"/>
            </w:tcBorders>
            <w:noWrap/>
            <w:vAlign w:val="center"/>
            <w:hideMark/>
          </w:tcPr>
          <w:p w14:paraId="0D9D8340" w14:textId="77777777" w:rsidR="004A7A7C" w:rsidRPr="000300C6" w:rsidRDefault="004A7A7C" w:rsidP="004A7A7C">
            <w:pPr>
              <w:spacing w:after="0" w:line="240" w:lineRule="auto"/>
              <w:rPr>
                <w:rFonts w:asciiTheme="minorHAnsi" w:eastAsia="Times New Roman" w:hAnsiTheme="minorHAnsi" w:cstheme="minorHAnsi"/>
                <w:sz w:val="16"/>
                <w:szCs w:val="16"/>
                <w:lang w:val="en-GB" w:eastAsia="en-GB"/>
              </w:rPr>
            </w:pPr>
            <w:r w:rsidRPr="000300C6">
              <w:rPr>
                <w:rFonts w:asciiTheme="minorHAnsi" w:eastAsia="Times New Roman" w:hAnsiTheme="minorHAnsi" w:cstheme="minorHAnsi"/>
                <w:sz w:val="16"/>
                <w:szCs w:val="16"/>
                <w:lang w:val="en-GB" w:eastAsia="en-GB"/>
              </w:rPr>
              <w:t>On hormone therapy (ADT)</w:t>
            </w:r>
          </w:p>
        </w:tc>
        <w:tc>
          <w:tcPr>
            <w:tcW w:w="2127" w:type="dxa"/>
            <w:shd w:val="clear" w:color="auto" w:fill="D9D9D9" w:themeFill="background1" w:themeFillShade="D9"/>
            <w:noWrap/>
            <w:vAlign w:val="center"/>
            <w:hideMark/>
          </w:tcPr>
          <w:p w14:paraId="769545C7" w14:textId="77777777" w:rsidR="004A7A7C" w:rsidRPr="000300C6" w:rsidRDefault="004A7A7C" w:rsidP="004A7A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 w:val="16"/>
                <w:szCs w:val="16"/>
                <w:lang w:val="en-GB" w:eastAsia="en-GB"/>
              </w:rPr>
            </w:pPr>
            <w:r w:rsidRPr="000300C6">
              <w:rPr>
                <w:rFonts w:asciiTheme="minorHAnsi" w:eastAsia="Times New Roman" w:hAnsiTheme="minorHAnsi" w:cstheme="minorHAnsi"/>
                <w:i/>
                <w:iCs/>
                <w:color w:val="000000"/>
                <w:sz w:val="16"/>
                <w:szCs w:val="16"/>
                <w:lang w:val="en-GB" w:eastAsia="en-GB"/>
              </w:rPr>
              <w:t>10*</w:t>
            </w:r>
          </w:p>
        </w:tc>
        <w:tc>
          <w:tcPr>
            <w:tcW w:w="2174" w:type="dxa"/>
            <w:noWrap/>
            <w:vAlign w:val="center"/>
            <w:hideMark/>
          </w:tcPr>
          <w:p w14:paraId="57A2D1D0" w14:textId="77777777" w:rsidR="004A7A7C" w:rsidRPr="000300C6" w:rsidRDefault="004A7A7C" w:rsidP="004A7A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val="en-GB" w:eastAsia="en-GB"/>
              </w:rPr>
            </w:pPr>
            <w:r w:rsidRPr="000300C6">
              <w:rPr>
                <w:rFonts w:asciiTheme="minorHAnsi" w:eastAsia="Times New Roman" w:hAnsiTheme="minorHAnsi" w:cstheme="minorHAnsi"/>
                <w:color w:val="000000"/>
                <w:sz w:val="16"/>
                <w:szCs w:val="16"/>
                <w:lang w:val="en-GB" w:eastAsia="en-GB"/>
              </w:rPr>
              <w:t>10</w:t>
            </w:r>
          </w:p>
        </w:tc>
      </w:tr>
      <w:tr w:rsidR="004A7A7C" w:rsidRPr="000300C6" w14:paraId="3818F7FE" w14:textId="77777777" w:rsidTr="004A7A7C">
        <w:trPr>
          <w:trHeight w:val="288"/>
          <w:jc w:val="center"/>
        </w:trPr>
        <w:tc>
          <w:tcPr>
            <w:cnfStyle w:val="001000000000" w:firstRow="0" w:lastRow="0" w:firstColumn="1" w:lastColumn="0" w:oddVBand="0" w:evenVBand="0" w:oddHBand="0" w:evenHBand="0" w:firstRowFirstColumn="0" w:firstRowLastColumn="0" w:lastRowFirstColumn="0" w:lastRowLastColumn="0"/>
            <w:tcW w:w="2665" w:type="dxa"/>
            <w:tcBorders>
              <w:right w:val="single" w:sz="4" w:space="0" w:color="7F7F7F" w:themeColor="text1" w:themeTint="80"/>
            </w:tcBorders>
            <w:noWrap/>
            <w:vAlign w:val="center"/>
            <w:hideMark/>
          </w:tcPr>
          <w:p w14:paraId="74883043" w14:textId="77777777" w:rsidR="004A7A7C" w:rsidRPr="000300C6" w:rsidRDefault="004A7A7C" w:rsidP="004A7A7C">
            <w:pPr>
              <w:spacing w:after="0" w:line="240" w:lineRule="auto"/>
              <w:rPr>
                <w:rFonts w:asciiTheme="minorHAnsi" w:eastAsia="Times New Roman" w:hAnsiTheme="minorHAnsi" w:cstheme="minorHAnsi"/>
                <w:sz w:val="16"/>
                <w:szCs w:val="16"/>
                <w:lang w:val="en-GB" w:eastAsia="en-GB"/>
              </w:rPr>
            </w:pPr>
            <w:r w:rsidRPr="000300C6">
              <w:rPr>
                <w:rFonts w:asciiTheme="minorHAnsi" w:eastAsia="Times New Roman" w:hAnsiTheme="minorHAnsi" w:cstheme="minorHAnsi"/>
                <w:sz w:val="16"/>
                <w:szCs w:val="16"/>
                <w:lang w:val="en-GB" w:eastAsia="en-GB"/>
              </w:rPr>
              <w:t>Testosterone not recovered</w:t>
            </w:r>
          </w:p>
        </w:tc>
        <w:tc>
          <w:tcPr>
            <w:tcW w:w="2127" w:type="dxa"/>
            <w:noWrap/>
            <w:vAlign w:val="center"/>
            <w:hideMark/>
          </w:tcPr>
          <w:p w14:paraId="343DE794" w14:textId="77777777" w:rsidR="004A7A7C" w:rsidRPr="000300C6" w:rsidRDefault="004A7A7C" w:rsidP="004A7A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n-GB" w:eastAsia="en-GB"/>
              </w:rPr>
            </w:pPr>
            <w:r w:rsidRPr="000300C6">
              <w:rPr>
                <w:rFonts w:asciiTheme="minorHAnsi" w:eastAsia="Times New Roman" w:hAnsiTheme="minorHAnsi" w:cstheme="minorHAnsi"/>
                <w:color w:val="000000"/>
                <w:sz w:val="16"/>
                <w:szCs w:val="16"/>
                <w:lang w:val="en-GB" w:eastAsia="en-GB"/>
              </w:rPr>
              <w:t>10</w:t>
            </w:r>
          </w:p>
        </w:tc>
        <w:tc>
          <w:tcPr>
            <w:tcW w:w="2174" w:type="dxa"/>
            <w:shd w:val="clear" w:color="auto" w:fill="D9D9D9" w:themeFill="background1" w:themeFillShade="D9"/>
            <w:noWrap/>
            <w:vAlign w:val="center"/>
            <w:hideMark/>
          </w:tcPr>
          <w:p w14:paraId="45E9DEE6" w14:textId="77777777" w:rsidR="004A7A7C" w:rsidRPr="000300C6" w:rsidRDefault="004A7A7C" w:rsidP="004A7A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16"/>
                <w:szCs w:val="16"/>
                <w:lang w:val="en-GB" w:eastAsia="en-GB"/>
              </w:rPr>
            </w:pPr>
            <w:r w:rsidRPr="000300C6">
              <w:rPr>
                <w:rFonts w:asciiTheme="minorHAnsi" w:eastAsia="Times New Roman" w:hAnsiTheme="minorHAnsi" w:cstheme="minorHAnsi"/>
                <w:i/>
                <w:iCs/>
                <w:color w:val="000000"/>
                <w:sz w:val="16"/>
                <w:szCs w:val="16"/>
                <w:lang w:val="en-GB" w:eastAsia="en-GB"/>
              </w:rPr>
              <w:t>40*</w:t>
            </w:r>
          </w:p>
        </w:tc>
      </w:tr>
    </w:tbl>
    <w:p w14:paraId="30EEAE54" w14:textId="77777777" w:rsidR="004A7A7C" w:rsidRPr="000300C6" w:rsidRDefault="004A7A7C" w:rsidP="004A7A7C">
      <w:pPr>
        <w:spacing w:after="160" w:line="259" w:lineRule="auto"/>
        <w:jc w:val="center"/>
        <w:rPr>
          <w:rFonts w:asciiTheme="minorHAnsi" w:eastAsiaTheme="minorHAnsi" w:hAnsiTheme="minorHAnsi" w:cstheme="minorBidi"/>
          <w:i/>
          <w:noProof/>
          <w:lang w:val="en-US"/>
        </w:rPr>
      </w:pPr>
      <w:r w:rsidRPr="000300C6">
        <w:rPr>
          <w:rFonts w:asciiTheme="minorHAnsi" w:eastAsiaTheme="minorHAnsi" w:hAnsiTheme="minorHAnsi" w:cstheme="minorBidi"/>
          <w:i/>
          <w:sz w:val="18"/>
          <w:szCs w:val="18"/>
          <w:lang w:val="en-US"/>
        </w:rPr>
        <w:t>*Numbers in italic/light grey cells indicate the total number of patients per group. Results are n in all cases.</w:t>
      </w:r>
    </w:p>
    <w:p w14:paraId="6526D5B5" w14:textId="77777777" w:rsidR="004A7A7C" w:rsidRPr="000300C6" w:rsidRDefault="004A7A7C" w:rsidP="004A7A7C">
      <w:pPr>
        <w:spacing w:line="360" w:lineRule="auto"/>
        <w:ind w:firstLine="720"/>
        <w:jc w:val="both"/>
        <w:rPr>
          <w:sz w:val="20"/>
          <w:szCs w:val="20"/>
          <w:u w:val="single"/>
        </w:rPr>
      </w:pPr>
    </w:p>
    <w:p w14:paraId="25136E93" w14:textId="5F83FA51" w:rsidR="004A7A7C" w:rsidRPr="000300C6" w:rsidRDefault="004A7A7C" w:rsidP="004A7A7C">
      <w:pPr>
        <w:spacing w:line="360" w:lineRule="auto"/>
        <w:ind w:firstLine="720"/>
        <w:jc w:val="both"/>
        <w:rPr>
          <w:sz w:val="20"/>
          <w:szCs w:val="20"/>
          <w:u w:val="single"/>
        </w:rPr>
      </w:pPr>
      <w:r w:rsidRPr="000300C6">
        <w:rPr>
          <w:sz w:val="20"/>
          <w:szCs w:val="20"/>
          <w:u w:val="single"/>
        </w:rPr>
        <w:t>2.e.1 – Diversity</w:t>
      </w:r>
    </w:p>
    <w:p w14:paraId="2666CCB2" w14:textId="586D8B6B" w:rsidR="004A7A7C" w:rsidRPr="000300C6" w:rsidRDefault="004A7A7C" w:rsidP="004A7A7C">
      <w:pPr>
        <w:spacing w:after="160" w:line="480" w:lineRule="auto"/>
        <w:jc w:val="both"/>
        <w:rPr>
          <w:sz w:val="20"/>
          <w:szCs w:val="20"/>
        </w:rPr>
      </w:pPr>
      <w:r w:rsidRPr="000300C6">
        <w:rPr>
          <w:sz w:val="20"/>
          <w:szCs w:val="20"/>
        </w:rPr>
        <w:t>Differences in the diversity of patients stratified by hormone therapy status and testosterone recovery status were not significantly different. Patients receiving ADT had median Chao of 51.6 (44.5-77.0) compared to 54.6 (47.3-79.3) for patients not under this treatment (p=0.63, figure 2.e.1-A). Patients with recovered levels of testosterone had a median Chao 55.7 (45.1-75.8) compared to 54.3 (48.7-87.5) in patients with testosterone levels &lt;6nmol/L (p=0.69, figure 2.e.1-B).</w:t>
      </w:r>
    </w:p>
    <w:p w14:paraId="109C11A5" w14:textId="16FDE8A7" w:rsidR="00C6057C" w:rsidRPr="000300C6" w:rsidRDefault="003D2B29" w:rsidP="004A7A7C">
      <w:pPr>
        <w:spacing w:after="0" w:line="240" w:lineRule="auto"/>
        <w:jc w:val="both"/>
        <w:rPr>
          <w:b/>
          <w:sz w:val="18"/>
          <w:szCs w:val="18"/>
        </w:rPr>
      </w:pPr>
      <w:r>
        <w:rPr>
          <w:noProof/>
        </w:rPr>
        <mc:AlternateContent>
          <mc:Choice Requires="wpg">
            <w:drawing>
              <wp:inline distT="0" distB="0" distL="0" distR="0" wp14:anchorId="25D309CA" wp14:editId="0A2CC5B8">
                <wp:extent cx="5731510" cy="2507536"/>
                <wp:effectExtent l="0" t="0" r="2540" b="762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507536"/>
                          <a:chOff x="0" y="0"/>
                          <a:chExt cx="73152" cy="23114"/>
                        </a:xfrm>
                      </wpg:grpSpPr>
                      <pic:pic xmlns:pic="http://schemas.openxmlformats.org/drawingml/2006/picture">
                        <pic:nvPicPr>
                          <pic:cNvPr id="254" name="Chart 4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 y="-52"/>
                            <a:ext cx="24505" cy="23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Chart 4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359" y="-52"/>
                            <a:ext cx="24506" cy="23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Chart 4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719" y="-52"/>
                            <a:ext cx="24506" cy="23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D38978" id="Group 253" o:spid="_x0000_s1026" style="width:451.3pt;height:197.45pt;mso-position-horizontal-relative:char;mso-position-vertical-relative:line" coordsize="73152,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7" o:spid="_x0000_s1027" type="#_x0000_t75" style="position:absolute;left:-73;top:-52;width:24505;height:2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">
                  <v:imagedata r:id="rId34" o:title=""/>
                  <o:lock v:ext="edit" aspectratio="f"/>
                </v:shape>
                <v:shape id="Chart 48" o:spid="_x0000_s1028" type="#_x0000_t75" style="position:absolute;left:24359;top:-52;width:24506;height:2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">
                  <v:imagedata r:id="rId35" o:title=""/>
                  <o:lock v:ext="edit" aspectratio="f"/>
                </v:shape>
                <v:shape id="Chart 49" o:spid="_x0000_s1029" type="#_x0000_t75" style="position:absolute;left:48719;top:-52;width:24506;height:2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">
                  <v:imagedata r:id="rId36" o:title=""/>
                  <o:lock v:ext="edit" aspectratio="f"/>
                </v:shape>
                <w10:anchorlock/>
              </v:group>
            </w:pict>
          </mc:Fallback>
        </mc:AlternateContent>
      </w:r>
    </w:p>
    <w:p w14:paraId="5DA46105" w14:textId="6265C400" w:rsidR="004A7A7C" w:rsidRPr="000300C6" w:rsidRDefault="004A7A7C" w:rsidP="004A7A7C">
      <w:pPr>
        <w:spacing w:after="0" w:line="240" w:lineRule="auto"/>
        <w:jc w:val="both"/>
        <w:rPr>
          <w:sz w:val="18"/>
          <w:szCs w:val="18"/>
        </w:rPr>
      </w:pPr>
      <w:r w:rsidRPr="000300C6">
        <w:rPr>
          <w:b/>
          <w:sz w:val="18"/>
          <w:szCs w:val="18"/>
        </w:rPr>
        <w:t>Supplementary figure 2.</w:t>
      </w:r>
      <w:r w:rsidR="00ED27CE">
        <w:rPr>
          <w:b/>
          <w:sz w:val="18"/>
          <w:szCs w:val="18"/>
        </w:rPr>
        <w:t>e</w:t>
      </w:r>
      <w:r w:rsidRPr="000300C6">
        <w:rPr>
          <w:b/>
          <w:sz w:val="18"/>
          <w:szCs w:val="18"/>
        </w:rPr>
        <w:t>.</w:t>
      </w:r>
      <w:r w:rsidR="00ED27CE">
        <w:rPr>
          <w:b/>
          <w:sz w:val="18"/>
          <w:szCs w:val="18"/>
        </w:rPr>
        <w:t>1</w:t>
      </w:r>
      <w:r w:rsidRPr="000300C6">
        <w:rPr>
          <w:b/>
          <w:sz w:val="18"/>
          <w:szCs w:val="18"/>
        </w:rPr>
        <w:t>:</w:t>
      </w:r>
      <w:r w:rsidRPr="000300C6">
        <w:rPr>
          <w:sz w:val="18"/>
          <w:szCs w:val="18"/>
        </w:rPr>
        <w:t xml:space="preserve"> Chao richness by recurrent prostate cancer (A, p=0.03), current hormone therapy (B, p=0.63), testosterone recovery (C, p=0.69). The table below the figure indicates the number of patients assessed by group.</w:t>
      </w:r>
    </w:p>
    <w:p w14:paraId="3F37ECCB" w14:textId="1EE89880" w:rsidR="004A7A7C" w:rsidRPr="000300C6" w:rsidRDefault="004A7A7C" w:rsidP="004A7A7C">
      <w:pPr>
        <w:spacing w:after="160" w:line="480" w:lineRule="auto"/>
        <w:jc w:val="both"/>
        <w:rPr>
          <w:b/>
          <w:sz w:val="28"/>
          <w:szCs w:val="28"/>
          <w:lang w:val="en-US"/>
        </w:rPr>
      </w:pPr>
    </w:p>
    <w:p w14:paraId="5799FDAF" w14:textId="017DDF58" w:rsidR="004A7A7C" w:rsidRPr="000300C6" w:rsidRDefault="004A7A7C" w:rsidP="004A7A7C">
      <w:pPr>
        <w:spacing w:line="360" w:lineRule="auto"/>
        <w:ind w:firstLine="720"/>
        <w:jc w:val="both"/>
        <w:rPr>
          <w:sz w:val="20"/>
          <w:szCs w:val="20"/>
          <w:u w:val="single"/>
        </w:rPr>
      </w:pPr>
      <w:r w:rsidRPr="000300C6">
        <w:rPr>
          <w:sz w:val="20"/>
          <w:szCs w:val="20"/>
          <w:u w:val="single"/>
        </w:rPr>
        <w:lastRenderedPageBreak/>
        <w:t>2.e.2 – Microbial features</w:t>
      </w:r>
    </w:p>
    <w:p w14:paraId="347DDDDC" w14:textId="4CBF2846" w:rsidR="003D2B29" w:rsidRPr="003D2B29" w:rsidRDefault="003D2B29" w:rsidP="003D2B29">
      <w:pPr>
        <w:spacing w:after="160" w:line="480" w:lineRule="auto"/>
        <w:jc w:val="both"/>
        <w:rPr>
          <w:sz w:val="20"/>
          <w:szCs w:val="20"/>
        </w:rPr>
      </w:pPr>
      <w:r w:rsidRPr="003D2B29">
        <w:rPr>
          <w:sz w:val="20"/>
          <w:szCs w:val="20"/>
        </w:rPr>
        <w:t xml:space="preserve">No differences were detected at the phylum level between patients with and without recurrent tumours. At the genus level, </w:t>
      </w:r>
      <w:r w:rsidRPr="003D2B29">
        <w:rPr>
          <w:i/>
          <w:sz w:val="20"/>
          <w:szCs w:val="20"/>
        </w:rPr>
        <w:t>Odoribacter</w:t>
      </w:r>
      <w:r w:rsidRPr="003D2B29">
        <w:rPr>
          <w:sz w:val="20"/>
          <w:szCs w:val="20"/>
        </w:rPr>
        <w:t xml:space="preserve"> was higher in patients with recurrent tumours, with a trend for significance before correction (p*=0.07, p&gt;0.1). No other features appeared different between groups.</w:t>
      </w:r>
    </w:p>
    <w:p w14:paraId="5BB5070E" w14:textId="240BCC63" w:rsidR="003D2B29" w:rsidRPr="003D2B29" w:rsidRDefault="003D2B29" w:rsidP="003D2B29">
      <w:pPr>
        <w:spacing w:after="160" w:line="480" w:lineRule="auto"/>
        <w:jc w:val="both"/>
        <w:rPr>
          <w:sz w:val="20"/>
          <w:szCs w:val="20"/>
        </w:rPr>
      </w:pPr>
      <w:r w:rsidRPr="003D2B29">
        <w:rPr>
          <w:sz w:val="20"/>
          <w:szCs w:val="20"/>
        </w:rPr>
        <w:t xml:space="preserve">No differences were detected at the phylum level according to ADT status. At the genus level, </w:t>
      </w:r>
      <w:r w:rsidRPr="003D2B29">
        <w:rPr>
          <w:i/>
          <w:sz w:val="20"/>
          <w:szCs w:val="20"/>
        </w:rPr>
        <w:t>Oscillibacter</w:t>
      </w:r>
      <w:r w:rsidRPr="003D2B29">
        <w:rPr>
          <w:sz w:val="20"/>
          <w:szCs w:val="20"/>
        </w:rPr>
        <w:t xml:space="preserve"> was lower in patients receiving ADT (p*=0.03, p&gt;0.1). No other differential features were apparent.</w:t>
      </w:r>
    </w:p>
    <w:p w14:paraId="373F454A" w14:textId="4458EEEF" w:rsidR="006B1AEA" w:rsidRPr="000300C6" w:rsidRDefault="003D2B29" w:rsidP="003D2B29">
      <w:pPr>
        <w:spacing w:after="160" w:line="480" w:lineRule="auto"/>
        <w:jc w:val="both"/>
        <w:rPr>
          <w:b/>
          <w:sz w:val="28"/>
          <w:szCs w:val="28"/>
          <w:lang w:val="en-US"/>
        </w:rPr>
      </w:pPr>
      <w:r w:rsidRPr="003D2B29">
        <w:rPr>
          <w:sz w:val="20"/>
          <w:szCs w:val="20"/>
        </w:rPr>
        <w:t xml:space="preserve">At the phylum level, Firmicutes were higher in patients with normal testosterone levels (p*=0.04, p&gt;0.1). At the genus level, </w:t>
      </w:r>
      <w:r w:rsidRPr="003D2B29">
        <w:rPr>
          <w:i/>
          <w:sz w:val="20"/>
          <w:szCs w:val="20"/>
        </w:rPr>
        <w:t>Faecalibacterium</w:t>
      </w:r>
      <w:r w:rsidRPr="003D2B29">
        <w:rPr>
          <w:sz w:val="20"/>
          <w:szCs w:val="20"/>
        </w:rPr>
        <w:t xml:space="preserve"> was lower in patients with testosterone values lower than the normal range (p*=0.03, p&gt;0.1, figure 17D). No other differential features were apparent between groups.</w:t>
      </w:r>
      <w:r w:rsidR="006B1AEA" w:rsidRPr="000300C6">
        <w:rPr>
          <w:b/>
          <w:sz w:val="28"/>
          <w:szCs w:val="28"/>
          <w:lang w:val="en-US"/>
        </w:rPr>
        <w:br w:type="page"/>
      </w:r>
    </w:p>
    <w:p w14:paraId="6DECDEE1" w14:textId="7D97E411" w:rsidR="00E949DA" w:rsidRPr="000300C6" w:rsidRDefault="00DB3C90" w:rsidP="007341ED">
      <w:pPr>
        <w:spacing w:line="360" w:lineRule="auto"/>
        <w:jc w:val="both"/>
        <w:rPr>
          <w:b/>
          <w:sz w:val="28"/>
          <w:szCs w:val="28"/>
          <w:lang w:val="en-US"/>
        </w:rPr>
      </w:pPr>
      <w:r>
        <w:rPr>
          <w:b/>
          <w:sz w:val="28"/>
          <w:szCs w:val="28"/>
          <w:lang w:val="en-US"/>
        </w:rPr>
        <w:lastRenderedPageBreak/>
        <w:t>S.</w:t>
      </w:r>
      <w:r w:rsidR="000221D1" w:rsidRPr="000300C6">
        <w:rPr>
          <w:b/>
          <w:sz w:val="28"/>
          <w:szCs w:val="28"/>
          <w:lang w:val="en-US"/>
        </w:rPr>
        <w:t>3</w:t>
      </w:r>
      <w:r w:rsidR="00E949DA" w:rsidRPr="000300C6">
        <w:rPr>
          <w:b/>
          <w:sz w:val="28"/>
          <w:szCs w:val="28"/>
          <w:lang w:val="en-US"/>
        </w:rPr>
        <w:t xml:space="preserve"> – Supplementary figures</w:t>
      </w:r>
    </w:p>
    <w:p w14:paraId="5512D5D1" w14:textId="4777AEA1" w:rsidR="000221D1" w:rsidRPr="000300C6" w:rsidRDefault="009C0C8B" w:rsidP="009C0C8B">
      <w:pPr>
        <w:spacing w:after="0"/>
        <w:jc w:val="center"/>
        <w:rPr>
          <w:lang w:val="en-US"/>
        </w:rPr>
      </w:pPr>
      <w:r w:rsidRPr="000300C6">
        <w:rPr>
          <w:noProof/>
          <w:lang w:val="en-US"/>
        </w:rPr>
        <w:drawing>
          <wp:inline distT="0" distB="0" distL="0" distR="0" wp14:anchorId="5235FCA1" wp14:editId="35598CB4">
            <wp:extent cx="5791200" cy="3451225"/>
            <wp:effectExtent l="19050" t="19050" r="1905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75" t="-4842" r="-2682" b="-4822"/>
                    <a:stretch/>
                  </pic:blipFill>
                  <pic:spPr bwMode="auto">
                    <a:xfrm>
                      <a:off x="0" y="0"/>
                      <a:ext cx="5810256" cy="34625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818C5E" w14:textId="77777777" w:rsidR="009C0C8B" w:rsidRPr="000300C6" w:rsidRDefault="009C0C8B" w:rsidP="009C0C8B">
      <w:pPr>
        <w:spacing w:after="0" w:line="360" w:lineRule="auto"/>
        <w:jc w:val="center"/>
        <w:rPr>
          <w:sz w:val="20"/>
          <w:szCs w:val="20"/>
        </w:rPr>
      </w:pPr>
      <w:r w:rsidRPr="000300C6">
        <w:rPr>
          <w:b/>
          <w:sz w:val="20"/>
          <w:szCs w:val="20"/>
        </w:rPr>
        <w:t>Figure SUPP-1:</w:t>
      </w:r>
      <w:r w:rsidRPr="000300C6">
        <w:rPr>
          <w:sz w:val="20"/>
          <w:szCs w:val="20"/>
        </w:rPr>
        <w:t xml:space="preserve"> Design of the MARS study. </w:t>
      </w:r>
    </w:p>
    <w:p w14:paraId="53A83E21" w14:textId="13C2569D" w:rsidR="009C0C8B" w:rsidRPr="000300C6" w:rsidRDefault="009C0C8B" w:rsidP="009C0C8B">
      <w:pPr>
        <w:spacing w:line="360" w:lineRule="auto"/>
        <w:jc w:val="center"/>
        <w:rPr>
          <w:i/>
          <w:sz w:val="20"/>
          <w:szCs w:val="20"/>
        </w:rPr>
      </w:pPr>
      <w:r w:rsidRPr="000300C6">
        <w:rPr>
          <w:i/>
          <w:sz w:val="20"/>
          <w:szCs w:val="20"/>
        </w:rPr>
        <w:t>IMRT: Intensity-Modulated Radiotherapy. FU = follow-up. *: see reference 7 in main text.</w:t>
      </w:r>
    </w:p>
    <w:p w14:paraId="55733D24" w14:textId="181074CA" w:rsidR="009C0C8B" w:rsidRPr="000300C6" w:rsidRDefault="009C0C8B" w:rsidP="009C0C8B">
      <w:pPr>
        <w:jc w:val="center"/>
      </w:pPr>
    </w:p>
    <w:p w14:paraId="4A5D2267" w14:textId="0F861118" w:rsidR="00D208E3" w:rsidRPr="000300C6" w:rsidRDefault="00D208E3" w:rsidP="00D208E3">
      <w:pPr>
        <w:spacing w:after="0"/>
        <w:jc w:val="center"/>
      </w:pPr>
      <w:r w:rsidRPr="000300C6">
        <w:rPr>
          <w:noProof/>
        </w:rPr>
        <w:drawing>
          <wp:inline distT="0" distB="0" distL="0" distR="0" wp14:anchorId="3406C657" wp14:editId="6CD5AEFE">
            <wp:extent cx="6003290" cy="3786286"/>
            <wp:effectExtent l="19050" t="19050" r="1651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21" t="-4876" r="-2999" b="-5243"/>
                    <a:stretch/>
                  </pic:blipFill>
                  <pic:spPr bwMode="auto">
                    <a:xfrm>
                      <a:off x="0" y="0"/>
                      <a:ext cx="6021475" cy="37977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FA5E07" w14:textId="223844C7" w:rsidR="00D208E3" w:rsidRPr="000300C6" w:rsidRDefault="00D208E3" w:rsidP="00D208E3">
      <w:pPr>
        <w:spacing w:after="0" w:line="360" w:lineRule="auto"/>
        <w:jc w:val="center"/>
        <w:rPr>
          <w:sz w:val="20"/>
          <w:szCs w:val="20"/>
        </w:rPr>
      </w:pPr>
      <w:r w:rsidRPr="000300C6">
        <w:rPr>
          <w:b/>
          <w:sz w:val="20"/>
          <w:szCs w:val="20"/>
        </w:rPr>
        <w:lastRenderedPageBreak/>
        <w:t>Figure SUPP-2:</w:t>
      </w:r>
      <w:r w:rsidRPr="000300C6">
        <w:rPr>
          <w:sz w:val="20"/>
          <w:szCs w:val="20"/>
        </w:rPr>
        <w:t xml:space="preserve"> Follow-up in the late cohort. </w:t>
      </w:r>
    </w:p>
    <w:p w14:paraId="03F5F216" w14:textId="071ADEF1" w:rsidR="00D208E3" w:rsidRPr="000300C6" w:rsidRDefault="00D208E3" w:rsidP="00D208E3">
      <w:pPr>
        <w:spacing w:line="360" w:lineRule="auto"/>
        <w:jc w:val="center"/>
        <w:rPr>
          <w:i/>
          <w:sz w:val="20"/>
          <w:szCs w:val="20"/>
        </w:rPr>
      </w:pPr>
      <w:r w:rsidRPr="000300C6">
        <w:rPr>
          <w:i/>
          <w:sz w:val="20"/>
          <w:szCs w:val="20"/>
        </w:rPr>
        <w:t>PLN: Pelvic-lymph nodes.</w:t>
      </w:r>
    </w:p>
    <w:p w14:paraId="01C00C8C" w14:textId="77777777" w:rsidR="00A63D38" w:rsidRPr="000300C6" w:rsidRDefault="00A63D38" w:rsidP="00A63D38">
      <w:pPr>
        <w:ind w:left="-709"/>
        <w:rPr>
          <w:sz w:val="18"/>
          <w:szCs w:val="18"/>
        </w:rPr>
      </w:pPr>
      <w:r w:rsidRPr="000300C6">
        <w:rPr>
          <w:noProof/>
          <w:sz w:val="18"/>
          <w:szCs w:val="18"/>
        </w:rPr>
        <w:drawing>
          <wp:inline distT="0" distB="0" distL="0" distR="0" wp14:anchorId="3CFAEB98" wp14:editId="012CED7B">
            <wp:extent cx="6638290" cy="3129534"/>
            <wp:effectExtent l="19050" t="19050" r="1016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70668" cy="3144798"/>
                    </a:xfrm>
                    <a:prstGeom prst="rect">
                      <a:avLst/>
                    </a:prstGeom>
                    <a:noFill/>
                    <a:ln>
                      <a:solidFill>
                        <a:schemeClr val="tx1"/>
                      </a:solidFill>
                    </a:ln>
                  </pic:spPr>
                </pic:pic>
              </a:graphicData>
            </a:graphic>
          </wp:inline>
        </w:drawing>
      </w:r>
    </w:p>
    <w:p w14:paraId="3FAE126D" w14:textId="0A5A5F7B" w:rsidR="00A63D38" w:rsidRPr="000300C6" w:rsidRDefault="00A63D38" w:rsidP="001170AE">
      <w:pPr>
        <w:spacing w:after="0"/>
        <w:jc w:val="center"/>
        <w:rPr>
          <w:sz w:val="20"/>
          <w:szCs w:val="20"/>
        </w:rPr>
      </w:pPr>
      <w:r w:rsidRPr="000300C6">
        <w:rPr>
          <w:b/>
          <w:sz w:val="20"/>
          <w:szCs w:val="20"/>
        </w:rPr>
        <w:t>Figure SUPP-</w:t>
      </w:r>
      <w:r w:rsidR="0089385F" w:rsidRPr="000300C6">
        <w:rPr>
          <w:b/>
          <w:sz w:val="20"/>
          <w:szCs w:val="20"/>
        </w:rPr>
        <w:t>3</w:t>
      </w:r>
      <w:r w:rsidRPr="000300C6">
        <w:rPr>
          <w:b/>
          <w:sz w:val="20"/>
          <w:szCs w:val="20"/>
        </w:rPr>
        <w:t>:</w:t>
      </w:r>
      <w:r w:rsidRPr="000300C6">
        <w:rPr>
          <w:sz w:val="20"/>
          <w:szCs w:val="20"/>
        </w:rPr>
        <w:t xml:space="preserve"> Location of sampling for patients with enteropathy (A) and control subjects (B).</w:t>
      </w:r>
    </w:p>
    <w:p w14:paraId="1405C8F4" w14:textId="77CA0EAD" w:rsidR="00A63D38" w:rsidRPr="000300C6" w:rsidRDefault="00A63D38" w:rsidP="00A63D38">
      <w:pPr>
        <w:jc w:val="center"/>
        <w:rPr>
          <w:i/>
          <w:iCs/>
          <w:sz w:val="20"/>
          <w:szCs w:val="20"/>
        </w:rPr>
      </w:pPr>
      <w:r w:rsidRPr="000300C6">
        <w:rPr>
          <w:i/>
          <w:iCs/>
          <w:sz w:val="20"/>
          <w:szCs w:val="20"/>
        </w:rPr>
        <w:t xml:space="preserve">In patients with radiation enteropathy, </w:t>
      </w:r>
      <w:r w:rsidR="0089385F" w:rsidRPr="000300C6">
        <w:rPr>
          <w:i/>
          <w:iCs/>
          <w:sz w:val="20"/>
          <w:szCs w:val="20"/>
        </w:rPr>
        <w:t xml:space="preserve">3 </w:t>
      </w:r>
      <w:r w:rsidRPr="000300C6">
        <w:rPr>
          <w:i/>
          <w:iCs/>
          <w:sz w:val="20"/>
          <w:szCs w:val="20"/>
        </w:rPr>
        <w:t>samples were taken from an area with (red) and</w:t>
      </w:r>
      <w:r w:rsidR="0089385F" w:rsidRPr="000300C6">
        <w:rPr>
          <w:i/>
          <w:iCs/>
          <w:sz w:val="20"/>
          <w:szCs w:val="20"/>
        </w:rPr>
        <w:t xml:space="preserve"> another 3 samples were taken from</w:t>
      </w:r>
      <w:r w:rsidRPr="000300C6">
        <w:rPr>
          <w:i/>
          <w:iCs/>
          <w:sz w:val="20"/>
          <w:szCs w:val="20"/>
        </w:rPr>
        <w:t xml:space="preserve"> an area without (green) enteropathy. In control subjects, only samples from the anterior rectum (blue) were taken.</w:t>
      </w:r>
    </w:p>
    <w:p w14:paraId="31ED7495" w14:textId="77777777" w:rsidR="001170AE" w:rsidRPr="000300C6" w:rsidRDefault="001170AE" w:rsidP="001170AE">
      <w:pPr>
        <w:spacing w:after="0"/>
        <w:jc w:val="center"/>
      </w:pPr>
      <w:r w:rsidRPr="000300C6">
        <w:rPr>
          <w:noProof/>
        </w:rPr>
        <w:drawing>
          <wp:inline distT="0" distB="0" distL="0" distR="0" wp14:anchorId="6CD1F185" wp14:editId="4D2B773F">
            <wp:extent cx="4663440" cy="2743200"/>
            <wp:effectExtent l="0" t="0" r="0" b="0"/>
            <wp:docPr id="5" name="Chart 5">
              <a:extLst xmlns:a="http://schemas.openxmlformats.org/drawingml/2006/main">
                <a:ext uri="{FF2B5EF4-FFF2-40B4-BE49-F238E27FC236}">
                  <a16:creationId xmlns:a16="http://schemas.microsoft.com/office/drawing/2014/main" id="{F08D0D10-A2EA-43E9-827B-3AF6329CF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5BD0C9" w14:textId="522F2CA5" w:rsidR="001170AE" w:rsidRPr="000300C6" w:rsidRDefault="001170AE" w:rsidP="001170AE">
      <w:pPr>
        <w:spacing w:after="0"/>
        <w:jc w:val="center"/>
        <w:rPr>
          <w:sz w:val="20"/>
          <w:szCs w:val="20"/>
          <w:lang w:val="en-US"/>
        </w:rPr>
      </w:pPr>
      <w:r w:rsidRPr="000300C6">
        <w:rPr>
          <w:b/>
          <w:sz w:val="20"/>
          <w:szCs w:val="20"/>
          <w:lang w:val="en-US"/>
        </w:rPr>
        <w:t>Figure SUPP-4:</w:t>
      </w:r>
      <w:r w:rsidRPr="000300C6">
        <w:rPr>
          <w:sz w:val="20"/>
          <w:szCs w:val="20"/>
          <w:lang w:val="en-US"/>
        </w:rPr>
        <w:t xml:space="preserve"> Mean Chao richness by patient-reported toxicity group (p=0.97).</w:t>
      </w:r>
    </w:p>
    <w:p w14:paraId="1965AE07" w14:textId="77777777" w:rsidR="001170AE" w:rsidRPr="000300C6" w:rsidRDefault="001170AE" w:rsidP="001170AE">
      <w:pPr>
        <w:spacing w:after="0"/>
        <w:jc w:val="center"/>
        <w:rPr>
          <w:sz w:val="20"/>
          <w:szCs w:val="20"/>
        </w:rPr>
      </w:pPr>
      <w:r w:rsidRPr="000300C6">
        <w:rPr>
          <w:i/>
          <w:sz w:val="20"/>
          <w:szCs w:val="20"/>
        </w:rPr>
        <w:t>The table below the figure indicates the number of patients assessed per symptom group.</w:t>
      </w:r>
    </w:p>
    <w:p w14:paraId="254A6FC1" w14:textId="2EA3626B" w:rsidR="00D208E3" w:rsidRDefault="00D208E3" w:rsidP="009C0C8B">
      <w:pPr>
        <w:jc w:val="center"/>
      </w:pPr>
    </w:p>
    <w:p w14:paraId="4D037D16" w14:textId="19E28325" w:rsidR="00CD7E74" w:rsidRDefault="00CD7E74" w:rsidP="009C0C8B">
      <w:pPr>
        <w:jc w:val="center"/>
      </w:pPr>
    </w:p>
    <w:p w14:paraId="21CDE73A" w14:textId="732C6C2A" w:rsidR="00CD7E74" w:rsidRDefault="00CD7E74" w:rsidP="009C0C8B">
      <w:pPr>
        <w:jc w:val="center"/>
      </w:pPr>
    </w:p>
    <w:p w14:paraId="0A3E8E22" w14:textId="560246D0" w:rsidR="00CD7E74" w:rsidRDefault="00CD7E74" w:rsidP="009C0C8B">
      <w:pPr>
        <w:jc w:val="center"/>
      </w:pPr>
      <w:bookmarkStart w:id="9" w:name="_Hlk9366372"/>
      <w:bookmarkStart w:id="10" w:name="_GoBack"/>
      <w:r>
        <w:rPr>
          <w:noProof/>
        </w:rPr>
        <w:lastRenderedPageBreak/>
        <w:drawing>
          <wp:inline distT="0" distB="0" distL="0" distR="0" wp14:anchorId="30636E62" wp14:editId="7F1F21B8">
            <wp:extent cx="5731510" cy="4048760"/>
            <wp:effectExtent l="19050" t="19050" r="2159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048760"/>
                    </a:xfrm>
                    <a:prstGeom prst="rect">
                      <a:avLst/>
                    </a:prstGeom>
                    <a:ln>
                      <a:solidFill>
                        <a:schemeClr val="tx1"/>
                      </a:solidFill>
                    </a:ln>
                  </pic:spPr>
                </pic:pic>
              </a:graphicData>
            </a:graphic>
          </wp:inline>
        </w:drawing>
      </w:r>
    </w:p>
    <w:p w14:paraId="4073D6CB" w14:textId="1BA96A98" w:rsidR="00CD7E74" w:rsidRDefault="00CD7E74" w:rsidP="009C0C8B">
      <w:pPr>
        <w:jc w:val="center"/>
      </w:pPr>
      <w:r w:rsidRPr="000300C6">
        <w:rPr>
          <w:b/>
          <w:sz w:val="20"/>
          <w:szCs w:val="20"/>
          <w:lang w:val="en-US"/>
        </w:rPr>
        <w:t>Figure SUPP-5:</w:t>
      </w:r>
      <w:r w:rsidRPr="000300C6">
        <w:rPr>
          <w:sz w:val="20"/>
          <w:szCs w:val="20"/>
          <w:lang w:val="en-US"/>
        </w:rPr>
        <w:t xml:space="preserve"> </w:t>
      </w:r>
      <w:bookmarkStart w:id="11" w:name="_Hlk9366087"/>
      <w:r w:rsidRPr="000300C6">
        <w:rPr>
          <w:bCs/>
          <w:sz w:val="20"/>
          <w:szCs w:val="20"/>
        </w:rPr>
        <w:t>Dynamics of</w:t>
      </w:r>
      <w:r>
        <w:rPr>
          <w:bCs/>
          <w:sz w:val="20"/>
          <w:szCs w:val="20"/>
        </w:rPr>
        <w:t xml:space="preserve"> </w:t>
      </w:r>
      <w:r w:rsidRPr="004D3F6B">
        <w:rPr>
          <w:rFonts w:eastAsia="Times New Roman" w:cs="Calibri"/>
          <w:sz w:val="20"/>
          <w:szCs w:val="20"/>
          <w:lang w:eastAsia="en-GB"/>
        </w:rPr>
        <w:t>Dynamics of Chao diversity over time</w:t>
      </w:r>
      <w:r>
        <w:rPr>
          <w:rFonts w:eastAsia="Times New Roman" w:cs="Calibri"/>
          <w:sz w:val="20"/>
          <w:szCs w:val="20"/>
          <w:lang w:eastAsia="en-GB"/>
        </w:rPr>
        <w:t xml:space="preserve"> in the acute cohort not stratified by GI symptoms.</w:t>
      </w:r>
      <w:bookmarkEnd w:id="11"/>
    </w:p>
    <w:bookmarkEnd w:id="9"/>
    <w:bookmarkEnd w:id="10"/>
    <w:p w14:paraId="2D8C3FE0" w14:textId="787B47EB" w:rsidR="00CD7E74" w:rsidRDefault="00CD7E74">
      <w:pPr>
        <w:spacing w:after="160" w:line="259" w:lineRule="auto"/>
      </w:pPr>
      <w:r>
        <w:br w:type="page"/>
      </w:r>
    </w:p>
    <w:p w14:paraId="2C82F084" w14:textId="77777777" w:rsidR="00CD7E74" w:rsidRPr="000300C6" w:rsidRDefault="00CD7E74" w:rsidP="009C0C8B">
      <w:pPr>
        <w:jc w:val="center"/>
      </w:pPr>
    </w:p>
    <w:p w14:paraId="622D2F52" w14:textId="17CD85C4" w:rsidR="006704A3" w:rsidRPr="000300C6" w:rsidRDefault="006704A3" w:rsidP="006704A3">
      <w:pPr>
        <w:spacing w:after="160" w:line="259" w:lineRule="auto"/>
        <w:jc w:val="center"/>
        <w:rPr>
          <w:b/>
          <w:sz w:val="28"/>
          <w:szCs w:val="28"/>
          <w:lang w:val="en-US"/>
        </w:rPr>
      </w:pPr>
      <w:r w:rsidRPr="000300C6">
        <w:rPr>
          <w:b/>
          <w:noProof/>
          <w:sz w:val="28"/>
          <w:szCs w:val="28"/>
          <w:lang w:val="en-US"/>
        </w:rPr>
        <w:drawing>
          <wp:inline distT="0" distB="0" distL="0" distR="0" wp14:anchorId="0DA60EA6" wp14:editId="1891E137">
            <wp:extent cx="4876184" cy="6697980"/>
            <wp:effectExtent l="19050" t="19050" r="1968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434" t="1" r="-4075" b="-1514"/>
                    <a:stretch/>
                  </pic:blipFill>
                  <pic:spPr bwMode="auto">
                    <a:xfrm>
                      <a:off x="0" y="0"/>
                      <a:ext cx="4884995" cy="67100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9166D3" w14:textId="1D86BDAA" w:rsidR="006704A3" w:rsidRPr="000300C6" w:rsidRDefault="006704A3" w:rsidP="006704A3">
      <w:pPr>
        <w:spacing w:after="0"/>
        <w:jc w:val="center"/>
        <w:rPr>
          <w:i/>
          <w:iCs/>
          <w:sz w:val="18"/>
          <w:szCs w:val="18"/>
        </w:rPr>
      </w:pPr>
      <w:r w:rsidRPr="000300C6">
        <w:rPr>
          <w:b/>
          <w:sz w:val="20"/>
          <w:szCs w:val="20"/>
          <w:lang w:val="en-US"/>
        </w:rPr>
        <w:t>Figure SUPP-</w:t>
      </w:r>
      <w:r w:rsidR="00CD7E74">
        <w:rPr>
          <w:b/>
          <w:sz w:val="20"/>
          <w:szCs w:val="20"/>
          <w:lang w:val="en-US"/>
        </w:rPr>
        <w:t>6</w:t>
      </w:r>
      <w:r w:rsidRPr="000300C6">
        <w:rPr>
          <w:b/>
          <w:sz w:val="20"/>
          <w:szCs w:val="20"/>
          <w:lang w:val="en-US"/>
        </w:rPr>
        <w:t>:</w:t>
      </w:r>
      <w:r w:rsidRPr="000300C6">
        <w:rPr>
          <w:sz w:val="20"/>
          <w:szCs w:val="20"/>
          <w:lang w:val="en-US"/>
        </w:rPr>
        <w:t xml:space="preserve"> </w:t>
      </w:r>
      <w:r w:rsidRPr="000300C6">
        <w:rPr>
          <w:bCs/>
          <w:sz w:val="20"/>
          <w:szCs w:val="20"/>
        </w:rPr>
        <w:t xml:space="preserve">Dynamics of abundance of KEGG microbial pathways of butyrate* metabolism (A/B), propionate* metabolism(C/D), fatty acid degradation (E/F) fatty acid metabolism (G/H), and metabolic pathways (I/J) over time in PRO (left) and CRO (right) stratified groups. </w:t>
      </w:r>
      <w:r w:rsidRPr="000300C6">
        <w:rPr>
          <w:sz w:val="20"/>
          <w:szCs w:val="20"/>
        </w:rPr>
        <w:t xml:space="preserve">The effect of PRO symptom group was significant for biosynthesis of unsaturated fatty acids (PRO: p=0.04; CRO: p=0.08). </w:t>
      </w:r>
      <w:r w:rsidRPr="000300C6">
        <w:rPr>
          <w:i/>
          <w:iCs/>
          <w:sz w:val="18"/>
          <w:szCs w:val="18"/>
        </w:rPr>
        <w:t>Groups: 0 = no symptoms, 1 = non-persistent symptoms, and 2 = persistent symptoms. Timepoints: 1=baseline, 2=2/3 weeks, 3=4/5 weeks, 4=12 weeks, 5=6 months, and 6=12 months after radiotherapy initiation. A square root transformation was used due to a positive skew of the data, which was confirmed to provide superior goodness of fit when compared to a log transformation in all models. *: Butyrate/butanoate and propionate/propanoate are interchangeable expressions. For graphical purposes we chose to use the names of pathways as defined in the KEGG database.</w:t>
      </w:r>
    </w:p>
    <w:p w14:paraId="1963746A" w14:textId="1775CD18" w:rsidR="006704A3" w:rsidRPr="000300C6" w:rsidRDefault="006704A3" w:rsidP="006704A3">
      <w:pPr>
        <w:spacing w:after="0"/>
        <w:jc w:val="center"/>
        <w:rPr>
          <w:b/>
          <w:sz w:val="28"/>
          <w:szCs w:val="28"/>
        </w:rPr>
      </w:pPr>
    </w:p>
    <w:p w14:paraId="1D49C93E" w14:textId="39734491" w:rsidR="006704A3" w:rsidRPr="000300C6" w:rsidRDefault="006704A3" w:rsidP="006704A3">
      <w:pPr>
        <w:spacing w:after="0"/>
        <w:ind w:left="-1276"/>
        <w:jc w:val="center"/>
        <w:rPr>
          <w:b/>
          <w:sz w:val="28"/>
          <w:szCs w:val="28"/>
        </w:rPr>
      </w:pPr>
      <w:r w:rsidRPr="000300C6">
        <w:rPr>
          <w:b/>
          <w:noProof/>
          <w:sz w:val="28"/>
          <w:szCs w:val="28"/>
        </w:rPr>
        <w:drawing>
          <wp:inline distT="0" distB="0" distL="0" distR="0" wp14:anchorId="287EA13B" wp14:editId="69E2AE47">
            <wp:extent cx="7223589" cy="2446020"/>
            <wp:effectExtent l="19050" t="19050" r="1587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0533" cy="2482233"/>
                    </a:xfrm>
                    <a:prstGeom prst="rect">
                      <a:avLst/>
                    </a:prstGeom>
                    <a:noFill/>
                    <a:ln>
                      <a:solidFill>
                        <a:schemeClr val="tx1"/>
                      </a:solidFill>
                    </a:ln>
                  </pic:spPr>
                </pic:pic>
              </a:graphicData>
            </a:graphic>
          </wp:inline>
        </w:drawing>
      </w:r>
    </w:p>
    <w:p w14:paraId="161A50D6" w14:textId="451C3AA0" w:rsidR="006704A3" w:rsidRPr="000300C6" w:rsidRDefault="006704A3" w:rsidP="006704A3">
      <w:pPr>
        <w:spacing w:after="0"/>
        <w:ind w:left="-142"/>
        <w:jc w:val="center"/>
        <w:rPr>
          <w:bCs/>
          <w:sz w:val="20"/>
          <w:szCs w:val="20"/>
        </w:rPr>
      </w:pPr>
      <w:r w:rsidRPr="000300C6">
        <w:rPr>
          <w:b/>
          <w:sz w:val="20"/>
          <w:szCs w:val="20"/>
          <w:lang w:val="en-US"/>
        </w:rPr>
        <w:t>Figure SUPP-</w:t>
      </w:r>
      <w:r w:rsidR="00CD7E74">
        <w:rPr>
          <w:b/>
          <w:sz w:val="20"/>
          <w:szCs w:val="20"/>
          <w:lang w:val="en-US"/>
        </w:rPr>
        <w:t>7</w:t>
      </w:r>
      <w:r w:rsidRPr="000300C6">
        <w:rPr>
          <w:b/>
          <w:sz w:val="20"/>
          <w:szCs w:val="20"/>
          <w:lang w:val="en-US"/>
        </w:rPr>
        <w:t>:</w:t>
      </w:r>
      <w:r w:rsidRPr="000300C6">
        <w:rPr>
          <w:sz w:val="20"/>
          <w:szCs w:val="20"/>
          <w:lang w:val="en-US"/>
        </w:rPr>
        <w:t xml:space="preserve"> </w:t>
      </w:r>
      <w:r w:rsidRPr="000300C6">
        <w:rPr>
          <w:bCs/>
          <w:sz w:val="20"/>
          <w:szCs w:val="20"/>
        </w:rPr>
        <w:t>Fatty acid metabolism abundance with actual (A) and historical (B) by CRO diarrhoea grade in the late cohort. Higher grades reflect more serious symptoms. ****: p≤0.001. The x axis shows grade of diarrhoea.</w:t>
      </w:r>
    </w:p>
    <w:p w14:paraId="05D78F59" w14:textId="39A30A38" w:rsidR="006704A3" w:rsidRPr="000300C6" w:rsidRDefault="006704A3" w:rsidP="006704A3">
      <w:pPr>
        <w:spacing w:after="0"/>
        <w:ind w:left="-142"/>
        <w:jc w:val="center"/>
        <w:rPr>
          <w:sz w:val="28"/>
          <w:szCs w:val="28"/>
        </w:rPr>
      </w:pPr>
    </w:p>
    <w:p w14:paraId="3ECBEBB9" w14:textId="77777777" w:rsidR="006704A3" w:rsidRPr="000300C6" w:rsidRDefault="006704A3" w:rsidP="006704A3">
      <w:pPr>
        <w:spacing w:after="0"/>
        <w:ind w:left="-142"/>
        <w:jc w:val="center"/>
        <w:rPr>
          <w:sz w:val="28"/>
          <w:szCs w:val="28"/>
        </w:rPr>
      </w:pPr>
    </w:p>
    <w:p w14:paraId="71CE70E2" w14:textId="77777777" w:rsidR="006704A3" w:rsidRPr="000300C6" w:rsidRDefault="006704A3">
      <w:pPr>
        <w:spacing w:after="160" w:line="259" w:lineRule="auto"/>
        <w:rPr>
          <w:b/>
          <w:sz w:val="28"/>
          <w:szCs w:val="28"/>
          <w:lang w:val="en-US"/>
        </w:rPr>
      </w:pPr>
      <w:r w:rsidRPr="000300C6">
        <w:rPr>
          <w:b/>
          <w:sz w:val="28"/>
          <w:szCs w:val="28"/>
          <w:lang w:val="en-US"/>
        </w:rPr>
        <w:br w:type="page"/>
      </w:r>
    </w:p>
    <w:p w14:paraId="7E65FE87" w14:textId="580258B9" w:rsidR="000221D1" w:rsidRPr="000300C6" w:rsidRDefault="00DB3C90" w:rsidP="000221D1">
      <w:pPr>
        <w:spacing w:line="360" w:lineRule="auto"/>
        <w:jc w:val="both"/>
        <w:rPr>
          <w:b/>
          <w:sz w:val="28"/>
          <w:szCs w:val="28"/>
          <w:lang w:val="en-US"/>
        </w:rPr>
      </w:pPr>
      <w:r>
        <w:rPr>
          <w:b/>
          <w:sz w:val="28"/>
          <w:szCs w:val="28"/>
          <w:lang w:val="en-US"/>
        </w:rPr>
        <w:lastRenderedPageBreak/>
        <w:t>S.</w:t>
      </w:r>
      <w:r w:rsidR="000221D1" w:rsidRPr="000300C6">
        <w:rPr>
          <w:b/>
          <w:sz w:val="28"/>
          <w:szCs w:val="28"/>
          <w:lang w:val="en-US"/>
        </w:rPr>
        <w:t>4 – Supplementary tables</w:t>
      </w:r>
    </w:p>
    <w:p w14:paraId="1E3917BD" w14:textId="6884BBB8" w:rsidR="00385AA9" w:rsidRPr="000300C6" w:rsidRDefault="00385AA9" w:rsidP="00B657DA">
      <w:pPr>
        <w:pStyle w:val="Caption"/>
      </w:pPr>
      <w:r w:rsidRPr="000300C6">
        <w:t>Table SUPP-1: Bowel subset of gastrointestinal symptom score validated for radiation enteropathy used for patient-reported bowel symptom assessment (10 items).</w:t>
      </w:r>
      <w:r w:rsidRPr="000300C6">
        <w:fldChar w:fldCharType="begin" w:fldLock="1"/>
      </w:r>
      <w:r w:rsidR="00661B9B" w:rsidRPr="000300C6">
        <w:instrText>ADDIN CSL_CITATION {"citationItems":[{"id":"ITEM-1","itemData":{"DOI":"10.1038/sj.bjc.6602552","ISBN":"0007-0920","ISSN":"00070920","PMID":"15856043","abstract":"After radiotherapy for pelvic cancer, chronic gastrointestinal problems may affect quality of life (QOL) in 6-78% of patients. This variation may be due to true differences in outcome in different diseases, and may also represent the inadequacy of the scales used to measure radiotherapy-induced gastrointestinal side effects. The aim of this study was to assess whether outcome measures used for nonmalignant gastrointestinal disease are useful to detect gastrointestinal morbidity after radiotherapy. Results obtained from a Vaizey Incontinence questionnaire and a modified Inflammatory Bowel Disease questionnaire (IBDQ)--both patient completed--were compared to those from a staff administered Late Effects on Normal Tissue (LENT)--Subjective, Objective, Management and Analytic (SOMA) questionnaire in patients who had completed radiotherapy for a pelvic tumour at least 3 months previously. In all, 142 consecutive patients were recruited, 72 male and 70 female, median age 66 years (range 26-90 years), a median of 27 (range 3-258) months after radiotherapy. In total, 62 had been treated for a gynaecological, 58, a urological and 22, a gastrointestinal tract tumour. Of these, 21 had undergone previous gastrointestinal surgery and seven suffered chronic gastrointestinal disorders preceding their diagnosis of cancer. The Vaizey questionnaire suggested that 27% patients were incontinent for solid stools, 35% for liquid stools and 37% could not defer defaecation for 15 min. The IBDQ suggested that 89% had developed a chronic change in bowel habit and this change significantly affected 49% patients: 44% had more frequent or looser bowel movements, 30% were troubled by abdominal pain, 30% were troubled by bloating, 28% complained of tenesmus, 27% were troubled by their accidental soiling and 20% had rectal bleeding. At least 34% suffered emotional distress and 22% impairment of social function because of their bowels. The small intestine/colon SOMA median score was 0.1538 (range 0-1) and the rectal SOMA median score was 0.1428 (range 0-1). Pearson's correlations for the IBDQ score and small intestine/colon SOMA score was -0.630 (P&lt;0.001), IBDQ and rectum SOMA -0.616 (P&lt;0.001), IBDQ and Vaizey scores -0.599 (P&lt;0.001), Vaizey and small intestine/colon SOMA 0.452 (P&lt;0.001) and Vaizey and rectum SOMA 0.760 (P&lt;0.001). After radiotherapy for a tumour in the pelvis, half of all patients develop gastrointestinal morbidity, which affects their QOL. A modified IBDQ and Vaizey q…","author":[{"dropping-particle":"","family":"Olopade","given":"F. A.","non-dropping-particle":"","parse-names":false,"suffix":""},{"dropping-particle":"","family":"Norman","given":"A.","non-dropping-particle":"","parse-names":false,"suffix":""},{"dropping-particle":"","family":"Blake","given":"P.","non-dropping-particle":"","parse-names":false,"suffix":""},{"dropping-particle":"","family":"Dearnaley","given":"D. P.","non-dropping-particle":"","parse-names":false,"suffix":""},{"dropping-particle":"","family":"Harrington","given":"K. J.","non-dropping-particle":"","parse-names":false,"suffix":""},{"dropping-particle":"","family":"Khoo","given":"V.","non-dropping-particle":"","parse-names":false,"suffix":""},{"dropping-particle":"","family":"Tait","given":"D.","non-dropping-particle":"","parse-names":false,"suffix":""},{"dropping-particle":"","family":"Hackett","given":"C.","non-dropping-particle":"","parse-names":false,"suffix":""},{"dropping-particle":"","family":"Andreyev","given":"H. J.N.","non-dropping-particle":"","parse-names":false,"suffix":""}],"container-title":"British Journal of Cancer","id":"ITEM-1","issue":"9","issued":{"date-parts":[["2005"]]},"page":"1663-1670","title":"A modified Inflammatory Bowel Disease questionnaire and the Vaizey incontinence questionnaire are simple ways to identify patients with significant gastrointestinal symptoms after pelvic radiotherapy","type":"article-journal","volume":"92"},"uris":["http://www.mendeley.com/documents/?uuid=81a6fd1a-b91e-47f0-a9e1-684c9cddad9a"]}],"mendeley":{"formattedCitation":"&lt;sup&gt;7&lt;/sup&gt;","plainTextFormattedCitation":"7","previouslyFormattedCitation":"&lt;sup&gt;6&lt;/sup&gt;"},"properties":{"noteIndex":0},"schema":"https://github.com/citation-style-language/schema/raw/master/csl-citation.json"}</w:instrText>
      </w:r>
      <w:r w:rsidRPr="000300C6">
        <w:fldChar w:fldCharType="separate"/>
      </w:r>
      <w:r w:rsidR="00661B9B" w:rsidRPr="000300C6">
        <w:rPr>
          <w:b w:val="0"/>
          <w:noProof/>
          <w:vertAlign w:val="superscript"/>
        </w:rPr>
        <w:t>7</w:t>
      </w:r>
      <w:r w:rsidRPr="000300C6">
        <w:fldChar w:fldCharType="end"/>
      </w:r>
    </w:p>
    <w:tbl>
      <w:tblPr>
        <w:tblStyle w:val="PlainTable4"/>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05"/>
        <w:gridCol w:w="4506"/>
      </w:tblGrid>
      <w:tr w:rsidR="00385AA9" w:rsidRPr="000300C6" w14:paraId="04CD63A9" w14:textId="77777777" w:rsidTr="00712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auto"/>
              <w:right w:val="single" w:sz="4" w:space="0" w:color="auto"/>
            </w:tcBorders>
          </w:tcPr>
          <w:p w14:paraId="0F506DF4" w14:textId="77777777" w:rsidR="00385AA9" w:rsidRPr="000300C6" w:rsidRDefault="00385AA9" w:rsidP="00712A17">
            <w:pPr>
              <w:spacing w:before="40" w:after="40"/>
              <w:jc w:val="center"/>
              <w:rPr>
                <w:sz w:val="16"/>
                <w:szCs w:val="16"/>
                <w:lang w:val="en-GB"/>
              </w:rPr>
            </w:pPr>
            <w:r w:rsidRPr="000300C6">
              <w:rPr>
                <w:sz w:val="16"/>
                <w:szCs w:val="16"/>
                <w:lang w:val="en-GB"/>
              </w:rPr>
              <w:t>Item</w:t>
            </w:r>
          </w:p>
        </w:tc>
        <w:tc>
          <w:tcPr>
            <w:tcW w:w="4508" w:type="dxa"/>
            <w:tcBorders>
              <w:top w:val="single" w:sz="4" w:space="0" w:color="auto"/>
              <w:left w:val="single" w:sz="4" w:space="0" w:color="auto"/>
              <w:bottom w:val="single" w:sz="4" w:space="0" w:color="auto"/>
            </w:tcBorders>
          </w:tcPr>
          <w:p w14:paraId="1B96D746" w14:textId="77777777" w:rsidR="00385AA9" w:rsidRPr="000300C6" w:rsidRDefault="00385AA9" w:rsidP="00712A17">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Problem addressed</w:t>
            </w:r>
          </w:p>
        </w:tc>
      </w:tr>
      <w:tr w:rsidR="00385AA9" w:rsidRPr="000300C6" w14:paraId="57344768"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nil"/>
              <w:right w:val="single" w:sz="4" w:space="0" w:color="auto"/>
            </w:tcBorders>
          </w:tcPr>
          <w:p w14:paraId="56750BF5"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1</w:t>
            </w:r>
          </w:p>
        </w:tc>
        <w:tc>
          <w:tcPr>
            <w:tcW w:w="4508" w:type="dxa"/>
            <w:tcBorders>
              <w:top w:val="single" w:sz="4" w:space="0" w:color="auto"/>
              <w:left w:val="single" w:sz="4" w:space="0" w:color="auto"/>
            </w:tcBorders>
          </w:tcPr>
          <w:p w14:paraId="63588D5E" w14:textId="77777777" w:rsidR="00385AA9" w:rsidRPr="000300C6" w:rsidRDefault="00385AA9" w:rsidP="00712A1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Bowel frequency</w:t>
            </w:r>
          </w:p>
        </w:tc>
      </w:tr>
      <w:tr w:rsidR="00385AA9" w:rsidRPr="000300C6" w14:paraId="29C5E2DE" w14:textId="77777777" w:rsidTr="00712A17">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0BA44F14"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5</w:t>
            </w:r>
          </w:p>
        </w:tc>
        <w:tc>
          <w:tcPr>
            <w:tcW w:w="4508" w:type="dxa"/>
            <w:tcBorders>
              <w:left w:val="single" w:sz="4" w:space="0" w:color="auto"/>
            </w:tcBorders>
          </w:tcPr>
          <w:p w14:paraId="397A7421" w14:textId="77777777" w:rsidR="00385AA9" w:rsidRPr="000300C6" w:rsidRDefault="00385AA9" w:rsidP="00712A1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Loose stools</w:t>
            </w:r>
          </w:p>
        </w:tc>
      </w:tr>
      <w:tr w:rsidR="00385AA9" w:rsidRPr="000300C6" w14:paraId="2B9257AA"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279D2010"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9</w:t>
            </w:r>
          </w:p>
        </w:tc>
        <w:tc>
          <w:tcPr>
            <w:tcW w:w="4508" w:type="dxa"/>
            <w:tcBorders>
              <w:left w:val="single" w:sz="4" w:space="0" w:color="auto"/>
            </w:tcBorders>
          </w:tcPr>
          <w:p w14:paraId="51E3CF3E" w14:textId="77777777" w:rsidR="00385AA9" w:rsidRPr="000300C6" w:rsidRDefault="00385AA9" w:rsidP="00712A1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Anal pain</w:t>
            </w:r>
          </w:p>
        </w:tc>
      </w:tr>
      <w:tr w:rsidR="00385AA9" w:rsidRPr="000300C6" w14:paraId="6F21D93A" w14:textId="77777777" w:rsidTr="00712A17">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2839DBF1"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13</w:t>
            </w:r>
          </w:p>
        </w:tc>
        <w:tc>
          <w:tcPr>
            <w:tcW w:w="4508" w:type="dxa"/>
            <w:tcBorders>
              <w:left w:val="single" w:sz="4" w:space="0" w:color="auto"/>
            </w:tcBorders>
          </w:tcPr>
          <w:p w14:paraId="4EB77575" w14:textId="77777777" w:rsidR="00385AA9" w:rsidRPr="000300C6" w:rsidRDefault="00385AA9" w:rsidP="00712A1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Abdominal or anal pain</w:t>
            </w:r>
          </w:p>
        </w:tc>
      </w:tr>
      <w:tr w:rsidR="00385AA9" w:rsidRPr="000300C6" w14:paraId="3FC000D1"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00976A1B"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17</w:t>
            </w:r>
          </w:p>
        </w:tc>
        <w:tc>
          <w:tcPr>
            <w:tcW w:w="4508" w:type="dxa"/>
            <w:tcBorders>
              <w:left w:val="single" w:sz="4" w:space="0" w:color="auto"/>
            </w:tcBorders>
          </w:tcPr>
          <w:p w14:paraId="4BCE2DCD" w14:textId="77777777" w:rsidR="00385AA9" w:rsidRPr="000300C6" w:rsidRDefault="00385AA9" w:rsidP="00712A1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Flatulence</w:t>
            </w:r>
          </w:p>
        </w:tc>
      </w:tr>
      <w:tr w:rsidR="00385AA9" w:rsidRPr="000300C6" w14:paraId="525687A1" w14:textId="77777777" w:rsidTr="00712A17">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43EC3415"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20</w:t>
            </w:r>
          </w:p>
        </w:tc>
        <w:tc>
          <w:tcPr>
            <w:tcW w:w="4508" w:type="dxa"/>
            <w:tcBorders>
              <w:left w:val="single" w:sz="4" w:space="0" w:color="auto"/>
            </w:tcBorders>
          </w:tcPr>
          <w:p w14:paraId="5796E185" w14:textId="77777777" w:rsidR="00385AA9" w:rsidRPr="000300C6" w:rsidRDefault="00385AA9" w:rsidP="00712A1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Abdominal bloating</w:t>
            </w:r>
          </w:p>
        </w:tc>
      </w:tr>
      <w:tr w:rsidR="00385AA9" w:rsidRPr="000300C6" w14:paraId="16B36C13"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5C9DFCEF"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22</w:t>
            </w:r>
          </w:p>
        </w:tc>
        <w:tc>
          <w:tcPr>
            <w:tcW w:w="4508" w:type="dxa"/>
            <w:tcBorders>
              <w:left w:val="single" w:sz="4" w:space="0" w:color="auto"/>
            </w:tcBorders>
          </w:tcPr>
          <w:p w14:paraId="33FD47AC" w14:textId="77777777" w:rsidR="00385AA9" w:rsidRPr="000300C6" w:rsidRDefault="00385AA9" w:rsidP="00712A1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Rectal bleeding</w:t>
            </w:r>
          </w:p>
        </w:tc>
      </w:tr>
      <w:tr w:rsidR="00385AA9" w:rsidRPr="000300C6" w14:paraId="6DEB4E52" w14:textId="77777777" w:rsidTr="00712A17">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7C45DF87"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24</w:t>
            </w:r>
          </w:p>
        </w:tc>
        <w:tc>
          <w:tcPr>
            <w:tcW w:w="4508" w:type="dxa"/>
            <w:tcBorders>
              <w:left w:val="single" w:sz="4" w:space="0" w:color="auto"/>
            </w:tcBorders>
          </w:tcPr>
          <w:p w14:paraId="1F9D3AF3" w14:textId="77777777" w:rsidR="00385AA9" w:rsidRPr="000300C6" w:rsidRDefault="00385AA9" w:rsidP="00712A1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Bowel urgency/tenesmus</w:t>
            </w:r>
          </w:p>
        </w:tc>
      </w:tr>
      <w:tr w:rsidR="00385AA9" w:rsidRPr="000300C6" w14:paraId="62CC84EA" w14:textId="77777777" w:rsidTr="00712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right w:val="single" w:sz="4" w:space="0" w:color="auto"/>
            </w:tcBorders>
          </w:tcPr>
          <w:p w14:paraId="77289C04"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26</w:t>
            </w:r>
          </w:p>
        </w:tc>
        <w:tc>
          <w:tcPr>
            <w:tcW w:w="4508" w:type="dxa"/>
            <w:tcBorders>
              <w:left w:val="single" w:sz="4" w:space="0" w:color="auto"/>
            </w:tcBorders>
          </w:tcPr>
          <w:p w14:paraId="6BF64BF2" w14:textId="77777777" w:rsidR="00385AA9" w:rsidRPr="000300C6" w:rsidRDefault="00385AA9" w:rsidP="00712A1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0300C6">
              <w:rPr>
                <w:sz w:val="16"/>
                <w:szCs w:val="16"/>
                <w:lang w:val="en-GB"/>
              </w:rPr>
              <w:t>Accidental soiling</w:t>
            </w:r>
          </w:p>
        </w:tc>
      </w:tr>
      <w:tr w:rsidR="00385AA9" w:rsidRPr="000300C6" w14:paraId="41C329F1" w14:textId="77777777" w:rsidTr="00712A17">
        <w:tc>
          <w:tcPr>
            <w:cnfStyle w:val="001000000000" w:firstRow="0" w:lastRow="0" w:firstColumn="1" w:lastColumn="0" w:oddVBand="0" w:evenVBand="0" w:oddHBand="0" w:evenHBand="0" w:firstRowFirstColumn="0" w:firstRowLastColumn="0" w:lastRowFirstColumn="0" w:lastRowLastColumn="0"/>
            <w:tcW w:w="4508" w:type="dxa"/>
            <w:tcBorders>
              <w:top w:val="nil"/>
              <w:bottom w:val="single" w:sz="4" w:space="0" w:color="auto"/>
              <w:right w:val="single" w:sz="4" w:space="0" w:color="auto"/>
            </w:tcBorders>
          </w:tcPr>
          <w:p w14:paraId="5B13E48A" w14:textId="77777777" w:rsidR="00385AA9" w:rsidRPr="000300C6" w:rsidRDefault="00385AA9" w:rsidP="00712A17">
            <w:pPr>
              <w:spacing w:before="40" w:after="40"/>
              <w:jc w:val="center"/>
              <w:rPr>
                <w:b w:val="0"/>
                <w:sz w:val="16"/>
                <w:szCs w:val="16"/>
                <w:lang w:val="en-GB"/>
              </w:rPr>
            </w:pPr>
            <w:r w:rsidRPr="000300C6">
              <w:rPr>
                <w:b w:val="0"/>
                <w:sz w:val="16"/>
                <w:szCs w:val="16"/>
                <w:lang w:val="en-GB"/>
              </w:rPr>
              <w:t>Question 29</w:t>
            </w:r>
          </w:p>
        </w:tc>
        <w:tc>
          <w:tcPr>
            <w:tcW w:w="4508" w:type="dxa"/>
            <w:tcBorders>
              <w:left w:val="single" w:sz="4" w:space="0" w:color="auto"/>
            </w:tcBorders>
          </w:tcPr>
          <w:p w14:paraId="253372AD" w14:textId="77777777" w:rsidR="00385AA9" w:rsidRPr="000300C6" w:rsidRDefault="00385AA9" w:rsidP="00712A1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0300C6">
              <w:rPr>
                <w:sz w:val="16"/>
                <w:szCs w:val="16"/>
                <w:lang w:val="en-GB"/>
              </w:rPr>
              <w:t>Bowel problem</w:t>
            </w:r>
          </w:p>
        </w:tc>
      </w:tr>
    </w:tbl>
    <w:p w14:paraId="772CED3F" w14:textId="77777777" w:rsidR="00385AA9" w:rsidRPr="000300C6" w:rsidRDefault="00385AA9" w:rsidP="00385AA9">
      <w:pPr>
        <w:jc w:val="center"/>
        <w:rPr>
          <w:sz w:val="18"/>
          <w:szCs w:val="18"/>
          <w:lang w:val="en-GB"/>
        </w:rPr>
      </w:pPr>
      <w:r w:rsidRPr="000300C6">
        <w:rPr>
          <w:sz w:val="18"/>
          <w:szCs w:val="18"/>
        </w:rPr>
        <w:t>Please refer to supplementary reference 4 for the full questionnaire.</w:t>
      </w:r>
    </w:p>
    <w:p w14:paraId="68173C9D" w14:textId="77777777" w:rsidR="00A81394" w:rsidRPr="000300C6" w:rsidRDefault="00A81394" w:rsidP="00B657DA">
      <w:pPr>
        <w:pStyle w:val="Caption"/>
      </w:pPr>
    </w:p>
    <w:p w14:paraId="49582794" w14:textId="74CEC64C" w:rsidR="00A81394" w:rsidRPr="000300C6" w:rsidRDefault="00A81394" w:rsidP="00B657DA">
      <w:pPr>
        <w:pStyle w:val="Caption"/>
      </w:pPr>
      <w:r w:rsidRPr="000300C6">
        <w:t>Table SUPP-</w:t>
      </w:r>
      <w:r w:rsidR="00AA6EB8" w:rsidRPr="000300C6">
        <w:t>2</w:t>
      </w:r>
      <w:r w:rsidRPr="000300C6">
        <w:t>: Comorbidity and physiology data recorded.</w:t>
      </w:r>
    </w:p>
    <w:tbl>
      <w:tblPr>
        <w:tblStyle w:val="PlainTable2"/>
        <w:tblW w:w="0" w:type="auto"/>
        <w:tblInd w:w="0" w:type="dxa"/>
        <w:tblBorders>
          <w:left w:val="single" w:sz="4" w:space="0" w:color="7F7F7F" w:themeColor="text1" w:themeTint="80"/>
          <w:right w:val="single" w:sz="4" w:space="0" w:color="7F7F7F" w:themeColor="text1" w:themeTint="80"/>
        </w:tblBorders>
        <w:tblLook w:val="04A0" w:firstRow="1" w:lastRow="0" w:firstColumn="1" w:lastColumn="0" w:noHBand="0" w:noVBand="1"/>
      </w:tblPr>
      <w:tblGrid>
        <w:gridCol w:w="2254"/>
        <w:gridCol w:w="2254"/>
        <w:gridCol w:w="2254"/>
        <w:gridCol w:w="2254"/>
      </w:tblGrid>
      <w:tr w:rsidR="00A81394" w:rsidRPr="000300C6" w14:paraId="0BD7726D" w14:textId="77777777" w:rsidTr="00712A1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left w:val="single" w:sz="4" w:space="0" w:color="7F7F7F" w:themeColor="text1" w:themeTint="80"/>
              <w:right w:val="nil"/>
            </w:tcBorders>
            <w:hideMark/>
          </w:tcPr>
          <w:p w14:paraId="55F331DB" w14:textId="77777777" w:rsidR="00A81394" w:rsidRPr="000300C6" w:rsidRDefault="00A81394" w:rsidP="00AA6EB8">
            <w:pPr>
              <w:spacing w:after="80"/>
              <w:jc w:val="both"/>
              <w:rPr>
                <w:sz w:val="16"/>
                <w:szCs w:val="16"/>
                <w:lang w:eastAsia="en-GB"/>
              </w:rPr>
            </w:pPr>
            <w:r w:rsidRPr="000300C6">
              <w:rPr>
                <w:sz w:val="16"/>
                <w:szCs w:val="16"/>
                <w:lang w:eastAsia="en-GB"/>
              </w:rPr>
              <w:t>Constitutional factors</w:t>
            </w:r>
          </w:p>
        </w:tc>
        <w:tc>
          <w:tcPr>
            <w:tcW w:w="2254" w:type="dxa"/>
            <w:tcBorders>
              <w:top w:val="single" w:sz="4" w:space="0" w:color="7F7F7F" w:themeColor="text1" w:themeTint="80"/>
              <w:left w:val="nil"/>
              <w:right w:val="nil"/>
            </w:tcBorders>
            <w:shd w:val="clear" w:color="auto" w:fill="E7E6E6" w:themeFill="background2"/>
            <w:hideMark/>
          </w:tcPr>
          <w:p w14:paraId="6DCC7745" w14:textId="77777777" w:rsidR="00A81394" w:rsidRPr="000300C6" w:rsidRDefault="00A81394" w:rsidP="00AA6EB8">
            <w:pPr>
              <w:spacing w:after="80"/>
              <w:jc w:val="both"/>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Habits</w:t>
            </w:r>
          </w:p>
        </w:tc>
        <w:tc>
          <w:tcPr>
            <w:tcW w:w="2254" w:type="dxa"/>
            <w:tcBorders>
              <w:top w:val="single" w:sz="4" w:space="0" w:color="7F7F7F" w:themeColor="text1" w:themeTint="80"/>
              <w:left w:val="nil"/>
              <w:right w:val="nil"/>
            </w:tcBorders>
            <w:hideMark/>
          </w:tcPr>
          <w:p w14:paraId="580894AA" w14:textId="77777777" w:rsidR="00A81394" w:rsidRPr="000300C6" w:rsidRDefault="00A81394" w:rsidP="00AA6EB8">
            <w:pPr>
              <w:spacing w:after="80"/>
              <w:jc w:val="both"/>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Comorbidities</w:t>
            </w:r>
          </w:p>
        </w:tc>
        <w:tc>
          <w:tcPr>
            <w:tcW w:w="2254" w:type="dxa"/>
            <w:tcBorders>
              <w:top w:val="single" w:sz="4" w:space="0" w:color="7F7F7F" w:themeColor="text1" w:themeTint="80"/>
              <w:left w:val="nil"/>
              <w:right w:val="single" w:sz="4" w:space="0" w:color="7F7F7F" w:themeColor="text1" w:themeTint="80"/>
            </w:tcBorders>
            <w:shd w:val="clear" w:color="auto" w:fill="E7E6E6" w:themeFill="background2"/>
            <w:hideMark/>
          </w:tcPr>
          <w:p w14:paraId="5C3C2EAC" w14:textId="77777777" w:rsidR="00A81394" w:rsidRPr="000300C6" w:rsidRDefault="00A81394" w:rsidP="00AA6EB8">
            <w:pPr>
              <w:spacing w:after="80"/>
              <w:jc w:val="both"/>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Medications</w:t>
            </w:r>
          </w:p>
        </w:tc>
      </w:tr>
      <w:tr w:rsidR="00A81394" w:rsidRPr="000300C6" w14:paraId="03F68A17" w14:textId="77777777" w:rsidTr="00AA6EB8">
        <w:trPr>
          <w:cnfStyle w:val="000000100000" w:firstRow="0" w:lastRow="0" w:firstColumn="0" w:lastColumn="0" w:oddVBand="0" w:evenVBand="0" w:oddHBand="1" w:evenHBand="0" w:firstRowFirstColumn="0" w:firstRowLastColumn="0" w:lastRowFirstColumn="0" w:lastRowLastColumn="0"/>
          <w:cantSplit/>
          <w:trHeight w:val="3677"/>
        </w:trPr>
        <w:tc>
          <w:tcPr>
            <w:cnfStyle w:val="001000000000" w:firstRow="0" w:lastRow="0" w:firstColumn="1" w:lastColumn="0" w:oddVBand="0" w:evenVBand="0" w:oddHBand="0" w:evenHBand="0" w:firstRowFirstColumn="0" w:firstRowLastColumn="0" w:lastRowFirstColumn="0" w:lastRowLastColumn="0"/>
            <w:tcW w:w="2254" w:type="dxa"/>
            <w:tcBorders>
              <w:left w:val="single" w:sz="4" w:space="0" w:color="7F7F7F" w:themeColor="text1" w:themeTint="80"/>
              <w:right w:val="nil"/>
            </w:tcBorders>
          </w:tcPr>
          <w:p w14:paraId="634D6F53" w14:textId="77777777" w:rsidR="00A81394" w:rsidRPr="000300C6" w:rsidRDefault="00A81394" w:rsidP="00AA6EB8">
            <w:pPr>
              <w:spacing w:after="80"/>
              <w:jc w:val="both"/>
              <w:rPr>
                <w:b w:val="0"/>
                <w:sz w:val="16"/>
                <w:szCs w:val="16"/>
                <w:lang w:eastAsia="en-GB"/>
              </w:rPr>
            </w:pPr>
            <w:r w:rsidRPr="000300C6">
              <w:rPr>
                <w:b w:val="0"/>
                <w:sz w:val="16"/>
                <w:szCs w:val="16"/>
                <w:lang w:eastAsia="en-GB"/>
              </w:rPr>
              <w:t>Age</w:t>
            </w:r>
          </w:p>
          <w:p w14:paraId="2CB4B80B" w14:textId="77777777" w:rsidR="00A81394" w:rsidRPr="000300C6" w:rsidRDefault="00A81394" w:rsidP="00AA6EB8">
            <w:pPr>
              <w:spacing w:after="80"/>
              <w:jc w:val="both"/>
              <w:rPr>
                <w:b w:val="0"/>
                <w:sz w:val="16"/>
                <w:szCs w:val="16"/>
                <w:lang w:eastAsia="en-GB"/>
              </w:rPr>
            </w:pPr>
            <w:r w:rsidRPr="000300C6">
              <w:rPr>
                <w:b w:val="0"/>
                <w:sz w:val="16"/>
                <w:szCs w:val="16"/>
                <w:lang w:eastAsia="en-GB"/>
              </w:rPr>
              <w:t>Body mass index</w:t>
            </w:r>
          </w:p>
          <w:p w14:paraId="2C053F43" w14:textId="77777777" w:rsidR="00A81394" w:rsidRPr="000300C6" w:rsidRDefault="00A81394" w:rsidP="00AA6EB8">
            <w:pPr>
              <w:spacing w:after="80"/>
              <w:jc w:val="both"/>
              <w:rPr>
                <w:sz w:val="16"/>
                <w:szCs w:val="16"/>
                <w:lang w:eastAsia="en-GB"/>
              </w:rPr>
            </w:pPr>
          </w:p>
        </w:tc>
        <w:tc>
          <w:tcPr>
            <w:tcW w:w="2254" w:type="dxa"/>
            <w:tcBorders>
              <w:left w:val="nil"/>
              <w:right w:val="nil"/>
            </w:tcBorders>
            <w:shd w:val="clear" w:color="auto" w:fill="E7E6E6" w:themeFill="background2"/>
            <w:hideMark/>
          </w:tcPr>
          <w:p w14:paraId="6058A8D5"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Smoking habits</w:t>
            </w:r>
          </w:p>
          <w:p w14:paraId="4451D5C3"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Drinking habits</w:t>
            </w:r>
          </w:p>
          <w:p w14:paraId="12826047"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Nutrition habits (7-day food diary)</w:t>
            </w:r>
          </w:p>
        </w:tc>
        <w:tc>
          <w:tcPr>
            <w:tcW w:w="2254" w:type="dxa"/>
            <w:tcBorders>
              <w:left w:val="nil"/>
              <w:right w:val="nil"/>
            </w:tcBorders>
          </w:tcPr>
          <w:p w14:paraId="2EB42D61"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 xml:space="preserve">Previous abdominal surgery </w:t>
            </w:r>
          </w:p>
          <w:p w14:paraId="513DB4CF"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Arterial hypertension</w:t>
            </w:r>
          </w:p>
          <w:p w14:paraId="474E497B"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Collagen vascular disease</w:t>
            </w:r>
          </w:p>
          <w:p w14:paraId="2165DD2F"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Diabetes mellitus</w:t>
            </w:r>
          </w:p>
          <w:p w14:paraId="5BE32452"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Dyslipidemia</w:t>
            </w:r>
          </w:p>
          <w:p w14:paraId="33F54C3C"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Any other metabolic diseases</w:t>
            </w:r>
          </w:p>
          <w:p w14:paraId="647A6998"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Irritable bowel syndrome</w:t>
            </w:r>
          </w:p>
          <w:p w14:paraId="5E1A4181"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Any systemic immune-allergic disease</w:t>
            </w:r>
          </w:p>
          <w:p w14:paraId="304FDA9D"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Any other chronic disease of the gastrointestinal tract</w:t>
            </w:r>
          </w:p>
          <w:p w14:paraId="02829055"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Any other acute or chronic disease.</w:t>
            </w:r>
          </w:p>
        </w:tc>
        <w:tc>
          <w:tcPr>
            <w:tcW w:w="2254" w:type="dxa"/>
            <w:tcBorders>
              <w:left w:val="nil"/>
              <w:right w:val="single" w:sz="4" w:space="0" w:color="7F7F7F" w:themeColor="text1" w:themeTint="80"/>
            </w:tcBorders>
            <w:shd w:val="clear" w:color="auto" w:fill="E7E6E6" w:themeFill="background2"/>
            <w:hideMark/>
          </w:tcPr>
          <w:p w14:paraId="65E7B171"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Laxatives</w:t>
            </w:r>
          </w:p>
          <w:p w14:paraId="048F2E79" w14:textId="77777777" w:rsidR="00A81394" w:rsidRPr="000300C6" w:rsidRDefault="00A81394" w:rsidP="00AA6EB8">
            <w:pPr>
              <w:spacing w:after="80"/>
              <w:jc w:val="both"/>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Corticosteroids used within 6 months of enrolment</w:t>
            </w:r>
          </w:p>
        </w:tc>
      </w:tr>
    </w:tbl>
    <w:p w14:paraId="0382BB4D" w14:textId="241C3553" w:rsidR="00A81394" w:rsidRPr="000300C6" w:rsidRDefault="00A81394" w:rsidP="00B657DA">
      <w:pPr>
        <w:pStyle w:val="Caption"/>
      </w:pPr>
    </w:p>
    <w:p w14:paraId="693687FE" w14:textId="6C0C091E" w:rsidR="00A81394" w:rsidRPr="000300C6" w:rsidRDefault="00A81394" w:rsidP="00A81394"/>
    <w:p w14:paraId="24C6A8AE" w14:textId="77777777" w:rsidR="00A81394" w:rsidRPr="000300C6" w:rsidRDefault="00A81394" w:rsidP="00A81394"/>
    <w:p w14:paraId="6F815130" w14:textId="77777777" w:rsidR="001B4FA0" w:rsidRPr="000300C6" w:rsidRDefault="001B4FA0">
      <w:pPr>
        <w:spacing w:after="160" w:line="259" w:lineRule="auto"/>
        <w:rPr>
          <w:rFonts w:asciiTheme="minorHAnsi" w:eastAsiaTheme="minorHAnsi" w:hAnsiTheme="minorHAnsi" w:cstheme="minorBidi"/>
          <w:b/>
          <w:bCs/>
          <w:iCs/>
          <w:color w:val="000000" w:themeColor="text1"/>
          <w:sz w:val="18"/>
          <w:szCs w:val="18"/>
          <w:lang w:val="en-GB"/>
        </w:rPr>
      </w:pPr>
      <w:r w:rsidRPr="000300C6">
        <w:br w:type="page"/>
      </w:r>
    </w:p>
    <w:p w14:paraId="10E7FDD1" w14:textId="440ADB06" w:rsidR="00981025" w:rsidRPr="000300C6" w:rsidRDefault="00981025" w:rsidP="00B657DA">
      <w:pPr>
        <w:pStyle w:val="Caption"/>
      </w:pPr>
      <w:r w:rsidRPr="000300C6">
        <w:lastRenderedPageBreak/>
        <w:t>Table SUPP-</w:t>
      </w:r>
      <w:r w:rsidR="00A81394" w:rsidRPr="000300C6">
        <w:t>3</w:t>
      </w:r>
      <w:r w:rsidRPr="000300C6">
        <w:t xml:space="preserve">: Histopathology score to score intestinal mucosa samples (colonoscopy cohort only). </w:t>
      </w:r>
    </w:p>
    <w:tbl>
      <w:tblPr>
        <w:tblStyle w:val="PlainTable3"/>
        <w:tblW w:w="0" w:type="auto"/>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3"/>
        <w:gridCol w:w="1803"/>
        <w:gridCol w:w="1803"/>
        <w:gridCol w:w="1803"/>
        <w:gridCol w:w="1804"/>
      </w:tblGrid>
      <w:tr w:rsidR="00981025" w:rsidRPr="000300C6" w14:paraId="03C48308" w14:textId="77777777" w:rsidTr="00712A17">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803" w:type="dxa"/>
            <w:tcBorders>
              <w:top w:val="single" w:sz="4" w:space="0" w:color="auto"/>
              <w:left w:val="single" w:sz="4" w:space="0" w:color="auto"/>
              <w:bottom w:val="nil"/>
            </w:tcBorders>
            <w:noWrap/>
            <w:hideMark/>
          </w:tcPr>
          <w:p w14:paraId="2F00E5DC" w14:textId="77777777" w:rsidR="00981025" w:rsidRPr="000300C6" w:rsidRDefault="00981025" w:rsidP="00712A17">
            <w:pPr>
              <w:jc w:val="center"/>
              <w:rPr>
                <w:rFonts w:eastAsia="Times New Roman" w:cstheme="minorHAnsi"/>
                <w:sz w:val="16"/>
                <w:szCs w:val="16"/>
                <w:lang w:eastAsia="en-GB"/>
              </w:rPr>
            </w:pPr>
            <w:r w:rsidRPr="000300C6">
              <w:rPr>
                <w:b w:val="0"/>
                <w:bCs w:val="0"/>
                <w:caps w:val="0"/>
              </w:rPr>
              <w:br w:type="page"/>
            </w:r>
            <w:r w:rsidRPr="000300C6">
              <w:rPr>
                <w:rFonts w:eastAsia="Times New Roman" w:cstheme="minorHAnsi"/>
                <w:sz w:val="16"/>
                <w:szCs w:val="16"/>
                <w:lang w:eastAsia="en-GB"/>
              </w:rPr>
              <w:t>Item</w:t>
            </w:r>
          </w:p>
        </w:tc>
        <w:tc>
          <w:tcPr>
            <w:tcW w:w="1803" w:type="dxa"/>
            <w:tcBorders>
              <w:top w:val="single" w:sz="4" w:space="0" w:color="auto"/>
              <w:left w:val="nil"/>
              <w:bottom w:val="nil"/>
              <w:right w:val="nil"/>
            </w:tcBorders>
            <w:noWrap/>
            <w:hideMark/>
          </w:tcPr>
          <w:p w14:paraId="507F05D5" w14:textId="77777777" w:rsidR="00981025" w:rsidRPr="000300C6" w:rsidRDefault="00981025" w:rsidP="00712A1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Score = 0</w:t>
            </w:r>
          </w:p>
        </w:tc>
        <w:tc>
          <w:tcPr>
            <w:tcW w:w="1803" w:type="dxa"/>
            <w:tcBorders>
              <w:top w:val="single" w:sz="4" w:space="0" w:color="auto"/>
              <w:left w:val="nil"/>
              <w:bottom w:val="nil"/>
              <w:right w:val="nil"/>
            </w:tcBorders>
            <w:noWrap/>
            <w:hideMark/>
          </w:tcPr>
          <w:p w14:paraId="340F9F36" w14:textId="77777777" w:rsidR="00981025" w:rsidRPr="000300C6" w:rsidRDefault="00981025" w:rsidP="00712A1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Score = 1</w:t>
            </w:r>
          </w:p>
        </w:tc>
        <w:tc>
          <w:tcPr>
            <w:tcW w:w="1803" w:type="dxa"/>
            <w:tcBorders>
              <w:top w:val="single" w:sz="4" w:space="0" w:color="auto"/>
              <w:left w:val="nil"/>
              <w:bottom w:val="nil"/>
              <w:right w:val="nil"/>
            </w:tcBorders>
            <w:noWrap/>
            <w:hideMark/>
          </w:tcPr>
          <w:p w14:paraId="565BA47F" w14:textId="77777777" w:rsidR="00981025" w:rsidRPr="000300C6" w:rsidRDefault="00981025" w:rsidP="00712A1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Score = 2</w:t>
            </w:r>
          </w:p>
        </w:tc>
        <w:tc>
          <w:tcPr>
            <w:tcW w:w="1804" w:type="dxa"/>
            <w:tcBorders>
              <w:top w:val="single" w:sz="4" w:space="0" w:color="auto"/>
              <w:left w:val="nil"/>
              <w:bottom w:val="nil"/>
              <w:right w:val="single" w:sz="4" w:space="0" w:color="auto"/>
            </w:tcBorders>
            <w:noWrap/>
            <w:hideMark/>
          </w:tcPr>
          <w:p w14:paraId="14C279BA" w14:textId="77777777" w:rsidR="00981025" w:rsidRPr="000300C6" w:rsidRDefault="00981025" w:rsidP="00712A17">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Score = 3</w:t>
            </w:r>
          </w:p>
        </w:tc>
      </w:tr>
      <w:tr w:rsidR="00981025" w:rsidRPr="000300C6" w14:paraId="405BC712" w14:textId="77777777" w:rsidTr="00712A1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tcBorders>
            <w:noWrap/>
            <w:hideMark/>
          </w:tcPr>
          <w:p w14:paraId="24E36EB3"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1 - Thickening of Serosa</w:t>
            </w:r>
          </w:p>
        </w:tc>
        <w:tc>
          <w:tcPr>
            <w:tcW w:w="1803" w:type="dxa"/>
            <w:tcBorders>
              <w:top w:val="nil"/>
              <w:left w:val="nil"/>
              <w:bottom w:val="nil"/>
              <w:right w:val="nil"/>
            </w:tcBorders>
            <w:hideMark/>
          </w:tcPr>
          <w:p w14:paraId="441A839F"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48384640"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Slight thickening of serosa; hyperplasia of peritoneal mesothelium </w:t>
            </w:r>
          </w:p>
        </w:tc>
        <w:tc>
          <w:tcPr>
            <w:tcW w:w="1803" w:type="dxa"/>
            <w:tcBorders>
              <w:top w:val="nil"/>
              <w:left w:val="nil"/>
              <w:bottom w:val="nil"/>
              <w:right w:val="nil"/>
            </w:tcBorders>
            <w:hideMark/>
          </w:tcPr>
          <w:p w14:paraId="31EBD6C6"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Marked thickening of serosa</w:t>
            </w:r>
          </w:p>
        </w:tc>
        <w:tc>
          <w:tcPr>
            <w:tcW w:w="1804" w:type="dxa"/>
            <w:tcBorders>
              <w:top w:val="nil"/>
              <w:left w:val="nil"/>
              <w:bottom w:val="nil"/>
              <w:right w:val="single" w:sz="4" w:space="0" w:color="auto"/>
            </w:tcBorders>
            <w:hideMark/>
          </w:tcPr>
          <w:p w14:paraId="3F9B3562"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Extreme thickening and fibrosis of serosa</w:t>
            </w:r>
          </w:p>
        </w:tc>
      </w:tr>
      <w:tr w:rsidR="00981025" w:rsidRPr="000300C6" w14:paraId="0D9B4039" w14:textId="77777777" w:rsidTr="00712A17">
        <w:trPr>
          <w:trHeight w:val="694"/>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right w:val="nil"/>
            </w:tcBorders>
            <w:noWrap/>
            <w:hideMark/>
          </w:tcPr>
          <w:p w14:paraId="1BF0C88B"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2 - Mucosal Ulcerations</w:t>
            </w:r>
          </w:p>
        </w:tc>
        <w:tc>
          <w:tcPr>
            <w:tcW w:w="1803" w:type="dxa"/>
            <w:tcBorders>
              <w:top w:val="nil"/>
              <w:left w:val="nil"/>
              <w:bottom w:val="nil"/>
              <w:right w:val="nil"/>
            </w:tcBorders>
            <w:hideMark/>
          </w:tcPr>
          <w:p w14:paraId="7F4A4F83"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60D95EAE"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Small superficial ulcerations </w:t>
            </w:r>
          </w:p>
        </w:tc>
        <w:tc>
          <w:tcPr>
            <w:tcW w:w="1803" w:type="dxa"/>
            <w:tcBorders>
              <w:top w:val="nil"/>
              <w:left w:val="nil"/>
              <w:bottom w:val="nil"/>
              <w:right w:val="nil"/>
            </w:tcBorders>
            <w:hideMark/>
          </w:tcPr>
          <w:p w14:paraId="0E12306D"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Ulcerations involving more than half of the intestinal circumference </w:t>
            </w:r>
          </w:p>
        </w:tc>
        <w:tc>
          <w:tcPr>
            <w:tcW w:w="1804" w:type="dxa"/>
            <w:tcBorders>
              <w:top w:val="nil"/>
              <w:left w:val="nil"/>
              <w:bottom w:val="nil"/>
              <w:right w:val="single" w:sz="4" w:space="0" w:color="auto"/>
            </w:tcBorders>
            <w:hideMark/>
          </w:tcPr>
          <w:p w14:paraId="6AD878B2"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N/A</w:t>
            </w:r>
          </w:p>
        </w:tc>
      </w:tr>
      <w:tr w:rsidR="00981025" w:rsidRPr="000300C6" w14:paraId="50A6DB54" w14:textId="77777777" w:rsidTr="00712A1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tcBorders>
            <w:noWrap/>
            <w:hideMark/>
          </w:tcPr>
          <w:p w14:paraId="17FB926B"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3 - Epithelial atypia</w:t>
            </w:r>
          </w:p>
        </w:tc>
        <w:tc>
          <w:tcPr>
            <w:tcW w:w="1803" w:type="dxa"/>
            <w:tcBorders>
              <w:top w:val="nil"/>
              <w:left w:val="nil"/>
              <w:bottom w:val="nil"/>
              <w:right w:val="nil"/>
            </w:tcBorders>
            <w:hideMark/>
          </w:tcPr>
          <w:p w14:paraId="292CBFD4"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34C80142"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Abnormally oriented crypts </w:t>
            </w:r>
          </w:p>
        </w:tc>
        <w:tc>
          <w:tcPr>
            <w:tcW w:w="1803" w:type="dxa"/>
            <w:tcBorders>
              <w:top w:val="nil"/>
              <w:left w:val="nil"/>
              <w:bottom w:val="nil"/>
              <w:right w:val="nil"/>
            </w:tcBorders>
            <w:hideMark/>
          </w:tcPr>
          <w:p w14:paraId="77E50143"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Irregular crypt regeneration with atypical epithelial cells</w:t>
            </w:r>
          </w:p>
        </w:tc>
        <w:tc>
          <w:tcPr>
            <w:tcW w:w="1804" w:type="dxa"/>
            <w:tcBorders>
              <w:top w:val="nil"/>
              <w:left w:val="nil"/>
              <w:bottom w:val="nil"/>
              <w:right w:val="single" w:sz="4" w:space="0" w:color="auto"/>
            </w:tcBorders>
            <w:hideMark/>
          </w:tcPr>
          <w:p w14:paraId="276E61B3"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Adenocarcinoma</w:t>
            </w:r>
          </w:p>
        </w:tc>
      </w:tr>
      <w:tr w:rsidR="00981025" w:rsidRPr="000300C6" w14:paraId="4CC380D5" w14:textId="77777777" w:rsidTr="00712A17">
        <w:trPr>
          <w:trHeight w:val="812"/>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right w:val="nil"/>
            </w:tcBorders>
            <w:noWrap/>
            <w:hideMark/>
          </w:tcPr>
          <w:p w14:paraId="2C391469"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4 - Vascular Sclerosis</w:t>
            </w:r>
          </w:p>
        </w:tc>
        <w:tc>
          <w:tcPr>
            <w:tcW w:w="1803" w:type="dxa"/>
            <w:tcBorders>
              <w:top w:val="nil"/>
              <w:left w:val="nil"/>
              <w:bottom w:val="nil"/>
              <w:right w:val="nil"/>
            </w:tcBorders>
            <w:hideMark/>
          </w:tcPr>
          <w:p w14:paraId="24D0D364"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7A4A7599"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Slight thickening and hyalinization of vessel wall</w:t>
            </w:r>
          </w:p>
        </w:tc>
        <w:tc>
          <w:tcPr>
            <w:tcW w:w="1803" w:type="dxa"/>
            <w:tcBorders>
              <w:top w:val="nil"/>
              <w:left w:val="nil"/>
              <w:bottom w:val="nil"/>
              <w:right w:val="nil"/>
            </w:tcBorders>
            <w:hideMark/>
          </w:tcPr>
          <w:p w14:paraId="158E595C"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Vessel wall double normal thickness: hyalinization and stenosis</w:t>
            </w:r>
          </w:p>
        </w:tc>
        <w:tc>
          <w:tcPr>
            <w:tcW w:w="1804" w:type="dxa"/>
            <w:tcBorders>
              <w:top w:val="nil"/>
              <w:left w:val="nil"/>
              <w:bottom w:val="nil"/>
              <w:right w:val="single" w:sz="4" w:space="0" w:color="auto"/>
            </w:tcBorders>
            <w:hideMark/>
          </w:tcPr>
          <w:p w14:paraId="1106CBC2"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Extreme sclerosis with marked stenosis or complete occlusion; fibrinoid necrosis</w:t>
            </w:r>
          </w:p>
        </w:tc>
      </w:tr>
      <w:tr w:rsidR="00981025" w:rsidRPr="000300C6" w14:paraId="56B0F803" w14:textId="77777777" w:rsidTr="00712A1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tcBorders>
            <w:noWrap/>
            <w:hideMark/>
          </w:tcPr>
          <w:p w14:paraId="03323D6E"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5 - Intestinal wall fibrosis</w:t>
            </w:r>
          </w:p>
        </w:tc>
        <w:tc>
          <w:tcPr>
            <w:tcW w:w="1803" w:type="dxa"/>
            <w:tcBorders>
              <w:top w:val="nil"/>
              <w:left w:val="nil"/>
              <w:bottom w:val="nil"/>
              <w:right w:val="nil"/>
            </w:tcBorders>
            <w:hideMark/>
          </w:tcPr>
          <w:p w14:paraId="396B5477"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65943937"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Submucosa double normal thickness; broadened and hyalinized collagen fibres </w:t>
            </w:r>
          </w:p>
        </w:tc>
        <w:tc>
          <w:tcPr>
            <w:tcW w:w="1803" w:type="dxa"/>
            <w:tcBorders>
              <w:top w:val="nil"/>
              <w:left w:val="nil"/>
              <w:bottom w:val="nil"/>
              <w:right w:val="nil"/>
            </w:tcBorders>
            <w:hideMark/>
          </w:tcPr>
          <w:p w14:paraId="0263D79D"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Submucosa three to four times normal thickness; abnormal collagen fibres </w:t>
            </w:r>
          </w:p>
        </w:tc>
        <w:tc>
          <w:tcPr>
            <w:tcW w:w="1804" w:type="dxa"/>
            <w:tcBorders>
              <w:top w:val="nil"/>
              <w:left w:val="nil"/>
              <w:bottom w:val="nil"/>
              <w:right w:val="single" w:sz="4" w:space="0" w:color="auto"/>
            </w:tcBorders>
            <w:hideMark/>
          </w:tcPr>
          <w:p w14:paraId="4B535356"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Massive fibrosis including muscularis </w:t>
            </w:r>
          </w:p>
        </w:tc>
      </w:tr>
      <w:tr w:rsidR="00981025" w:rsidRPr="000300C6" w14:paraId="4D8543BC" w14:textId="77777777" w:rsidTr="00712A17">
        <w:trPr>
          <w:trHeight w:val="568"/>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nil"/>
              <w:right w:val="nil"/>
            </w:tcBorders>
            <w:noWrap/>
            <w:hideMark/>
          </w:tcPr>
          <w:p w14:paraId="5E277FE7"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6 - Lymph Congestion</w:t>
            </w:r>
          </w:p>
        </w:tc>
        <w:tc>
          <w:tcPr>
            <w:tcW w:w="1803" w:type="dxa"/>
            <w:tcBorders>
              <w:top w:val="nil"/>
              <w:left w:val="nil"/>
              <w:bottom w:val="nil"/>
              <w:right w:val="nil"/>
            </w:tcBorders>
            <w:hideMark/>
          </w:tcPr>
          <w:p w14:paraId="2C62A194"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nil"/>
              <w:right w:val="nil"/>
            </w:tcBorders>
            <w:hideMark/>
          </w:tcPr>
          <w:p w14:paraId="5EDD6A61"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Dilated lymph vessels or cystic collections of lymph </w:t>
            </w:r>
          </w:p>
        </w:tc>
        <w:tc>
          <w:tcPr>
            <w:tcW w:w="1803" w:type="dxa"/>
            <w:tcBorders>
              <w:top w:val="nil"/>
              <w:left w:val="nil"/>
              <w:bottom w:val="nil"/>
              <w:right w:val="nil"/>
            </w:tcBorders>
            <w:hideMark/>
          </w:tcPr>
          <w:p w14:paraId="6F46ED3E"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N/A</w:t>
            </w:r>
          </w:p>
        </w:tc>
        <w:tc>
          <w:tcPr>
            <w:tcW w:w="1804" w:type="dxa"/>
            <w:tcBorders>
              <w:top w:val="nil"/>
              <w:left w:val="nil"/>
              <w:bottom w:val="nil"/>
              <w:right w:val="single" w:sz="4" w:space="0" w:color="auto"/>
            </w:tcBorders>
            <w:hideMark/>
          </w:tcPr>
          <w:p w14:paraId="0F0853D8" w14:textId="77777777" w:rsidR="00981025" w:rsidRPr="000300C6" w:rsidRDefault="00981025" w:rsidP="00712A17">
            <w:pP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N/A</w:t>
            </w:r>
          </w:p>
        </w:tc>
      </w:tr>
      <w:tr w:rsidR="00981025" w:rsidRPr="000300C6" w14:paraId="25804E1F" w14:textId="77777777" w:rsidTr="00712A17">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803" w:type="dxa"/>
            <w:tcBorders>
              <w:top w:val="nil"/>
              <w:left w:val="single" w:sz="4" w:space="0" w:color="auto"/>
              <w:bottom w:val="single" w:sz="4" w:space="0" w:color="auto"/>
            </w:tcBorders>
            <w:noWrap/>
            <w:hideMark/>
          </w:tcPr>
          <w:p w14:paraId="0C845AF7" w14:textId="77777777" w:rsidR="00981025" w:rsidRPr="000300C6" w:rsidRDefault="00981025" w:rsidP="00712A17">
            <w:pPr>
              <w:rPr>
                <w:rFonts w:eastAsia="Times New Roman" w:cs="Calibri"/>
                <w:sz w:val="16"/>
                <w:szCs w:val="16"/>
                <w:lang w:eastAsia="en-GB"/>
              </w:rPr>
            </w:pPr>
            <w:r w:rsidRPr="000300C6">
              <w:rPr>
                <w:rFonts w:eastAsia="Times New Roman" w:cs="Calibri"/>
                <w:sz w:val="16"/>
                <w:szCs w:val="16"/>
                <w:lang w:eastAsia="en-GB"/>
              </w:rPr>
              <w:t>7 - Ileitis Cystica Profunda</w:t>
            </w:r>
          </w:p>
        </w:tc>
        <w:tc>
          <w:tcPr>
            <w:tcW w:w="1803" w:type="dxa"/>
            <w:tcBorders>
              <w:top w:val="nil"/>
              <w:left w:val="nil"/>
              <w:bottom w:val="single" w:sz="4" w:space="0" w:color="auto"/>
              <w:right w:val="nil"/>
            </w:tcBorders>
            <w:hideMark/>
          </w:tcPr>
          <w:p w14:paraId="4CA27D23"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No changes</w:t>
            </w:r>
          </w:p>
        </w:tc>
        <w:tc>
          <w:tcPr>
            <w:tcW w:w="1803" w:type="dxa"/>
            <w:tcBorders>
              <w:top w:val="nil"/>
              <w:left w:val="nil"/>
              <w:bottom w:val="single" w:sz="4" w:space="0" w:color="auto"/>
              <w:right w:val="nil"/>
            </w:tcBorders>
            <w:hideMark/>
          </w:tcPr>
          <w:p w14:paraId="10A78587"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 xml:space="preserve">Submucosal glandular inclusions </w:t>
            </w:r>
          </w:p>
        </w:tc>
        <w:tc>
          <w:tcPr>
            <w:tcW w:w="1803" w:type="dxa"/>
            <w:tcBorders>
              <w:top w:val="nil"/>
              <w:left w:val="nil"/>
              <w:bottom w:val="single" w:sz="4" w:space="0" w:color="auto"/>
              <w:right w:val="nil"/>
            </w:tcBorders>
            <w:hideMark/>
          </w:tcPr>
          <w:p w14:paraId="05BA4F68"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submucosal cysts with polypoid elevation of the mucosa</w:t>
            </w:r>
          </w:p>
        </w:tc>
        <w:tc>
          <w:tcPr>
            <w:tcW w:w="1804" w:type="dxa"/>
            <w:tcBorders>
              <w:top w:val="nil"/>
              <w:left w:val="nil"/>
              <w:bottom w:val="single" w:sz="4" w:space="0" w:color="auto"/>
              <w:right w:val="single" w:sz="4" w:space="0" w:color="auto"/>
            </w:tcBorders>
            <w:hideMark/>
          </w:tcPr>
          <w:p w14:paraId="57850792" w14:textId="77777777" w:rsidR="00981025" w:rsidRPr="000300C6" w:rsidRDefault="00981025" w:rsidP="00712A17">
            <w:pP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lang w:eastAsia="en-GB"/>
              </w:rPr>
            </w:pPr>
            <w:r w:rsidRPr="000300C6">
              <w:rPr>
                <w:rFonts w:eastAsia="Times New Roman" w:cs="Calibri"/>
                <w:sz w:val="16"/>
                <w:szCs w:val="16"/>
                <w:lang w:eastAsia="en-GB"/>
              </w:rPr>
              <w:t>Large cysts extending into the muscularis</w:t>
            </w:r>
          </w:p>
        </w:tc>
      </w:tr>
    </w:tbl>
    <w:p w14:paraId="4641CC2F" w14:textId="77777777" w:rsidR="00981025" w:rsidRPr="000300C6" w:rsidRDefault="00981025" w:rsidP="00981025"/>
    <w:p w14:paraId="7B28F399" w14:textId="77777777" w:rsidR="00981025" w:rsidRPr="000300C6" w:rsidRDefault="00981025" w:rsidP="00A81394">
      <w:pPr>
        <w:spacing w:after="120"/>
        <w:rPr>
          <w:b/>
          <w:sz w:val="18"/>
          <w:szCs w:val="18"/>
          <w:lang w:val="en-US"/>
        </w:rPr>
      </w:pPr>
    </w:p>
    <w:p w14:paraId="1D41CB8E" w14:textId="0DCB2BB2" w:rsidR="00981025" w:rsidRPr="000300C6" w:rsidRDefault="00981025" w:rsidP="00981025">
      <w:pPr>
        <w:spacing w:after="120"/>
        <w:jc w:val="center"/>
        <w:rPr>
          <w:i/>
          <w:sz w:val="18"/>
          <w:szCs w:val="18"/>
          <w:lang w:val="en-US"/>
        </w:rPr>
      </w:pPr>
      <w:r w:rsidRPr="000300C6">
        <w:rPr>
          <w:b/>
          <w:sz w:val="18"/>
          <w:szCs w:val="18"/>
          <w:lang w:val="en-US"/>
        </w:rPr>
        <w:t>Table SUPP-</w:t>
      </w:r>
      <w:r w:rsidR="00A81394" w:rsidRPr="000300C6">
        <w:rPr>
          <w:b/>
          <w:sz w:val="18"/>
          <w:szCs w:val="18"/>
          <w:lang w:val="en-US"/>
        </w:rPr>
        <w:t>4</w:t>
      </w:r>
      <w:r w:rsidRPr="000300C6">
        <w:rPr>
          <w:b/>
          <w:sz w:val="18"/>
          <w:szCs w:val="18"/>
          <w:lang w:val="en-US"/>
        </w:rPr>
        <w:t>:</w:t>
      </w:r>
      <w:r w:rsidRPr="000300C6">
        <w:rPr>
          <w:sz w:val="18"/>
          <w:szCs w:val="18"/>
          <w:lang w:val="en-US"/>
        </w:rPr>
        <w:t xml:space="preserve"> Definition of symptom groups according to </w:t>
      </w:r>
      <w:r w:rsidR="00A81394" w:rsidRPr="000300C6">
        <w:rPr>
          <w:sz w:val="18"/>
          <w:szCs w:val="18"/>
          <w:lang w:val="en-US"/>
        </w:rPr>
        <w:t>PRO in the late cohort</w:t>
      </w:r>
      <w:r w:rsidRPr="000300C6">
        <w:rPr>
          <w:sz w:val="18"/>
          <w:szCs w:val="18"/>
          <w:lang w:val="en-US"/>
        </w:rPr>
        <w:t>.</w:t>
      </w:r>
    </w:p>
    <w:tbl>
      <w:tblPr>
        <w:tblW w:w="5256" w:type="dxa"/>
        <w:jc w:val="center"/>
        <w:tblLook w:val="04A0" w:firstRow="1" w:lastRow="0" w:firstColumn="1" w:lastColumn="0" w:noHBand="0" w:noVBand="1"/>
      </w:tblPr>
      <w:tblGrid>
        <w:gridCol w:w="2935"/>
        <w:gridCol w:w="53"/>
        <w:gridCol w:w="2268"/>
      </w:tblGrid>
      <w:tr w:rsidR="00981025" w:rsidRPr="000300C6" w14:paraId="384EED9D" w14:textId="77777777" w:rsidTr="00712A17">
        <w:trPr>
          <w:trHeight w:val="288"/>
          <w:jc w:val="center"/>
        </w:trPr>
        <w:tc>
          <w:tcPr>
            <w:tcW w:w="2935" w:type="dxa"/>
            <w:tcBorders>
              <w:top w:val="single" w:sz="8" w:space="0" w:color="auto"/>
              <w:left w:val="single" w:sz="8" w:space="0" w:color="auto"/>
              <w:bottom w:val="nil"/>
            </w:tcBorders>
            <w:shd w:val="clear" w:color="auto" w:fill="auto"/>
            <w:noWrap/>
            <w:vAlign w:val="center"/>
          </w:tcPr>
          <w:p w14:paraId="002ABCB0" w14:textId="75946D0C" w:rsidR="00981025" w:rsidRPr="000300C6" w:rsidRDefault="00814988" w:rsidP="00712A17">
            <w:pPr>
              <w:spacing w:after="0" w:line="240" w:lineRule="auto"/>
              <w:rPr>
                <w:rFonts w:eastAsia="Times New Roman" w:cs="Calibri"/>
                <w:b/>
                <w:bCs/>
                <w:color w:val="000000"/>
                <w:sz w:val="18"/>
                <w:szCs w:val="18"/>
                <w:lang w:val="en-GB" w:eastAsia="en-GB"/>
              </w:rPr>
            </w:pPr>
            <w:r w:rsidRPr="000300C6">
              <w:rPr>
                <w:rFonts w:eastAsia="Times New Roman" w:cs="Calibri"/>
                <w:b/>
                <w:color w:val="000000"/>
                <w:sz w:val="18"/>
                <w:szCs w:val="18"/>
                <w:lang w:val="en-GB" w:eastAsia="en-GB"/>
              </w:rPr>
              <w:t>PRO score</w:t>
            </w:r>
          </w:p>
        </w:tc>
        <w:tc>
          <w:tcPr>
            <w:tcW w:w="2321" w:type="dxa"/>
            <w:gridSpan w:val="2"/>
            <w:tcBorders>
              <w:top w:val="single" w:sz="8" w:space="0" w:color="auto"/>
              <w:bottom w:val="nil"/>
              <w:right w:val="single" w:sz="8" w:space="0" w:color="auto"/>
            </w:tcBorders>
            <w:shd w:val="clear" w:color="auto" w:fill="auto"/>
            <w:vAlign w:val="center"/>
          </w:tcPr>
          <w:p w14:paraId="029564F6" w14:textId="77777777" w:rsidR="00981025" w:rsidRPr="000300C6" w:rsidRDefault="00981025" w:rsidP="00712A17">
            <w:pPr>
              <w:spacing w:after="0" w:line="240" w:lineRule="auto"/>
              <w:rPr>
                <w:rFonts w:eastAsia="Times New Roman" w:cs="Calibri"/>
                <w:b/>
                <w:bCs/>
                <w:color w:val="000000"/>
                <w:sz w:val="18"/>
                <w:szCs w:val="18"/>
                <w:lang w:val="en-GB" w:eastAsia="en-GB"/>
              </w:rPr>
            </w:pPr>
            <w:r w:rsidRPr="000300C6">
              <w:rPr>
                <w:rFonts w:eastAsia="Times New Roman" w:cs="Calibri"/>
                <w:b/>
                <w:bCs/>
                <w:color w:val="000000"/>
                <w:sz w:val="18"/>
                <w:szCs w:val="18"/>
                <w:lang w:val="en-GB" w:eastAsia="en-GB"/>
              </w:rPr>
              <w:t>Symptom group</w:t>
            </w:r>
          </w:p>
        </w:tc>
      </w:tr>
      <w:tr w:rsidR="00981025" w:rsidRPr="000300C6" w14:paraId="75FC2D10" w14:textId="77777777" w:rsidTr="00712A17">
        <w:trPr>
          <w:trHeight w:val="288"/>
          <w:jc w:val="center"/>
        </w:trPr>
        <w:tc>
          <w:tcPr>
            <w:tcW w:w="2988" w:type="dxa"/>
            <w:gridSpan w:val="2"/>
            <w:tcBorders>
              <w:top w:val="single" w:sz="8" w:space="0" w:color="auto"/>
              <w:left w:val="single" w:sz="8" w:space="0" w:color="auto"/>
              <w:bottom w:val="nil"/>
              <w:right w:val="nil"/>
            </w:tcBorders>
            <w:shd w:val="clear" w:color="auto" w:fill="auto"/>
            <w:noWrap/>
            <w:vAlign w:val="center"/>
            <w:hideMark/>
          </w:tcPr>
          <w:p w14:paraId="46FE6362"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 first quartile (62≤)</w:t>
            </w:r>
          </w:p>
        </w:tc>
        <w:tc>
          <w:tcPr>
            <w:tcW w:w="2268" w:type="dxa"/>
            <w:tcBorders>
              <w:top w:val="single" w:sz="8" w:space="0" w:color="auto"/>
              <w:left w:val="nil"/>
              <w:bottom w:val="nil"/>
              <w:right w:val="single" w:sz="8" w:space="0" w:color="auto"/>
            </w:tcBorders>
            <w:shd w:val="clear" w:color="auto" w:fill="auto"/>
            <w:noWrap/>
            <w:vAlign w:val="center"/>
            <w:hideMark/>
          </w:tcPr>
          <w:p w14:paraId="28378BD5" w14:textId="77777777" w:rsidR="00981025" w:rsidRPr="000300C6" w:rsidRDefault="00981025" w:rsidP="00712A17">
            <w:pPr>
              <w:spacing w:after="0" w:line="240" w:lineRule="auto"/>
              <w:rPr>
                <w:rFonts w:eastAsia="Times New Roman" w:cs="Calibri"/>
                <w:bCs/>
                <w:color w:val="000000"/>
                <w:sz w:val="18"/>
                <w:szCs w:val="18"/>
                <w:lang w:val="en-GB" w:eastAsia="en-GB"/>
              </w:rPr>
            </w:pPr>
            <w:r w:rsidRPr="000300C6">
              <w:rPr>
                <w:rFonts w:eastAsia="Times New Roman" w:cs="Calibri"/>
                <w:bCs/>
                <w:color w:val="000000"/>
                <w:sz w:val="18"/>
                <w:szCs w:val="18"/>
                <w:lang w:val="en-GB" w:eastAsia="en-GB"/>
              </w:rPr>
              <w:t>Severe GI symptoms</w:t>
            </w:r>
          </w:p>
        </w:tc>
      </w:tr>
      <w:tr w:rsidR="00981025" w:rsidRPr="000300C6" w14:paraId="187461EA" w14:textId="77777777" w:rsidTr="00712A17">
        <w:trPr>
          <w:trHeight w:val="288"/>
          <w:jc w:val="center"/>
        </w:trPr>
        <w:tc>
          <w:tcPr>
            <w:tcW w:w="2988" w:type="dxa"/>
            <w:gridSpan w:val="2"/>
            <w:tcBorders>
              <w:top w:val="nil"/>
              <w:left w:val="single" w:sz="8" w:space="0" w:color="auto"/>
              <w:bottom w:val="nil"/>
              <w:right w:val="nil"/>
            </w:tcBorders>
            <w:shd w:val="clear" w:color="000000" w:fill="F2F2F2"/>
            <w:noWrap/>
            <w:vAlign w:val="center"/>
            <w:hideMark/>
          </w:tcPr>
          <w:p w14:paraId="6659B1FA"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First quartile to median (62&lt; &amp; ≤67)</w:t>
            </w:r>
          </w:p>
        </w:tc>
        <w:tc>
          <w:tcPr>
            <w:tcW w:w="2268" w:type="dxa"/>
            <w:tcBorders>
              <w:top w:val="nil"/>
              <w:left w:val="nil"/>
              <w:bottom w:val="nil"/>
              <w:right w:val="single" w:sz="8" w:space="0" w:color="auto"/>
            </w:tcBorders>
            <w:shd w:val="clear" w:color="000000" w:fill="F2F2F2"/>
            <w:noWrap/>
            <w:vAlign w:val="center"/>
            <w:hideMark/>
          </w:tcPr>
          <w:p w14:paraId="1A0DA4B5"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Moderate GI symptoms</w:t>
            </w:r>
          </w:p>
        </w:tc>
      </w:tr>
      <w:tr w:rsidR="00981025" w:rsidRPr="000300C6" w14:paraId="3090195B" w14:textId="77777777" w:rsidTr="00712A17">
        <w:trPr>
          <w:trHeight w:val="288"/>
          <w:jc w:val="center"/>
        </w:trPr>
        <w:tc>
          <w:tcPr>
            <w:tcW w:w="2988" w:type="dxa"/>
            <w:gridSpan w:val="2"/>
            <w:tcBorders>
              <w:top w:val="nil"/>
              <w:left w:val="single" w:sz="8" w:space="0" w:color="auto"/>
              <w:bottom w:val="nil"/>
              <w:right w:val="nil"/>
            </w:tcBorders>
            <w:shd w:val="clear" w:color="auto" w:fill="auto"/>
            <w:noWrap/>
            <w:vAlign w:val="center"/>
            <w:hideMark/>
          </w:tcPr>
          <w:p w14:paraId="43DCFD4A"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Median to third quartile (67&lt; &amp; &lt;70)</w:t>
            </w:r>
          </w:p>
        </w:tc>
        <w:tc>
          <w:tcPr>
            <w:tcW w:w="2268" w:type="dxa"/>
            <w:tcBorders>
              <w:top w:val="nil"/>
              <w:left w:val="nil"/>
              <w:bottom w:val="nil"/>
              <w:right w:val="single" w:sz="8" w:space="0" w:color="auto"/>
            </w:tcBorders>
            <w:shd w:val="clear" w:color="auto" w:fill="auto"/>
            <w:noWrap/>
            <w:vAlign w:val="center"/>
            <w:hideMark/>
          </w:tcPr>
          <w:p w14:paraId="0FEDCAF7"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Mild GI symptoms</w:t>
            </w:r>
          </w:p>
        </w:tc>
      </w:tr>
      <w:tr w:rsidR="00981025" w:rsidRPr="000300C6" w14:paraId="25F6C20B" w14:textId="77777777" w:rsidTr="00712A17">
        <w:trPr>
          <w:trHeight w:val="300"/>
          <w:jc w:val="center"/>
        </w:trPr>
        <w:tc>
          <w:tcPr>
            <w:tcW w:w="2988" w:type="dxa"/>
            <w:gridSpan w:val="2"/>
            <w:tcBorders>
              <w:top w:val="nil"/>
              <w:left w:val="single" w:sz="8" w:space="0" w:color="auto"/>
              <w:bottom w:val="single" w:sz="8" w:space="0" w:color="auto"/>
              <w:right w:val="nil"/>
            </w:tcBorders>
            <w:shd w:val="clear" w:color="000000" w:fill="F2F2F2"/>
            <w:noWrap/>
            <w:vAlign w:val="center"/>
            <w:hideMark/>
          </w:tcPr>
          <w:p w14:paraId="232997AB"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 third quartile (=70)</w:t>
            </w:r>
          </w:p>
        </w:tc>
        <w:tc>
          <w:tcPr>
            <w:tcW w:w="2268" w:type="dxa"/>
            <w:tcBorders>
              <w:top w:val="nil"/>
              <w:left w:val="nil"/>
              <w:bottom w:val="single" w:sz="8" w:space="0" w:color="auto"/>
              <w:right w:val="single" w:sz="8" w:space="0" w:color="auto"/>
            </w:tcBorders>
            <w:shd w:val="clear" w:color="000000" w:fill="F2F2F2"/>
            <w:noWrap/>
            <w:vAlign w:val="center"/>
            <w:hideMark/>
          </w:tcPr>
          <w:p w14:paraId="0DAC4C46" w14:textId="77777777" w:rsidR="00981025" w:rsidRPr="000300C6" w:rsidRDefault="00981025" w:rsidP="00712A17">
            <w:pPr>
              <w:spacing w:after="0" w:line="240" w:lineRule="auto"/>
              <w:rPr>
                <w:rFonts w:eastAsia="Times New Roman" w:cs="Calibri"/>
                <w:color w:val="000000"/>
                <w:sz w:val="18"/>
                <w:szCs w:val="18"/>
                <w:lang w:val="en-GB" w:eastAsia="en-GB"/>
              </w:rPr>
            </w:pPr>
            <w:r w:rsidRPr="000300C6">
              <w:rPr>
                <w:rFonts w:eastAsia="Times New Roman" w:cs="Calibri"/>
                <w:color w:val="000000"/>
                <w:sz w:val="18"/>
                <w:szCs w:val="18"/>
                <w:lang w:val="en-GB" w:eastAsia="en-GB"/>
              </w:rPr>
              <w:t>No GI symptoms</w:t>
            </w:r>
          </w:p>
        </w:tc>
      </w:tr>
    </w:tbl>
    <w:p w14:paraId="067EE4B6" w14:textId="05D8B991" w:rsidR="00981025" w:rsidRPr="000300C6" w:rsidRDefault="00981025" w:rsidP="00981025">
      <w:pPr>
        <w:jc w:val="center"/>
        <w:rPr>
          <w:lang w:val="en-US"/>
        </w:rPr>
      </w:pPr>
      <w:r w:rsidRPr="000300C6">
        <w:rPr>
          <w:i/>
          <w:sz w:val="18"/>
          <w:szCs w:val="18"/>
          <w:lang w:val="en-US"/>
        </w:rPr>
        <w:t xml:space="preserve">The best possible </w:t>
      </w:r>
      <w:r w:rsidR="00814988" w:rsidRPr="000300C6">
        <w:rPr>
          <w:i/>
          <w:sz w:val="18"/>
          <w:szCs w:val="18"/>
          <w:lang w:val="en-US"/>
        </w:rPr>
        <w:t>PRO</w:t>
      </w:r>
      <w:r w:rsidRPr="000300C6">
        <w:rPr>
          <w:i/>
          <w:sz w:val="18"/>
          <w:szCs w:val="18"/>
          <w:lang w:val="en-US"/>
        </w:rPr>
        <w:t xml:space="preserve"> score is 70. GI = gastrointestinal</w:t>
      </w:r>
    </w:p>
    <w:p w14:paraId="350A7B8C" w14:textId="77777777" w:rsidR="002D7B1C" w:rsidRPr="000300C6" w:rsidRDefault="002D7B1C">
      <w:pPr>
        <w:spacing w:after="160" w:line="259" w:lineRule="auto"/>
        <w:rPr>
          <w:rFonts w:asciiTheme="minorHAnsi" w:eastAsiaTheme="minorHAnsi" w:hAnsiTheme="minorHAnsi" w:cstheme="minorBidi"/>
          <w:b/>
          <w:bCs/>
          <w:iCs/>
          <w:color w:val="000000" w:themeColor="text1"/>
          <w:sz w:val="20"/>
          <w:szCs w:val="20"/>
          <w:lang w:val="en-GB"/>
        </w:rPr>
      </w:pPr>
    </w:p>
    <w:p w14:paraId="6E0637C7" w14:textId="0579DA4F" w:rsidR="00A81394" w:rsidRPr="000300C6" w:rsidRDefault="00A81394" w:rsidP="00B657DA">
      <w:pPr>
        <w:pStyle w:val="Caption"/>
        <w:rPr>
          <w:b w:val="0"/>
        </w:rPr>
      </w:pPr>
      <w:r w:rsidRPr="000300C6">
        <w:t>Table SUPP-</w:t>
      </w:r>
      <w:r w:rsidR="00422FF2" w:rsidRPr="000300C6">
        <w:t>5</w:t>
      </w:r>
      <w:r w:rsidRPr="000300C6">
        <w:t xml:space="preserve">: </w:t>
      </w:r>
      <w:r w:rsidRPr="000300C6">
        <w:rPr>
          <w:b w:val="0"/>
        </w:rPr>
        <w:t>Number of patients per longitudinal symptom group in the early cohort.</w:t>
      </w:r>
    </w:p>
    <w:tbl>
      <w:tblPr>
        <w:tblStyle w:val="PlainTable1"/>
        <w:tblW w:w="0" w:type="auto"/>
        <w:tblInd w:w="155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953"/>
        <w:gridCol w:w="2575"/>
      </w:tblGrid>
      <w:tr w:rsidR="00A81394" w:rsidRPr="000300C6" w14:paraId="6D578F9C" w14:textId="77777777" w:rsidTr="00712A17">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bottom w:val="single" w:sz="4" w:space="0" w:color="auto"/>
              <w:right w:val="single" w:sz="4" w:space="0" w:color="auto"/>
            </w:tcBorders>
            <w:vAlign w:val="center"/>
          </w:tcPr>
          <w:p w14:paraId="7F96AFF8" w14:textId="77777777" w:rsidR="00A81394" w:rsidRPr="000300C6" w:rsidRDefault="00A81394" w:rsidP="00712A17">
            <w:pPr>
              <w:spacing w:after="0"/>
              <w:jc w:val="center"/>
              <w:rPr>
                <w:sz w:val="16"/>
                <w:szCs w:val="16"/>
              </w:rPr>
            </w:pPr>
            <w:r w:rsidRPr="000300C6">
              <w:rPr>
                <w:sz w:val="16"/>
                <w:szCs w:val="16"/>
              </w:rPr>
              <w:t>Symptom group</w:t>
            </w:r>
          </w:p>
        </w:tc>
        <w:tc>
          <w:tcPr>
            <w:tcW w:w="2575" w:type="dxa"/>
            <w:tcBorders>
              <w:top w:val="single" w:sz="4" w:space="0" w:color="auto"/>
              <w:left w:val="single" w:sz="4" w:space="0" w:color="auto"/>
              <w:bottom w:val="single" w:sz="4" w:space="0" w:color="auto"/>
            </w:tcBorders>
            <w:vAlign w:val="center"/>
          </w:tcPr>
          <w:p w14:paraId="52E9C5D6" w14:textId="22B3E7F3" w:rsidR="00A81394" w:rsidRPr="000300C6" w:rsidRDefault="00A81394" w:rsidP="00712A1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n (%) PRO/CRO [n concordant</w:t>
            </w:r>
            <w:r w:rsidR="002538AB" w:rsidRPr="000300C6">
              <w:rPr>
                <w:sz w:val="16"/>
                <w:szCs w:val="16"/>
              </w:rPr>
              <w:t>*</w:t>
            </w:r>
            <w:r w:rsidRPr="000300C6">
              <w:rPr>
                <w:sz w:val="16"/>
                <w:szCs w:val="16"/>
              </w:rPr>
              <w:t>]</w:t>
            </w:r>
          </w:p>
        </w:tc>
      </w:tr>
      <w:tr w:rsidR="00A81394" w:rsidRPr="000300C6" w14:paraId="42BDA603" w14:textId="77777777" w:rsidTr="00712A17">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bottom w:val="nil"/>
              <w:right w:val="single" w:sz="4" w:space="0" w:color="auto"/>
            </w:tcBorders>
            <w:vAlign w:val="center"/>
          </w:tcPr>
          <w:p w14:paraId="532D50F3" w14:textId="77777777" w:rsidR="00A81394" w:rsidRPr="000300C6" w:rsidRDefault="00A81394" w:rsidP="00712A17">
            <w:pPr>
              <w:spacing w:after="0"/>
              <w:jc w:val="both"/>
              <w:rPr>
                <w:b w:val="0"/>
                <w:sz w:val="16"/>
                <w:szCs w:val="16"/>
              </w:rPr>
            </w:pPr>
            <w:r w:rsidRPr="000300C6">
              <w:rPr>
                <w:b w:val="0"/>
                <w:sz w:val="16"/>
                <w:szCs w:val="16"/>
              </w:rPr>
              <w:t>No symptoms PRO/CRO</w:t>
            </w:r>
          </w:p>
        </w:tc>
        <w:tc>
          <w:tcPr>
            <w:tcW w:w="2575" w:type="dxa"/>
            <w:tcBorders>
              <w:top w:val="single" w:sz="4" w:space="0" w:color="auto"/>
              <w:left w:val="single" w:sz="4" w:space="0" w:color="auto"/>
            </w:tcBorders>
            <w:vAlign w:val="center"/>
          </w:tcPr>
          <w:p w14:paraId="0C876F18" w14:textId="77777777" w:rsidR="00A81394" w:rsidRPr="000300C6" w:rsidRDefault="00A81394" w:rsidP="00712A17">
            <w:pPr>
              <w:spacing w:after="0"/>
              <w:jc w:val="both"/>
              <w:cnfStyle w:val="000000100000" w:firstRow="0" w:lastRow="0" w:firstColumn="0" w:lastColumn="0" w:oddVBand="0" w:evenVBand="0" w:oddHBand="1" w:evenHBand="0" w:firstRowFirstColumn="0" w:firstRowLastColumn="0" w:lastRowFirstColumn="0" w:lastRowLastColumn="0"/>
              <w:rPr>
                <w:sz w:val="16"/>
                <w:szCs w:val="16"/>
              </w:rPr>
            </w:pPr>
            <w:r w:rsidRPr="000300C6">
              <w:rPr>
                <w:sz w:val="16"/>
                <w:szCs w:val="16"/>
              </w:rPr>
              <w:t>4 (13%)/4 (13%) [2]</w:t>
            </w:r>
          </w:p>
        </w:tc>
      </w:tr>
      <w:tr w:rsidR="00A81394" w:rsidRPr="000300C6" w14:paraId="0296EA09" w14:textId="77777777" w:rsidTr="00712A17">
        <w:trPr>
          <w:trHeight w:val="431"/>
        </w:trPr>
        <w:tc>
          <w:tcPr>
            <w:cnfStyle w:val="001000000000" w:firstRow="0" w:lastRow="0" w:firstColumn="1" w:lastColumn="0" w:oddVBand="0" w:evenVBand="0" w:oddHBand="0" w:evenHBand="0" w:firstRowFirstColumn="0" w:firstRowLastColumn="0" w:lastRowFirstColumn="0" w:lastRowLastColumn="0"/>
            <w:tcW w:w="2953" w:type="dxa"/>
            <w:tcBorders>
              <w:top w:val="nil"/>
              <w:bottom w:val="nil"/>
              <w:right w:val="single" w:sz="4" w:space="0" w:color="auto"/>
            </w:tcBorders>
            <w:vAlign w:val="center"/>
          </w:tcPr>
          <w:p w14:paraId="0096A712" w14:textId="77777777" w:rsidR="00A81394" w:rsidRPr="000300C6" w:rsidRDefault="00A81394" w:rsidP="00712A17">
            <w:pPr>
              <w:spacing w:after="0"/>
              <w:jc w:val="both"/>
              <w:rPr>
                <w:b w:val="0"/>
                <w:sz w:val="16"/>
                <w:szCs w:val="16"/>
              </w:rPr>
            </w:pPr>
            <w:r w:rsidRPr="000300C6">
              <w:rPr>
                <w:b w:val="0"/>
                <w:sz w:val="16"/>
                <w:szCs w:val="16"/>
              </w:rPr>
              <w:t>Non-persistent symptoms PRO/CRO</w:t>
            </w:r>
          </w:p>
        </w:tc>
        <w:tc>
          <w:tcPr>
            <w:tcW w:w="2575" w:type="dxa"/>
            <w:tcBorders>
              <w:left w:val="single" w:sz="4" w:space="0" w:color="auto"/>
            </w:tcBorders>
            <w:vAlign w:val="center"/>
          </w:tcPr>
          <w:p w14:paraId="2E94192F" w14:textId="77777777" w:rsidR="00A81394" w:rsidRPr="000300C6" w:rsidRDefault="00A81394" w:rsidP="00712A17">
            <w:pPr>
              <w:spacing w:after="0"/>
              <w:jc w:val="both"/>
              <w:cnfStyle w:val="000000000000" w:firstRow="0" w:lastRow="0" w:firstColumn="0" w:lastColumn="0" w:oddVBand="0" w:evenVBand="0" w:oddHBand="0" w:evenHBand="0" w:firstRowFirstColumn="0" w:firstRowLastColumn="0" w:lastRowFirstColumn="0" w:lastRowLastColumn="0"/>
              <w:rPr>
                <w:sz w:val="16"/>
                <w:szCs w:val="16"/>
              </w:rPr>
            </w:pPr>
            <w:r w:rsidRPr="000300C6">
              <w:rPr>
                <w:sz w:val="16"/>
                <w:szCs w:val="16"/>
              </w:rPr>
              <w:t>19 (59%)/12 (37%) [11]</w:t>
            </w:r>
          </w:p>
        </w:tc>
      </w:tr>
      <w:tr w:rsidR="00A81394" w:rsidRPr="000300C6" w14:paraId="2E431771" w14:textId="77777777" w:rsidTr="00712A1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53" w:type="dxa"/>
            <w:tcBorders>
              <w:top w:val="nil"/>
              <w:bottom w:val="single" w:sz="4" w:space="0" w:color="auto"/>
              <w:right w:val="single" w:sz="4" w:space="0" w:color="auto"/>
            </w:tcBorders>
            <w:vAlign w:val="center"/>
          </w:tcPr>
          <w:p w14:paraId="729CFE98" w14:textId="77777777" w:rsidR="00A81394" w:rsidRPr="000300C6" w:rsidRDefault="00A81394" w:rsidP="00712A17">
            <w:pPr>
              <w:spacing w:after="0"/>
              <w:jc w:val="both"/>
              <w:rPr>
                <w:b w:val="0"/>
                <w:sz w:val="16"/>
                <w:szCs w:val="16"/>
              </w:rPr>
            </w:pPr>
            <w:r w:rsidRPr="000300C6">
              <w:rPr>
                <w:b w:val="0"/>
                <w:sz w:val="16"/>
                <w:szCs w:val="16"/>
              </w:rPr>
              <w:t>Persistent symptoms PRO/CRO</w:t>
            </w:r>
          </w:p>
        </w:tc>
        <w:tc>
          <w:tcPr>
            <w:tcW w:w="2575" w:type="dxa"/>
            <w:tcBorders>
              <w:left w:val="single" w:sz="4" w:space="0" w:color="auto"/>
            </w:tcBorders>
            <w:vAlign w:val="center"/>
          </w:tcPr>
          <w:p w14:paraId="0BE012EF" w14:textId="77777777" w:rsidR="00A81394" w:rsidRPr="000300C6" w:rsidRDefault="00A81394" w:rsidP="00712A17">
            <w:pPr>
              <w:spacing w:after="0"/>
              <w:jc w:val="both"/>
              <w:cnfStyle w:val="000000100000" w:firstRow="0" w:lastRow="0" w:firstColumn="0" w:lastColumn="0" w:oddVBand="0" w:evenVBand="0" w:oddHBand="1" w:evenHBand="0" w:firstRowFirstColumn="0" w:firstRowLastColumn="0" w:lastRowFirstColumn="0" w:lastRowLastColumn="0"/>
              <w:rPr>
                <w:sz w:val="16"/>
                <w:szCs w:val="16"/>
              </w:rPr>
            </w:pPr>
            <w:r w:rsidRPr="000300C6">
              <w:rPr>
                <w:sz w:val="16"/>
                <w:szCs w:val="16"/>
              </w:rPr>
              <w:t>9 (28%)/16 (50%)[8]</w:t>
            </w:r>
          </w:p>
        </w:tc>
      </w:tr>
    </w:tbl>
    <w:p w14:paraId="3CDFBA98" w14:textId="366363E2" w:rsidR="00A81394" w:rsidRPr="000300C6" w:rsidRDefault="002538AB" w:rsidP="002538AB">
      <w:pPr>
        <w:tabs>
          <w:tab w:val="left" w:pos="5508"/>
        </w:tabs>
        <w:spacing w:after="160" w:line="259" w:lineRule="auto"/>
        <w:jc w:val="center"/>
        <w:rPr>
          <w:i/>
          <w:sz w:val="18"/>
          <w:szCs w:val="18"/>
        </w:rPr>
      </w:pPr>
      <w:r w:rsidRPr="000300C6">
        <w:rPr>
          <w:i/>
          <w:sz w:val="18"/>
          <w:szCs w:val="18"/>
        </w:rPr>
        <w:t>* : Concordant classification is defined as patients being classified in the same group with both PRO and CRO.</w:t>
      </w:r>
    </w:p>
    <w:p w14:paraId="1AC3BE07" w14:textId="77777777" w:rsidR="00540E79" w:rsidRPr="000300C6" w:rsidRDefault="00540E79" w:rsidP="00540E79">
      <w:pPr>
        <w:spacing w:after="0"/>
        <w:jc w:val="center"/>
        <w:rPr>
          <w:b/>
          <w:sz w:val="18"/>
          <w:szCs w:val="18"/>
        </w:rPr>
      </w:pPr>
      <w:bookmarkStart w:id="12" w:name="_Toc515981658"/>
    </w:p>
    <w:p w14:paraId="7EE4786B" w14:textId="063D77E9" w:rsidR="00540E79" w:rsidRPr="000300C6" w:rsidRDefault="00540E79" w:rsidP="00540E79">
      <w:pPr>
        <w:spacing w:after="0"/>
        <w:jc w:val="center"/>
        <w:rPr>
          <w:sz w:val="18"/>
          <w:szCs w:val="18"/>
        </w:rPr>
      </w:pPr>
      <w:r w:rsidRPr="000300C6">
        <w:rPr>
          <w:b/>
          <w:sz w:val="18"/>
          <w:szCs w:val="18"/>
        </w:rPr>
        <w:lastRenderedPageBreak/>
        <w:t>Table SUPP-6:</w:t>
      </w:r>
      <w:r w:rsidRPr="000300C6">
        <w:rPr>
          <w:sz w:val="18"/>
          <w:szCs w:val="18"/>
        </w:rPr>
        <w:t xml:space="preserve"> Comorbidity comparisons between symptom groups in the early cohort.</w:t>
      </w:r>
    </w:p>
    <w:tbl>
      <w:tblPr>
        <w:tblStyle w:val="PlainTable4"/>
        <w:tblW w:w="10490" w:type="dxa"/>
        <w:tblInd w:w="-7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2218"/>
        <w:gridCol w:w="2268"/>
        <w:gridCol w:w="2127"/>
        <w:gridCol w:w="1417"/>
      </w:tblGrid>
      <w:tr w:rsidR="00540E79" w:rsidRPr="000300C6" w14:paraId="7B63D881" w14:textId="77777777" w:rsidTr="00286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5"/>
            <w:tcBorders>
              <w:top w:val="single" w:sz="4" w:space="0" w:color="auto"/>
              <w:bottom w:val="single" w:sz="4" w:space="0" w:color="auto"/>
            </w:tcBorders>
            <w:vAlign w:val="center"/>
          </w:tcPr>
          <w:p w14:paraId="1392A22A" w14:textId="77777777" w:rsidR="00540E79" w:rsidRPr="000300C6" w:rsidRDefault="00540E79" w:rsidP="00540E79">
            <w:pPr>
              <w:spacing w:after="0"/>
              <w:jc w:val="center"/>
              <w:rPr>
                <w:rFonts w:cstheme="minorHAnsi"/>
              </w:rPr>
            </w:pPr>
            <w:r w:rsidRPr="000300C6">
              <w:rPr>
                <w:rFonts w:cstheme="minorHAnsi"/>
              </w:rPr>
              <w:t>PRO</w:t>
            </w:r>
          </w:p>
        </w:tc>
      </w:tr>
      <w:tr w:rsidR="00540E79" w:rsidRPr="000300C6" w14:paraId="286E730C"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double" w:sz="4" w:space="0" w:color="auto"/>
            </w:tcBorders>
            <w:vAlign w:val="center"/>
          </w:tcPr>
          <w:p w14:paraId="4075D65B" w14:textId="77777777" w:rsidR="00540E79" w:rsidRPr="000300C6" w:rsidRDefault="00540E79" w:rsidP="00540E79">
            <w:pPr>
              <w:spacing w:after="0"/>
              <w:rPr>
                <w:rFonts w:eastAsia="Times New Roman" w:cstheme="minorHAnsi"/>
                <w: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symptom group</w:t>
            </w:r>
          </w:p>
        </w:tc>
        <w:tc>
          <w:tcPr>
            <w:tcW w:w="2218" w:type="dxa"/>
            <w:tcBorders>
              <w:top w:val="single" w:sz="4" w:space="0" w:color="auto"/>
              <w:bottom w:val="double" w:sz="4" w:space="0" w:color="auto"/>
            </w:tcBorders>
            <w:vAlign w:val="center"/>
          </w:tcPr>
          <w:p w14:paraId="03AD46E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 xml:space="preserve">No symptoms </w:t>
            </w:r>
          </w:p>
          <w:p w14:paraId="2985468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n=4</w:t>
            </w:r>
          </w:p>
          <w:p w14:paraId="78EFC7F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2268" w:type="dxa"/>
            <w:tcBorders>
              <w:top w:val="single" w:sz="4" w:space="0" w:color="auto"/>
              <w:bottom w:val="double" w:sz="4" w:space="0" w:color="auto"/>
            </w:tcBorders>
            <w:vAlign w:val="center"/>
          </w:tcPr>
          <w:p w14:paraId="21D7328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Non-persistent symptoms n=20</w:t>
            </w:r>
          </w:p>
          <w:p w14:paraId="57BA898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2127" w:type="dxa"/>
            <w:tcBorders>
              <w:top w:val="single" w:sz="4" w:space="0" w:color="auto"/>
              <w:bottom w:val="double" w:sz="4" w:space="0" w:color="auto"/>
            </w:tcBorders>
            <w:vAlign w:val="center"/>
          </w:tcPr>
          <w:p w14:paraId="2A3A34F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 xml:space="preserve">Persistent symptoms </w:t>
            </w:r>
          </w:p>
          <w:p w14:paraId="160EC16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n=8</w:t>
            </w:r>
          </w:p>
          <w:p w14:paraId="4F1F0FF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75B47EB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p-value</w:t>
            </w:r>
          </w:p>
        </w:tc>
      </w:tr>
      <w:tr w:rsidR="00540E79" w:rsidRPr="000300C6" w14:paraId="001C75D5"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top w:val="double" w:sz="4" w:space="0" w:color="auto"/>
            </w:tcBorders>
            <w:vAlign w:val="center"/>
          </w:tcPr>
          <w:p w14:paraId="3040664E"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Age</w:t>
            </w:r>
          </w:p>
        </w:tc>
        <w:tc>
          <w:tcPr>
            <w:tcW w:w="2218" w:type="dxa"/>
            <w:tcBorders>
              <w:top w:val="double" w:sz="4" w:space="0" w:color="auto"/>
            </w:tcBorders>
            <w:vAlign w:val="center"/>
          </w:tcPr>
          <w:p w14:paraId="31A19B1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64(12.8)</w:t>
            </w:r>
          </w:p>
        </w:tc>
        <w:tc>
          <w:tcPr>
            <w:tcW w:w="2268" w:type="dxa"/>
            <w:tcBorders>
              <w:top w:val="double" w:sz="4" w:space="0" w:color="auto"/>
            </w:tcBorders>
            <w:vAlign w:val="center"/>
          </w:tcPr>
          <w:p w14:paraId="1FC7E2F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67.5(6.7)</w:t>
            </w:r>
          </w:p>
        </w:tc>
        <w:tc>
          <w:tcPr>
            <w:tcW w:w="2127" w:type="dxa"/>
            <w:tcBorders>
              <w:top w:val="double" w:sz="4" w:space="0" w:color="auto"/>
            </w:tcBorders>
            <w:vAlign w:val="center"/>
          </w:tcPr>
          <w:p w14:paraId="525B62F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65.125(3.8)</w:t>
            </w:r>
          </w:p>
        </w:tc>
        <w:tc>
          <w:tcPr>
            <w:tcW w:w="1417" w:type="dxa"/>
            <w:tcBorders>
              <w:top w:val="double" w:sz="4" w:space="0" w:color="auto"/>
            </w:tcBorders>
            <w:vAlign w:val="center"/>
          </w:tcPr>
          <w:p w14:paraId="16EF946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0.59</w:t>
            </w:r>
          </w:p>
        </w:tc>
      </w:tr>
      <w:tr w:rsidR="00540E79" w:rsidRPr="000300C6" w14:paraId="016A8C5C"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EE11404"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Presenting PSA</w:t>
            </w:r>
          </w:p>
        </w:tc>
        <w:tc>
          <w:tcPr>
            <w:tcW w:w="2218" w:type="dxa"/>
            <w:vAlign w:val="center"/>
          </w:tcPr>
          <w:p w14:paraId="7BC9BAA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30.5(15.9)</w:t>
            </w:r>
          </w:p>
        </w:tc>
        <w:tc>
          <w:tcPr>
            <w:tcW w:w="2268" w:type="dxa"/>
            <w:vAlign w:val="center"/>
          </w:tcPr>
          <w:p w14:paraId="050AF27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43.82(45.5)</w:t>
            </w:r>
          </w:p>
        </w:tc>
        <w:tc>
          <w:tcPr>
            <w:tcW w:w="2127" w:type="dxa"/>
            <w:vAlign w:val="center"/>
          </w:tcPr>
          <w:p w14:paraId="10055A1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31.3(22.9)</w:t>
            </w:r>
          </w:p>
        </w:tc>
        <w:tc>
          <w:tcPr>
            <w:tcW w:w="1417" w:type="dxa"/>
            <w:vAlign w:val="center"/>
          </w:tcPr>
          <w:p w14:paraId="385DCC1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0.97</w:t>
            </w:r>
          </w:p>
        </w:tc>
      </w:tr>
      <w:tr w:rsidR="00540E79" w:rsidRPr="000300C6" w14:paraId="6D551F61"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F975347"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BMI</w:t>
            </w:r>
          </w:p>
        </w:tc>
        <w:tc>
          <w:tcPr>
            <w:tcW w:w="2218" w:type="dxa"/>
            <w:vAlign w:val="center"/>
          </w:tcPr>
          <w:p w14:paraId="1B62AAE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34.1 (7.2)</w:t>
            </w:r>
          </w:p>
        </w:tc>
        <w:tc>
          <w:tcPr>
            <w:tcW w:w="2268" w:type="dxa"/>
            <w:vAlign w:val="center"/>
          </w:tcPr>
          <w:p w14:paraId="33442D4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27.2 (3.9)</w:t>
            </w:r>
          </w:p>
        </w:tc>
        <w:tc>
          <w:tcPr>
            <w:tcW w:w="2127" w:type="dxa"/>
            <w:vAlign w:val="center"/>
          </w:tcPr>
          <w:p w14:paraId="5989B4D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28.2 (3.4)</w:t>
            </w:r>
          </w:p>
        </w:tc>
        <w:tc>
          <w:tcPr>
            <w:tcW w:w="1417" w:type="dxa"/>
            <w:vAlign w:val="center"/>
          </w:tcPr>
          <w:p w14:paraId="12EB70D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0.14</w:t>
            </w:r>
          </w:p>
        </w:tc>
      </w:tr>
      <w:tr w:rsidR="00540E79" w:rsidRPr="000300C6" w14:paraId="6569C10E"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75A1B150"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Smoking status (NS/ES/S)</w:t>
            </w:r>
          </w:p>
        </w:tc>
        <w:tc>
          <w:tcPr>
            <w:tcW w:w="2218" w:type="dxa"/>
            <w:vAlign w:val="center"/>
          </w:tcPr>
          <w:p w14:paraId="571C4B9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50%/50%/0%</w:t>
            </w:r>
          </w:p>
        </w:tc>
        <w:tc>
          <w:tcPr>
            <w:tcW w:w="2268" w:type="dxa"/>
            <w:vAlign w:val="center"/>
          </w:tcPr>
          <w:p w14:paraId="738DA21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60%/30%/10%</w:t>
            </w:r>
          </w:p>
        </w:tc>
        <w:tc>
          <w:tcPr>
            <w:tcW w:w="2127" w:type="dxa"/>
            <w:vAlign w:val="center"/>
          </w:tcPr>
          <w:p w14:paraId="1B91622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63%/37%/0%</w:t>
            </w:r>
          </w:p>
        </w:tc>
        <w:tc>
          <w:tcPr>
            <w:tcW w:w="1417" w:type="dxa"/>
            <w:vAlign w:val="center"/>
          </w:tcPr>
          <w:p w14:paraId="336FDC7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0.92</w:t>
            </w:r>
          </w:p>
        </w:tc>
      </w:tr>
      <w:tr w:rsidR="00540E79" w:rsidRPr="000300C6" w14:paraId="0B947252"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252031A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Pack/year</w:t>
            </w:r>
          </w:p>
        </w:tc>
        <w:tc>
          <w:tcPr>
            <w:tcW w:w="2218" w:type="dxa"/>
            <w:vAlign w:val="center"/>
          </w:tcPr>
          <w:p w14:paraId="5F1D4E9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14.5(17.5)</w:t>
            </w:r>
          </w:p>
        </w:tc>
        <w:tc>
          <w:tcPr>
            <w:tcW w:w="2268" w:type="dxa"/>
            <w:vAlign w:val="center"/>
          </w:tcPr>
          <w:p w14:paraId="025C29C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12.1(22.8)</w:t>
            </w:r>
          </w:p>
        </w:tc>
        <w:tc>
          <w:tcPr>
            <w:tcW w:w="2127" w:type="dxa"/>
            <w:vAlign w:val="center"/>
          </w:tcPr>
          <w:p w14:paraId="24BAAE7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15.25(22.9)</w:t>
            </w:r>
          </w:p>
        </w:tc>
        <w:tc>
          <w:tcPr>
            <w:tcW w:w="1417" w:type="dxa"/>
            <w:vAlign w:val="center"/>
          </w:tcPr>
          <w:p w14:paraId="28C43E3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0.93</w:t>
            </w:r>
          </w:p>
        </w:tc>
      </w:tr>
      <w:tr w:rsidR="00540E79" w:rsidRPr="000300C6" w14:paraId="1572C7CC"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8F26431"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Previous abdominal surgery</w:t>
            </w:r>
          </w:p>
        </w:tc>
        <w:tc>
          <w:tcPr>
            <w:tcW w:w="2218" w:type="dxa"/>
            <w:vAlign w:val="center"/>
          </w:tcPr>
          <w:p w14:paraId="65FA92A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75%</w:t>
            </w:r>
          </w:p>
        </w:tc>
        <w:tc>
          <w:tcPr>
            <w:tcW w:w="2268" w:type="dxa"/>
            <w:vAlign w:val="center"/>
          </w:tcPr>
          <w:p w14:paraId="58D9DFB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55%</w:t>
            </w:r>
          </w:p>
        </w:tc>
        <w:tc>
          <w:tcPr>
            <w:tcW w:w="2127" w:type="dxa"/>
            <w:vAlign w:val="center"/>
          </w:tcPr>
          <w:p w14:paraId="3969879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63%</w:t>
            </w:r>
          </w:p>
        </w:tc>
        <w:tc>
          <w:tcPr>
            <w:tcW w:w="1417" w:type="dxa"/>
            <w:vAlign w:val="center"/>
          </w:tcPr>
          <w:p w14:paraId="20847B1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0.75</w:t>
            </w:r>
          </w:p>
        </w:tc>
      </w:tr>
      <w:tr w:rsidR="00540E79" w:rsidRPr="000300C6" w14:paraId="29180044"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F67978D"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Diabetes</w:t>
            </w:r>
          </w:p>
        </w:tc>
        <w:tc>
          <w:tcPr>
            <w:tcW w:w="2218" w:type="dxa"/>
            <w:vAlign w:val="center"/>
          </w:tcPr>
          <w:p w14:paraId="742DF02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268" w:type="dxa"/>
            <w:vAlign w:val="center"/>
          </w:tcPr>
          <w:p w14:paraId="2162488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10%</w:t>
            </w:r>
          </w:p>
        </w:tc>
        <w:tc>
          <w:tcPr>
            <w:tcW w:w="2127" w:type="dxa"/>
            <w:vAlign w:val="center"/>
          </w:tcPr>
          <w:p w14:paraId="5286415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38%</w:t>
            </w:r>
          </w:p>
        </w:tc>
        <w:tc>
          <w:tcPr>
            <w:tcW w:w="1417" w:type="dxa"/>
            <w:vAlign w:val="center"/>
          </w:tcPr>
          <w:p w14:paraId="03853A3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0.11</w:t>
            </w:r>
          </w:p>
        </w:tc>
      </w:tr>
      <w:tr w:rsidR="00540E79" w:rsidRPr="000300C6" w14:paraId="1529D7C2"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18CEFCD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Statins</w:t>
            </w:r>
          </w:p>
        </w:tc>
        <w:tc>
          <w:tcPr>
            <w:tcW w:w="2218" w:type="dxa"/>
            <w:vAlign w:val="center"/>
          </w:tcPr>
          <w:p w14:paraId="57C63FD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268" w:type="dxa"/>
            <w:vAlign w:val="center"/>
          </w:tcPr>
          <w:p w14:paraId="6B8BC10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35%</w:t>
            </w:r>
          </w:p>
        </w:tc>
        <w:tc>
          <w:tcPr>
            <w:tcW w:w="2127" w:type="dxa"/>
            <w:vAlign w:val="center"/>
          </w:tcPr>
          <w:p w14:paraId="6B78B33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13%</w:t>
            </w:r>
          </w:p>
        </w:tc>
        <w:tc>
          <w:tcPr>
            <w:tcW w:w="1417" w:type="dxa"/>
            <w:vAlign w:val="center"/>
          </w:tcPr>
          <w:p w14:paraId="107FE2B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0.36</w:t>
            </w:r>
          </w:p>
        </w:tc>
      </w:tr>
      <w:tr w:rsidR="00540E79" w:rsidRPr="000300C6" w14:paraId="3C28749C"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146ED52"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Other metabolic disease</w:t>
            </w:r>
          </w:p>
        </w:tc>
        <w:tc>
          <w:tcPr>
            <w:tcW w:w="2218" w:type="dxa"/>
            <w:vAlign w:val="center"/>
          </w:tcPr>
          <w:p w14:paraId="190B0CF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57FD906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vAlign w:val="center"/>
          </w:tcPr>
          <w:p w14:paraId="3599FD5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vAlign w:val="center"/>
          </w:tcPr>
          <w:p w14:paraId="6F982DF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3E53C999"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770E65B3"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IBS</w:t>
            </w:r>
          </w:p>
        </w:tc>
        <w:tc>
          <w:tcPr>
            <w:tcW w:w="2218" w:type="dxa"/>
            <w:vAlign w:val="center"/>
          </w:tcPr>
          <w:p w14:paraId="7E608CD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59082E6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vAlign w:val="center"/>
          </w:tcPr>
          <w:p w14:paraId="29E83F7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vAlign w:val="center"/>
          </w:tcPr>
          <w:p w14:paraId="4DD6A3B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4214BBD9"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1CB66DB"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Antihypertensives</w:t>
            </w:r>
          </w:p>
        </w:tc>
        <w:tc>
          <w:tcPr>
            <w:tcW w:w="2218" w:type="dxa"/>
            <w:vAlign w:val="center"/>
          </w:tcPr>
          <w:p w14:paraId="7335935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268" w:type="dxa"/>
            <w:vAlign w:val="center"/>
          </w:tcPr>
          <w:p w14:paraId="6962116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45%</w:t>
            </w:r>
          </w:p>
        </w:tc>
        <w:tc>
          <w:tcPr>
            <w:tcW w:w="2127" w:type="dxa"/>
            <w:vAlign w:val="center"/>
          </w:tcPr>
          <w:p w14:paraId="7243629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1417" w:type="dxa"/>
            <w:vAlign w:val="center"/>
          </w:tcPr>
          <w:p w14:paraId="1E29BBC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0.58</w:t>
            </w:r>
          </w:p>
        </w:tc>
      </w:tr>
      <w:tr w:rsidR="00540E79" w:rsidRPr="000300C6" w14:paraId="21180249"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0773A6A"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Metformin</w:t>
            </w:r>
          </w:p>
        </w:tc>
        <w:tc>
          <w:tcPr>
            <w:tcW w:w="2218" w:type="dxa"/>
            <w:vAlign w:val="center"/>
          </w:tcPr>
          <w:p w14:paraId="6908D26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2268" w:type="dxa"/>
            <w:vAlign w:val="center"/>
          </w:tcPr>
          <w:p w14:paraId="127C370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10%</w:t>
            </w:r>
          </w:p>
        </w:tc>
        <w:tc>
          <w:tcPr>
            <w:tcW w:w="2127" w:type="dxa"/>
            <w:vAlign w:val="center"/>
          </w:tcPr>
          <w:p w14:paraId="42579BD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13%</w:t>
            </w:r>
          </w:p>
        </w:tc>
        <w:tc>
          <w:tcPr>
            <w:tcW w:w="1417" w:type="dxa"/>
            <w:vAlign w:val="center"/>
          </w:tcPr>
          <w:p w14:paraId="3602B64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0.72</w:t>
            </w:r>
          </w:p>
        </w:tc>
      </w:tr>
      <w:tr w:rsidR="00540E79" w:rsidRPr="000300C6" w14:paraId="35CE0E8B"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311C7659"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Aspirin</w:t>
            </w:r>
          </w:p>
        </w:tc>
        <w:tc>
          <w:tcPr>
            <w:tcW w:w="2218" w:type="dxa"/>
            <w:vAlign w:val="center"/>
          </w:tcPr>
          <w:p w14:paraId="2BF5074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72250B8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30%</w:t>
            </w:r>
          </w:p>
        </w:tc>
        <w:tc>
          <w:tcPr>
            <w:tcW w:w="2127" w:type="dxa"/>
            <w:vAlign w:val="center"/>
          </w:tcPr>
          <w:p w14:paraId="12391B7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13%</w:t>
            </w:r>
          </w:p>
        </w:tc>
        <w:tc>
          <w:tcPr>
            <w:tcW w:w="1417" w:type="dxa"/>
            <w:vAlign w:val="center"/>
          </w:tcPr>
          <w:p w14:paraId="33E00FE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0.33</w:t>
            </w:r>
          </w:p>
        </w:tc>
      </w:tr>
      <w:tr w:rsidR="00540E79" w:rsidRPr="000300C6" w14:paraId="13558F3F"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bottom w:val="double" w:sz="4" w:space="0" w:color="auto"/>
            </w:tcBorders>
            <w:vAlign w:val="center"/>
          </w:tcPr>
          <w:p w14:paraId="3D10C23D"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Warfarin</w:t>
            </w:r>
          </w:p>
        </w:tc>
        <w:tc>
          <w:tcPr>
            <w:tcW w:w="2218" w:type="dxa"/>
            <w:tcBorders>
              <w:bottom w:val="double" w:sz="4" w:space="0" w:color="auto"/>
            </w:tcBorders>
            <w:vAlign w:val="center"/>
          </w:tcPr>
          <w:p w14:paraId="46F86C8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tcBorders>
              <w:bottom w:val="double" w:sz="4" w:space="0" w:color="auto"/>
            </w:tcBorders>
            <w:vAlign w:val="center"/>
          </w:tcPr>
          <w:p w14:paraId="43689D7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tcBorders>
              <w:bottom w:val="double" w:sz="4" w:space="0" w:color="auto"/>
            </w:tcBorders>
            <w:vAlign w:val="center"/>
          </w:tcPr>
          <w:p w14:paraId="1F6D7B9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tcBorders>
              <w:bottom w:val="double" w:sz="4" w:space="0" w:color="auto"/>
            </w:tcBorders>
            <w:vAlign w:val="center"/>
          </w:tcPr>
          <w:p w14:paraId="462BA49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442FE89D" w14:textId="77777777" w:rsidTr="00286371">
        <w:tc>
          <w:tcPr>
            <w:cnfStyle w:val="001000000000" w:firstRow="0" w:lastRow="0" w:firstColumn="1" w:lastColumn="0" w:oddVBand="0" w:evenVBand="0" w:oddHBand="0" w:evenHBand="0" w:firstRowFirstColumn="0" w:firstRowLastColumn="0" w:lastRowFirstColumn="0" w:lastRowLastColumn="0"/>
            <w:tcW w:w="10490" w:type="dxa"/>
            <w:gridSpan w:val="5"/>
            <w:tcBorders>
              <w:top w:val="double" w:sz="4" w:space="0" w:color="auto"/>
              <w:bottom w:val="single" w:sz="4" w:space="0" w:color="auto"/>
            </w:tcBorders>
            <w:vAlign w:val="center"/>
          </w:tcPr>
          <w:p w14:paraId="54651051" w14:textId="77777777" w:rsidR="00540E79" w:rsidRPr="000300C6" w:rsidRDefault="00540E79" w:rsidP="00540E79">
            <w:pPr>
              <w:spacing w:after="0"/>
              <w:jc w:val="center"/>
              <w:rPr>
                <w:rFonts w:cstheme="minorHAnsi"/>
              </w:rPr>
            </w:pPr>
            <w:r w:rsidRPr="000300C6">
              <w:rPr>
                <w:rFonts w:cstheme="minorHAnsi"/>
              </w:rPr>
              <w:t>CRO</w:t>
            </w:r>
          </w:p>
        </w:tc>
      </w:tr>
      <w:tr w:rsidR="00540E79" w:rsidRPr="000300C6" w14:paraId="60E59CE2"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double" w:sz="4" w:space="0" w:color="auto"/>
            </w:tcBorders>
            <w:vAlign w:val="center"/>
          </w:tcPr>
          <w:p w14:paraId="7CFBAC2B"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symptom group</w:t>
            </w:r>
          </w:p>
        </w:tc>
        <w:tc>
          <w:tcPr>
            <w:tcW w:w="2218" w:type="dxa"/>
            <w:tcBorders>
              <w:top w:val="single" w:sz="4" w:space="0" w:color="auto"/>
              <w:bottom w:val="double" w:sz="4" w:space="0" w:color="auto"/>
            </w:tcBorders>
            <w:vAlign w:val="center"/>
          </w:tcPr>
          <w:p w14:paraId="5E08E55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 xml:space="preserve">No symptoms </w:t>
            </w:r>
          </w:p>
          <w:p w14:paraId="1653B81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n=4</w:t>
            </w:r>
          </w:p>
          <w:p w14:paraId="24CA10A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2268" w:type="dxa"/>
            <w:tcBorders>
              <w:top w:val="single" w:sz="4" w:space="0" w:color="auto"/>
              <w:bottom w:val="double" w:sz="4" w:space="0" w:color="auto"/>
            </w:tcBorders>
            <w:vAlign w:val="center"/>
          </w:tcPr>
          <w:p w14:paraId="76ED259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Non-persistent symptoms</w:t>
            </w:r>
          </w:p>
          <w:p w14:paraId="02C7ECA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n=12</w:t>
            </w:r>
          </w:p>
          <w:p w14:paraId="4ACF3BA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2127" w:type="dxa"/>
            <w:tcBorders>
              <w:top w:val="single" w:sz="4" w:space="0" w:color="auto"/>
              <w:bottom w:val="double" w:sz="4" w:space="0" w:color="auto"/>
            </w:tcBorders>
            <w:vAlign w:val="center"/>
          </w:tcPr>
          <w:p w14:paraId="0B30663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Persistent symptoms</w:t>
            </w:r>
          </w:p>
          <w:p w14:paraId="5ACE0FB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n=16</w:t>
            </w:r>
          </w:p>
          <w:p w14:paraId="2E3DC11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1226430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b/>
                <w:i/>
                <w:sz w:val="16"/>
                <w:szCs w:val="16"/>
              </w:rPr>
              <w:t>p-value</w:t>
            </w:r>
          </w:p>
        </w:tc>
      </w:tr>
      <w:tr w:rsidR="00540E79" w:rsidRPr="000300C6" w14:paraId="3505AFE7"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top w:val="double" w:sz="4" w:space="0" w:color="auto"/>
            </w:tcBorders>
            <w:vAlign w:val="center"/>
          </w:tcPr>
          <w:p w14:paraId="63C07F4A"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Age</w:t>
            </w:r>
          </w:p>
        </w:tc>
        <w:tc>
          <w:tcPr>
            <w:tcW w:w="2218" w:type="dxa"/>
            <w:tcBorders>
              <w:top w:val="double" w:sz="4" w:space="0" w:color="auto"/>
            </w:tcBorders>
            <w:vAlign w:val="center"/>
          </w:tcPr>
          <w:p w14:paraId="6AE0170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72.5(3.7)</w:t>
            </w:r>
          </w:p>
        </w:tc>
        <w:tc>
          <w:tcPr>
            <w:tcW w:w="2268" w:type="dxa"/>
            <w:tcBorders>
              <w:top w:val="double" w:sz="4" w:space="0" w:color="auto"/>
            </w:tcBorders>
            <w:vAlign w:val="center"/>
          </w:tcPr>
          <w:p w14:paraId="31DFEC3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66.7(7.9)</w:t>
            </w:r>
          </w:p>
        </w:tc>
        <w:tc>
          <w:tcPr>
            <w:tcW w:w="2127" w:type="dxa"/>
            <w:tcBorders>
              <w:top w:val="double" w:sz="4" w:space="0" w:color="auto"/>
            </w:tcBorders>
            <w:vAlign w:val="center"/>
          </w:tcPr>
          <w:p w14:paraId="7674D17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64.8 (3.8)</w:t>
            </w:r>
          </w:p>
        </w:tc>
        <w:tc>
          <w:tcPr>
            <w:tcW w:w="1417" w:type="dxa"/>
            <w:tcBorders>
              <w:top w:val="double" w:sz="4" w:space="0" w:color="auto"/>
            </w:tcBorders>
            <w:vAlign w:val="center"/>
          </w:tcPr>
          <w:p w14:paraId="7A94AEE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0.10</w:t>
            </w:r>
          </w:p>
        </w:tc>
      </w:tr>
      <w:tr w:rsidR="00540E79" w:rsidRPr="000300C6" w14:paraId="0638D7CD"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639F361"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Presenting PSA</w:t>
            </w:r>
          </w:p>
        </w:tc>
        <w:tc>
          <w:tcPr>
            <w:tcW w:w="2218" w:type="dxa"/>
            <w:vAlign w:val="center"/>
          </w:tcPr>
          <w:p w14:paraId="683AAE7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23.1(21.1)</w:t>
            </w:r>
          </w:p>
        </w:tc>
        <w:tc>
          <w:tcPr>
            <w:tcW w:w="2268" w:type="dxa"/>
            <w:vAlign w:val="center"/>
          </w:tcPr>
          <w:p w14:paraId="2E452B4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54.9(44.6)</w:t>
            </w:r>
          </w:p>
        </w:tc>
        <w:tc>
          <w:tcPr>
            <w:tcW w:w="2127" w:type="dxa"/>
            <w:vAlign w:val="center"/>
          </w:tcPr>
          <w:p w14:paraId="2E9B422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31.1(22.9)</w:t>
            </w:r>
          </w:p>
        </w:tc>
        <w:tc>
          <w:tcPr>
            <w:tcW w:w="1417" w:type="dxa"/>
            <w:vAlign w:val="center"/>
          </w:tcPr>
          <w:p w14:paraId="1544A9F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0.41</w:t>
            </w:r>
          </w:p>
        </w:tc>
      </w:tr>
      <w:tr w:rsidR="00540E79" w:rsidRPr="000300C6" w14:paraId="1CD98C68"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DBB8500"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BMI</w:t>
            </w:r>
          </w:p>
        </w:tc>
        <w:tc>
          <w:tcPr>
            <w:tcW w:w="2218" w:type="dxa"/>
            <w:vAlign w:val="center"/>
          </w:tcPr>
          <w:p w14:paraId="2DEA2D5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30.4 (4.8)</w:t>
            </w:r>
          </w:p>
        </w:tc>
        <w:tc>
          <w:tcPr>
            <w:tcW w:w="2268" w:type="dxa"/>
            <w:vAlign w:val="center"/>
          </w:tcPr>
          <w:p w14:paraId="0BD9278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27.3 (5.2)</w:t>
            </w:r>
          </w:p>
        </w:tc>
        <w:tc>
          <w:tcPr>
            <w:tcW w:w="2127" w:type="dxa"/>
            <w:vAlign w:val="center"/>
          </w:tcPr>
          <w:p w14:paraId="24CD911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28.5 (3.4)</w:t>
            </w:r>
          </w:p>
        </w:tc>
        <w:tc>
          <w:tcPr>
            <w:tcW w:w="1417" w:type="dxa"/>
            <w:vAlign w:val="center"/>
          </w:tcPr>
          <w:p w14:paraId="7D43607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0.46</w:t>
            </w:r>
          </w:p>
        </w:tc>
      </w:tr>
      <w:tr w:rsidR="00540E79" w:rsidRPr="000300C6" w14:paraId="269F6B4D"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60EC21F5"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Smoking status (NS/ES/S)</w:t>
            </w:r>
          </w:p>
        </w:tc>
        <w:tc>
          <w:tcPr>
            <w:tcW w:w="2218" w:type="dxa"/>
            <w:vAlign w:val="center"/>
          </w:tcPr>
          <w:p w14:paraId="5DDFAC5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50%/50%/0%</w:t>
            </w:r>
          </w:p>
        </w:tc>
        <w:tc>
          <w:tcPr>
            <w:tcW w:w="2268" w:type="dxa"/>
            <w:vAlign w:val="center"/>
          </w:tcPr>
          <w:p w14:paraId="68E3548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58%/32%/8%</w:t>
            </w:r>
          </w:p>
        </w:tc>
        <w:tc>
          <w:tcPr>
            <w:tcW w:w="2127" w:type="dxa"/>
            <w:vAlign w:val="center"/>
          </w:tcPr>
          <w:p w14:paraId="742DBCF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63%/31%/6%</w:t>
            </w:r>
          </w:p>
        </w:tc>
        <w:tc>
          <w:tcPr>
            <w:tcW w:w="1417" w:type="dxa"/>
            <w:vAlign w:val="center"/>
          </w:tcPr>
          <w:p w14:paraId="19B7435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0.94</w:t>
            </w:r>
          </w:p>
        </w:tc>
      </w:tr>
      <w:tr w:rsidR="00540E79" w:rsidRPr="000300C6" w14:paraId="7EEFC215"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CE424C4"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Pack/year</w:t>
            </w:r>
          </w:p>
        </w:tc>
        <w:tc>
          <w:tcPr>
            <w:tcW w:w="2218" w:type="dxa"/>
            <w:vAlign w:val="center"/>
          </w:tcPr>
          <w:p w14:paraId="67634B1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21.5(25.7)</w:t>
            </w:r>
          </w:p>
        </w:tc>
        <w:tc>
          <w:tcPr>
            <w:tcW w:w="2268" w:type="dxa"/>
            <w:vAlign w:val="center"/>
          </w:tcPr>
          <w:p w14:paraId="6744B40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9.7 (21.1)</w:t>
            </w:r>
          </w:p>
        </w:tc>
        <w:tc>
          <w:tcPr>
            <w:tcW w:w="2127" w:type="dxa"/>
            <w:vAlign w:val="center"/>
          </w:tcPr>
          <w:p w14:paraId="51BB685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13.8(22.9)</w:t>
            </w:r>
          </w:p>
        </w:tc>
        <w:tc>
          <w:tcPr>
            <w:tcW w:w="1417" w:type="dxa"/>
            <w:vAlign w:val="center"/>
          </w:tcPr>
          <w:p w14:paraId="1D9F2F8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0.74</w:t>
            </w:r>
          </w:p>
        </w:tc>
      </w:tr>
      <w:tr w:rsidR="00540E79" w:rsidRPr="000300C6" w14:paraId="26D04B31"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4EF5909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Previous abdominal surgery</w:t>
            </w:r>
          </w:p>
        </w:tc>
        <w:tc>
          <w:tcPr>
            <w:tcW w:w="2218" w:type="dxa"/>
            <w:vAlign w:val="center"/>
          </w:tcPr>
          <w:p w14:paraId="3DB9FA4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100%</w:t>
            </w:r>
          </w:p>
        </w:tc>
        <w:tc>
          <w:tcPr>
            <w:tcW w:w="2268" w:type="dxa"/>
            <w:vAlign w:val="center"/>
          </w:tcPr>
          <w:p w14:paraId="22C4544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58%</w:t>
            </w:r>
          </w:p>
        </w:tc>
        <w:tc>
          <w:tcPr>
            <w:tcW w:w="2127" w:type="dxa"/>
            <w:vAlign w:val="center"/>
          </w:tcPr>
          <w:p w14:paraId="60E3299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1417" w:type="dxa"/>
            <w:vAlign w:val="center"/>
          </w:tcPr>
          <w:p w14:paraId="05BFB6B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0.20</w:t>
            </w:r>
          </w:p>
        </w:tc>
      </w:tr>
      <w:tr w:rsidR="00540E79" w:rsidRPr="000300C6" w14:paraId="264230BB"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1FE154B2"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Diabetes</w:t>
            </w:r>
          </w:p>
        </w:tc>
        <w:tc>
          <w:tcPr>
            <w:tcW w:w="2218" w:type="dxa"/>
            <w:vAlign w:val="center"/>
          </w:tcPr>
          <w:p w14:paraId="227AE57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2268" w:type="dxa"/>
            <w:vAlign w:val="center"/>
          </w:tcPr>
          <w:p w14:paraId="5FC2C86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17%</w:t>
            </w:r>
          </w:p>
        </w:tc>
        <w:tc>
          <w:tcPr>
            <w:tcW w:w="2127" w:type="dxa"/>
            <w:vAlign w:val="center"/>
          </w:tcPr>
          <w:p w14:paraId="4E8FB32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1417" w:type="dxa"/>
            <w:vAlign w:val="center"/>
          </w:tcPr>
          <w:p w14:paraId="79D973F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0.86</w:t>
            </w:r>
          </w:p>
        </w:tc>
      </w:tr>
      <w:tr w:rsidR="00540E79" w:rsidRPr="000300C6" w14:paraId="62FB8E9E"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4544EB9"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Statins</w:t>
            </w:r>
          </w:p>
        </w:tc>
        <w:tc>
          <w:tcPr>
            <w:tcW w:w="2218" w:type="dxa"/>
            <w:vAlign w:val="center"/>
          </w:tcPr>
          <w:p w14:paraId="415CF26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268" w:type="dxa"/>
            <w:vAlign w:val="center"/>
          </w:tcPr>
          <w:p w14:paraId="25CC92D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33%</w:t>
            </w:r>
          </w:p>
        </w:tc>
        <w:tc>
          <w:tcPr>
            <w:tcW w:w="2127" w:type="dxa"/>
            <w:vAlign w:val="center"/>
          </w:tcPr>
          <w:p w14:paraId="342B17A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1417" w:type="dxa"/>
            <w:vAlign w:val="center"/>
          </w:tcPr>
          <w:p w14:paraId="7436522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0.63</w:t>
            </w:r>
          </w:p>
        </w:tc>
      </w:tr>
      <w:tr w:rsidR="00540E79" w:rsidRPr="000300C6" w14:paraId="7427BA86"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79B306B"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Other metabolic disease</w:t>
            </w:r>
          </w:p>
        </w:tc>
        <w:tc>
          <w:tcPr>
            <w:tcW w:w="2218" w:type="dxa"/>
            <w:vAlign w:val="center"/>
          </w:tcPr>
          <w:p w14:paraId="479D5DB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7B216EC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vAlign w:val="center"/>
          </w:tcPr>
          <w:p w14:paraId="4CA3A9B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vAlign w:val="center"/>
          </w:tcPr>
          <w:p w14:paraId="3DB216F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50D9ECE8"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32B9AB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IBS</w:t>
            </w:r>
          </w:p>
        </w:tc>
        <w:tc>
          <w:tcPr>
            <w:tcW w:w="2218" w:type="dxa"/>
            <w:vAlign w:val="center"/>
          </w:tcPr>
          <w:p w14:paraId="2ADC52C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61614BE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vAlign w:val="center"/>
          </w:tcPr>
          <w:p w14:paraId="6CA9B70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vAlign w:val="center"/>
          </w:tcPr>
          <w:p w14:paraId="45E081A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37722A03"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4E44D26"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Antihypertensives</w:t>
            </w:r>
          </w:p>
        </w:tc>
        <w:tc>
          <w:tcPr>
            <w:tcW w:w="2218" w:type="dxa"/>
            <w:vAlign w:val="center"/>
          </w:tcPr>
          <w:p w14:paraId="0570960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268" w:type="dxa"/>
            <w:vAlign w:val="center"/>
          </w:tcPr>
          <w:p w14:paraId="4B38619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50%</w:t>
            </w:r>
          </w:p>
        </w:tc>
        <w:tc>
          <w:tcPr>
            <w:tcW w:w="2127" w:type="dxa"/>
            <w:vAlign w:val="center"/>
          </w:tcPr>
          <w:p w14:paraId="4D057A0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31%</w:t>
            </w:r>
          </w:p>
        </w:tc>
        <w:tc>
          <w:tcPr>
            <w:tcW w:w="1417" w:type="dxa"/>
            <w:vAlign w:val="center"/>
          </w:tcPr>
          <w:p w14:paraId="662869D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0.57</w:t>
            </w:r>
          </w:p>
        </w:tc>
      </w:tr>
      <w:tr w:rsidR="00540E79" w:rsidRPr="000300C6" w14:paraId="2132FB17"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1C2900E"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Metformin</w:t>
            </w:r>
          </w:p>
        </w:tc>
        <w:tc>
          <w:tcPr>
            <w:tcW w:w="2218" w:type="dxa"/>
            <w:vAlign w:val="center"/>
          </w:tcPr>
          <w:p w14:paraId="101D303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4ACEB01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17%</w:t>
            </w:r>
          </w:p>
        </w:tc>
        <w:tc>
          <w:tcPr>
            <w:tcW w:w="2127" w:type="dxa"/>
            <w:vAlign w:val="center"/>
          </w:tcPr>
          <w:p w14:paraId="7646A94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13%</w:t>
            </w:r>
          </w:p>
        </w:tc>
        <w:tc>
          <w:tcPr>
            <w:tcW w:w="1417" w:type="dxa"/>
            <w:vAlign w:val="center"/>
          </w:tcPr>
          <w:p w14:paraId="0FD95F8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0.69</w:t>
            </w:r>
          </w:p>
        </w:tc>
      </w:tr>
      <w:tr w:rsidR="00540E79" w:rsidRPr="000300C6" w14:paraId="14E749F8"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3BD75F8C"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Aspirin</w:t>
            </w:r>
          </w:p>
        </w:tc>
        <w:tc>
          <w:tcPr>
            <w:tcW w:w="2218" w:type="dxa"/>
            <w:vAlign w:val="center"/>
          </w:tcPr>
          <w:p w14:paraId="50794E8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2268" w:type="dxa"/>
            <w:vAlign w:val="center"/>
          </w:tcPr>
          <w:p w14:paraId="58C78F7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25%</w:t>
            </w:r>
          </w:p>
        </w:tc>
        <w:tc>
          <w:tcPr>
            <w:tcW w:w="2127" w:type="dxa"/>
            <w:vAlign w:val="center"/>
          </w:tcPr>
          <w:p w14:paraId="7AD818C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19%</w:t>
            </w:r>
          </w:p>
        </w:tc>
        <w:tc>
          <w:tcPr>
            <w:tcW w:w="1417" w:type="dxa"/>
            <w:vAlign w:val="center"/>
          </w:tcPr>
          <w:p w14:paraId="4F3A915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0.92</w:t>
            </w:r>
          </w:p>
        </w:tc>
      </w:tr>
      <w:tr w:rsidR="00540E79" w:rsidRPr="000300C6" w14:paraId="5BA041D0"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080D76E1"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Warfarin</w:t>
            </w:r>
          </w:p>
        </w:tc>
        <w:tc>
          <w:tcPr>
            <w:tcW w:w="2218" w:type="dxa"/>
            <w:vAlign w:val="center"/>
          </w:tcPr>
          <w:p w14:paraId="079649A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268" w:type="dxa"/>
            <w:vAlign w:val="center"/>
          </w:tcPr>
          <w:p w14:paraId="2B94D3E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2127" w:type="dxa"/>
            <w:vAlign w:val="center"/>
          </w:tcPr>
          <w:p w14:paraId="07911F6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Arial"/>
                <w:sz w:val="16"/>
                <w:szCs w:val="16"/>
                <w:lang w:eastAsia="en-GB"/>
              </w:rPr>
              <w:t>0%</w:t>
            </w:r>
          </w:p>
        </w:tc>
        <w:tc>
          <w:tcPr>
            <w:tcW w:w="1417" w:type="dxa"/>
            <w:vAlign w:val="center"/>
          </w:tcPr>
          <w:p w14:paraId="656E82E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NA</w:t>
            </w:r>
          </w:p>
        </w:tc>
      </w:tr>
    </w:tbl>
    <w:p w14:paraId="711B6764" w14:textId="77777777" w:rsidR="00AD1207" w:rsidRPr="000300C6" w:rsidRDefault="00AD1207" w:rsidP="00852525">
      <w:pPr>
        <w:pStyle w:val="Caption"/>
        <w:rPr>
          <w:lang w:val="pt-PT"/>
        </w:rPr>
      </w:pPr>
    </w:p>
    <w:p w14:paraId="71A0712C" w14:textId="77777777" w:rsidR="00540E79" w:rsidRPr="000300C6" w:rsidRDefault="00540E79">
      <w:pPr>
        <w:spacing w:after="160" w:line="259" w:lineRule="auto"/>
        <w:rPr>
          <w:b/>
          <w:sz w:val="18"/>
          <w:szCs w:val="18"/>
        </w:rPr>
      </w:pPr>
      <w:r w:rsidRPr="000300C6">
        <w:rPr>
          <w:b/>
          <w:sz w:val="18"/>
          <w:szCs w:val="18"/>
        </w:rPr>
        <w:br w:type="page"/>
      </w:r>
    </w:p>
    <w:p w14:paraId="1A4BCA54" w14:textId="5C603364" w:rsidR="00540E79" w:rsidRPr="000300C6" w:rsidRDefault="00540E79" w:rsidP="00540E79">
      <w:pPr>
        <w:spacing w:after="0"/>
        <w:jc w:val="center"/>
        <w:rPr>
          <w:sz w:val="18"/>
          <w:szCs w:val="18"/>
        </w:rPr>
      </w:pPr>
      <w:r w:rsidRPr="000300C6">
        <w:rPr>
          <w:b/>
          <w:sz w:val="18"/>
          <w:szCs w:val="18"/>
        </w:rPr>
        <w:lastRenderedPageBreak/>
        <w:t>Table SUPP-7A:</w:t>
      </w:r>
      <w:r w:rsidRPr="000300C6">
        <w:rPr>
          <w:sz w:val="18"/>
          <w:szCs w:val="18"/>
        </w:rPr>
        <w:t xml:space="preserve"> Comorbidity comparisons between PRO-stratified symptom groups in the late cohort.</w:t>
      </w:r>
    </w:p>
    <w:tbl>
      <w:tblPr>
        <w:tblStyle w:val="PlainTable4"/>
        <w:tblW w:w="11064" w:type="dxa"/>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7"/>
        <w:gridCol w:w="1984"/>
        <w:gridCol w:w="1418"/>
        <w:gridCol w:w="1417"/>
        <w:gridCol w:w="1418"/>
        <w:gridCol w:w="1456"/>
        <w:gridCol w:w="824"/>
      </w:tblGrid>
      <w:tr w:rsidR="00540E79" w:rsidRPr="000300C6" w14:paraId="11F73C56" w14:textId="77777777" w:rsidTr="002863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64" w:type="dxa"/>
            <w:gridSpan w:val="7"/>
            <w:tcBorders>
              <w:top w:val="single" w:sz="4" w:space="0" w:color="auto"/>
              <w:bottom w:val="single" w:sz="4" w:space="0" w:color="auto"/>
            </w:tcBorders>
            <w:vAlign w:val="center"/>
          </w:tcPr>
          <w:p w14:paraId="31B543CF" w14:textId="77777777" w:rsidR="00540E79" w:rsidRPr="000300C6" w:rsidRDefault="00540E79" w:rsidP="00540E79">
            <w:pPr>
              <w:spacing w:after="0"/>
              <w:jc w:val="center"/>
              <w:rPr>
                <w:rFonts w:cstheme="minorHAnsi"/>
              </w:rPr>
            </w:pPr>
            <w:r w:rsidRPr="000300C6">
              <w:rPr>
                <w:rFonts w:cstheme="minorHAnsi"/>
              </w:rPr>
              <w:t>PRO (actual)</w:t>
            </w:r>
          </w:p>
        </w:tc>
      </w:tr>
      <w:tr w:rsidR="00540E79" w:rsidRPr="000300C6" w14:paraId="32AC27CE"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double" w:sz="4" w:space="0" w:color="auto"/>
            </w:tcBorders>
            <w:vAlign w:val="center"/>
          </w:tcPr>
          <w:p w14:paraId="54D26471" w14:textId="77777777" w:rsidR="00540E79" w:rsidRPr="000300C6" w:rsidRDefault="00540E79" w:rsidP="00540E79">
            <w:pPr>
              <w:spacing w:after="0"/>
              <w:rPr>
                <w:rFonts w:eastAsia="Times New Roman" w:cstheme="minorHAnsi"/>
                <w: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xml:space="preserve"> : symptom group</w:t>
            </w:r>
          </w:p>
        </w:tc>
        <w:tc>
          <w:tcPr>
            <w:tcW w:w="1984" w:type="dxa"/>
            <w:tcBorders>
              <w:top w:val="single" w:sz="4" w:space="0" w:color="auto"/>
              <w:bottom w:val="double" w:sz="4" w:space="0" w:color="auto"/>
            </w:tcBorders>
            <w:vAlign w:val="center"/>
          </w:tcPr>
          <w:p w14:paraId="26641B8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No symptoms</w:t>
            </w:r>
          </w:p>
          <w:p w14:paraId="69816AD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n=24</w:t>
            </w:r>
          </w:p>
          <w:p w14:paraId="24EC1DD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418" w:type="dxa"/>
            <w:tcBorders>
              <w:top w:val="single" w:sz="4" w:space="0" w:color="auto"/>
              <w:bottom w:val="double" w:sz="4" w:space="0" w:color="auto"/>
            </w:tcBorders>
            <w:vAlign w:val="center"/>
          </w:tcPr>
          <w:p w14:paraId="1142486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Mild symptoms</w:t>
            </w:r>
          </w:p>
          <w:p w14:paraId="36E07C3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n=10</w:t>
            </w:r>
          </w:p>
          <w:p w14:paraId="5D096FC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4E1197B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Moderate symptoms</w:t>
            </w:r>
          </w:p>
          <w:p w14:paraId="13F6BF7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n=20</w:t>
            </w:r>
          </w:p>
          <w:p w14:paraId="7C1D277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418" w:type="dxa"/>
            <w:tcBorders>
              <w:top w:val="single" w:sz="4" w:space="0" w:color="auto"/>
              <w:bottom w:val="double" w:sz="4" w:space="0" w:color="auto"/>
            </w:tcBorders>
            <w:vAlign w:val="center"/>
          </w:tcPr>
          <w:p w14:paraId="057F6F7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Severe symptoms</w:t>
            </w:r>
          </w:p>
          <w:p w14:paraId="04E34E3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n=20</w:t>
            </w:r>
          </w:p>
          <w:p w14:paraId="1F3D749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(Mean (SD) or %)</w:t>
            </w:r>
          </w:p>
        </w:tc>
        <w:tc>
          <w:tcPr>
            <w:tcW w:w="1456" w:type="dxa"/>
            <w:tcBorders>
              <w:top w:val="single" w:sz="4" w:space="0" w:color="auto"/>
              <w:bottom w:val="double" w:sz="4" w:space="0" w:color="auto"/>
            </w:tcBorders>
            <w:vAlign w:val="center"/>
          </w:tcPr>
          <w:p w14:paraId="13AEBD6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w:t>
            </w:r>
          </w:p>
        </w:tc>
        <w:tc>
          <w:tcPr>
            <w:tcW w:w="824" w:type="dxa"/>
            <w:tcBorders>
              <w:top w:val="single" w:sz="4" w:space="0" w:color="auto"/>
              <w:bottom w:val="double" w:sz="4" w:space="0" w:color="auto"/>
            </w:tcBorders>
            <w:vAlign w:val="center"/>
          </w:tcPr>
          <w:p w14:paraId="31A56F5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p-value</w:t>
            </w:r>
          </w:p>
        </w:tc>
      </w:tr>
      <w:tr w:rsidR="00540E79" w:rsidRPr="000300C6" w14:paraId="6FD4C43B"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vAlign w:val="center"/>
          </w:tcPr>
          <w:p w14:paraId="117FD837"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Age</w:t>
            </w:r>
          </w:p>
        </w:tc>
        <w:tc>
          <w:tcPr>
            <w:tcW w:w="1984" w:type="dxa"/>
            <w:tcBorders>
              <w:top w:val="double" w:sz="4" w:space="0" w:color="auto"/>
            </w:tcBorders>
            <w:vAlign w:val="center"/>
          </w:tcPr>
          <w:p w14:paraId="7096694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74 (7)</w:t>
            </w:r>
          </w:p>
        </w:tc>
        <w:tc>
          <w:tcPr>
            <w:tcW w:w="1418" w:type="dxa"/>
            <w:tcBorders>
              <w:top w:val="double" w:sz="4" w:space="0" w:color="auto"/>
            </w:tcBorders>
            <w:vAlign w:val="center"/>
          </w:tcPr>
          <w:p w14:paraId="5552BF6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75 (6)</w:t>
            </w:r>
          </w:p>
        </w:tc>
        <w:tc>
          <w:tcPr>
            <w:tcW w:w="1417" w:type="dxa"/>
            <w:tcBorders>
              <w:top w:val="double" w:sz="4" w:space="0" w:color="auto"/>
            </w:tcBorders>
            <w:vAlign w:val="center"/>
          </w:tcPr>
          <w:p w14:paraId="6286E6F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73(7)</w:t>
            </w:r>
          </w:p>
        </w:tc>
        <w:tc>
          <w:tcPr>
            <w:tcW w:w="1418" w:type="dxa"/>
            <w:tcBorders>
              <w:top w:val="double" w:sz="4" w:space="0" w:color="auto"/>
            </w:tcBorders>
            <w:vAlign w:val="center"/>
          </w:tcPr>
          <w:p w14:paraId="6C57127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73(6)</w:t>
            </w:r>
          </w:p>
        </w:tc>
        <w:tc>
          <w:tcPr>
            <w:tcW w:w="1456" w:type="dxa"/>
            <w:tcBorders>
              <w:top w:val="double" w:sz="4" w:space="0" w:color="auto"/>
            </w:tcBorders>
            <w:vAlign w:val="center"/>
          </w:tcPr>
          <w:p w14:paraId="636CCB7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tcBorders>
              <w:top w:val="double" w:sz="4" w:space="0" w:color="auto"/>
            </w:tcBorders>
            <w:vAlign w:val="center"/>
          </w:tcPr>
          <w:p w14:paraId="5FC6FC9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0.84</w:t>
            </w:r>
          </w:p>
        </w:tc>
      </w:tr>
      <w:tr w:rsidR="00540E79" w:rsidRPr="000300C6" w14:paraId="73C0B3D9"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078FF0C"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Presenting PSA</w:t>
            </w:r>
          </w:p>
        </w:tc>
        <w:tc>
          <w:tcPr>
            <w:tcW w:w="1984" w:type="dxa"/>
            <w:vAlign w:val="center"/>
          </w:tcPr>
          <w:p w14:paraId="4CDD53B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 (16)</w:t>
            </w:r>
          </w:p>
        </w:tc>
        <w:tc>
          <w:tcPr>
            <w:tcW w:w="1418" w:type="dxa"/>
            <w:vAlign w:val="center"/>
          </w:tcPr>
          <w:p w14:paraId="61E0691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 (19)</w:t>
            </w:r>
          </w:p>
        </w:tc>
        <w:tc>
          <w:tcPr>
            <w:tcW w:w="1417" w:type="dxa"/>
            <w:vAlign w:val="center"/>
          </w:tcPr>
          <w:p w14:paraId="792C959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42 (38)</w:t>
            </w:r>
          </w:p>
        </w:tc>
        <w:tc>
          <w:tcPr>
            <w:tcW w:w="1418" w:type="dxa"/>
            <w:vAlign w:val="center"/>
          </w:tcPr>
          <w:p w14:paraId="3E745DF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 (30)</w:t>
            </w:r>
          </w:p>
        </w:tc>
        <w:tc>
          <w:tcPr>
            <w:tcW w:w="1456" w:type="dxa"/>
            <w:vAlign w:val="center"/>
          </w:tcPr>
          <w:p w14:paraId="11465DF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5390C41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0.05</w:t>
            </w:r>
          </w:p>
        </w:tc>
      </w:tr>
      <w:tr w:rsidR="00540E79" w:rsidRPr="000300C6" w14:paraId="3C46007E"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C07CD3" w14:textId="77777777" w:rsidR="00540E79" w:rsidRPr="000300C6" w:rsidRDefault="00540E79" w:rsidP="00540E79">
            <w:pPr>
              <w:spacing w:after="0"/>
              <w:rPr>
                <w:rFonts w:cstheme="minorHAnsi"/>
                <w:sz w:val="16"/>
                <w:szCs w:val="16"/>
              </w:rPr>
            </w:pPr>
            <w:r w:rsidRPr="000300C6">
              <w:rPr>
                <w:rFonts w:cstheme="minorHAnsi"/>
                <w:sz w:val="16"/>
                <w:szCs w:val="16"/>
              </w:rPr>
              <w:t>Recurrent PCa</w:t>
            </w:r>
          </w:p>
        </w:tc>
        <w:tc>
          <w:tcPr>
            <w:tcW w:w="1984" w:type="dxa"/>
            <w:vAlign w:val="center"/>
          </w:tcPr>
          <w:p w14:paraId="6D81813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w:t>
            </w:r>
          </w:p>
        </w:tc>
        <w:tc>
          <w:tcPr>
            <w:tcW w:w="1418" w:type="dxa"/>
            <w:vAlign w:val="center"/>
          </w:tcPr>
          <w:p w14:paraId="1C462D2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vAlign w:val="center"/>
          </w:tcPr>
          <w:p w14:paraId="4B3E66C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15%</w:t>
            </w:r>
          </w:p>
        </w:tc>
        <w:tc>
          <w:tcPr>
            <w:tcW w:w="1418" w:type="dxa"/>
            <w:vAlign w:val="center"/>
          </w:tcPr>
          <w:p w14:paraId="33F938E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56" w:type="dxa"/>
            <w:vAlign w:val="center"/>
          </w:tcPr>
          <w:p w14:paraId="7B07FB1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7C39462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0.77</w:t>
            </w:r>
          </w:p>
        </w:tc>
      </w:tr>
      <w:tr w:rsidR="00540E79" w:rsidRPr="000300C6" w14:paraId="5FBF06CA"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8DBB03"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On ADT</w:t>
            </w:r>
          </w:p>
        </w:tc>
        <w:tc>
          <w:tcPr>
            <w:tcW w:w="1984" w:type="dxa"/>
            <w:vAlign w:val="center"/>
          </w:tcPr>
          <w:p w14:paraId="2C4C48B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w:t>
            </w:r>
          </w:p>
        </w:tc>
        <w:tc>
          <w:tcPr>
            <w:tcW w:w="1418" w:type="dxa"/>
            <w:vAlign w:val="center"/>
          </w:tcPr>
          <w:p w14:paraId="058F750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17" w:type="dxa"/>
            <w:vAlign w:val="center"/>
          </w:tcPr>
          <w:p w14:paraId="6B890C0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18" w:type="dxa"/>
            <w:vAlign w:val="center"/>
          </w:tcPr>
          <w:p w14:paraId="039FE9E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56" w:type="dxa"/>
            <w:vAlign w:val="center"/>
          </w:tcPr>
          <w:p w14:paraId="28DDDA2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6207C93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1</w:t>
            </w:r>
          </w:p>
        </w:tc>
      </w:tr>
      <w:tr w:rsidR="00540E79" w:rsidRPr="000300C6" w14:paraId="5DDF2BEE"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745BFC"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 xml:space="preserve">Testosterone recovery to normal </w:t>
            </w:r>
          </w:p>
        </w:tc>
        <w:tc>
          <w:tcPr>
            <w:tcW w:w="1984" w:type="dxa"/>
            <w:vAlign w:val="center"/>
          </w:tcPr>
          <w:p w14:paraId="10F99BE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58%</w:t>
            </w:r>
          </w:p>
        </w:tc>
        <w:tc>
          <w:tcPr>
            <w:tcW w:w="1418" w:type="dxa"/>
            <w:vAlign w:val="center"/>
          </w:tcPr>
          <w:p w14:paraId="52DEC01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7" w:type="dxa"/>
            <w:vAlign w:val="center"/>
          </w:tcPr>
          <w:p w14:paraId="467BFDA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60%</w:t>
            </w:r>
          </w:p>
        </w:tc>
        <w:tc>
          <w:tcPr>
            <w:tcW w:w="1418" w:type="dxa"/>
            <w:vAlign w:val="center"/>
          </w:tcPr>
          <w:p w14:paraId="1DBF04E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45%</w:t>
            </w:r>
          </w:p>
        </w:tc>
        <w:tc>
          <w:tcPr>
            <w:tcW w:w="1456" w:type="dxa"/>
            <w:vAlign w:val="center"/>
          </w:tcPr>
          <w:p w14:paraId="442CCB5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0581C13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0.76</w:t>
            </w:r>
          </w:p>
        </w:tc>
      </w:tr>
      <w:tr w:rsidR="00540E79" w:rsidRPr="000300C6" w14:paraId="1B259DBC"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A54371"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BMI</w:t>
            </w:r>
          </w:p>
        </w:tc>
        <w:tc>
          <w:tcPr>
            <w:tcW w:w="1984" w:type="dxa"/>
            <w:vAlign w:val="center"/>
          </w:tcPr>
          <w:p w14:paraId="40193B2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(6)</w:t>
            </w:r>
          </w:p>
        </w:tc>
        <w:tc>
          <w:tcPr>
            <w:tcW w:w="1418" w:type="dxa"/>
            <w:vAlign w:val="center"/>
          </w:tcPr>
          <w:p w14:paraId="22FF906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(3)</w:t>
            </w:r>
          </w:p>
        </w:tc>
        <w:tc>
          <w:tcPr>
            <w:tcW w:w="1417" w:type="dxa"/>
            <w:vAlign w:val="center"/>
          </w:tcPr>
          <w:p w14:paraId="41547B1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(5)</w:t>
            </w:r>
          </w:p>
        </w:tc>
        <w:tc>
          <w:tcPr>
            <w:tcW w:w="1418" w:type="dxa"/>
            <w:vAlign w:val="center"/>
          </w:tcPr>
          <w:p w14:paraId="610304D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456" w:type="dxa"/>
            <w:vAlign w:val="center"/>
          </w:tcPr>
          <w:p w14:paraId="4BDE4E2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2A690D0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0.73</w:t>
            </w:r>
          </w:p>
        </w:tc>
      </w:tr>
      <w:tr w:rsidR="00540E79" w:rsidRPr="000300C6" w14:paraId="719141B4"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21071F"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Smoking status (NS/ES/S)</w:t>
            </w:r>
          </w:p>
        </w:tc>
        <w:tc>
          <w:tcPr>
            <w:tcW w:w="1984" w:type="dxa"/>
            <w:vAlign w:val="center"/>
          </w:tcPr>
          <w:p w14:paraId="471AF13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54%/38%/8%</w:t>
            </w:r>
          </w:p>
        </w:tc>
        <w:tc>
          <w:tcPr>
            <w:tcW w:w="1418" w:type="dxa"/>
            <w:vAlign w:val="center"/>
          </w:tcPr>
          <w:p w14:paraId="6FA5040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40%/60%/0%</w:t>
            </w:r>
          </w:p>
        </w:tc>
        <w:tc>
          <w:tcPr>
            <w:tcW w:w="1417" w:type="dxa"/>
            <w:vAlign w:val="center"/>
          </w:tcPr>
          <w:p w14:paraId="2899599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60%/40%/0%</w:t>
            </w:r>
          </w:p>
        </w:tc>
        <w:tc>
          <w:tcPr>
            <w:tcW w:w="1418" w:type="dxa"/>
            <w:vAlign w:val="center"/>
          </w:tcPr>
          <w:p w14:paraId="1E0EBAD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35%/35%/30%</w:t>
            </w:r>
          </w:p>
        </w:tc>
        <w:tc>
          <w:tcPr>
            <w:tcW w:w="1456" w:type="dxa"/>
            <w:vAlign w:val="center"/>
          </w:tcPr>
          <w:p w14:paraId="3623954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0E230C0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0.13</w:t>
            </w:r>
          </w:p>
        </w:tc>
      </w:tr>
      <w:tr w:rsidR="00540E79" w:rsidRPr="000300C6" w14:paraId="44B122F0"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929C6F"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Pack/year</w:t>
            </w:r>
          </w:p>
        </w:tc>
        <w:tc>
          <w:tcPr>
            <w:tcW w:w="1984" w:type="dxa"/>
            <w:vAlign w:val="center"/>
          </w:tcPr>
          <w:p w14:paraId="4F884CE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9 (16)</w:t>
            </w:r>
          </w:p>
        </w:tc>
        <w:tc>
          <w:tcPr>
            <w:tcW w:w="1418" w:type="dxa"/>
            <w:vAlign w:val="center"/>
          </w:tcPr>
          <w:p w14:paraId="3AFA25A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(35)</w:t>
            </w:r>
          </w:p>
        </w:tc>
        <w:tc>
          <w:tcPr>
            <w:tcW w:w="1417" w:type="dxa"/>
            <w:vAlign w:val="center"/>
          </w:tcPr>
          <w:p w14:paraId="2982A62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8(16)</w:t>
            </w:r>
          </w:p>
        </w:tc>
        <w:tc>
          <w:tcPr>
            <w:tcW w:w="1418" w:type="dxa"/>
            <w:vAlign w:val="center"/>
          </w:tcPr>
          <w:p w14:paraId="142CC1A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23(27)</w:t>
            </w:r>
          </w:p>
        </w:tc>
        <w:tc>
          <w:tcPr>
            <w:tcW w:w="1456" w:type="dxa"/>
            <w:vAlign w:val="center"/>
          </w:tcPr>
          <w:p w14:paraId="140E8A0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0CD0E36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0.08</w:t>
            </w:r>
          </w:p>
        </w:tc>
      </w:tr>
      <w:tr w:rsidR="00540E79" w:rsidRPr="000300C6" w14:paraId="6E4791AC"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962B53"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Previous abdominal surgery</w:t>
            </w:r>
          </w:p>
        </w:tc>
        <w:tc>
          <w:tcPr>
            <w:tcW w:w="1984" w:type="dxa"/>
            <w:vAlign w:val="center"/>
          </w:tcPr>
          <w:p w14:paraId="4E08FCB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46%</w:t>
            </w:r>
          </w:p>
        </w:tc>
        <w:tc>
          <w:tcPr>
            <w:tcW w:w="1418" w:type="dxa"/>
            <w:vAlign w:val="center"/>
          </w:tcPr>
          <w:p w14:paraId="49D327E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70%</w:t>
            </w:r>
          </w:p>
        </w:tc>
        <w:tc>
          <w:tcPr>
            <w:tcW w:w="1417" w:type="dxa"/>
            <w:vAlign w:val="center"/>
          </w:tcPr>
          <w:p w14:paraId="44AFCB8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30%</w:t>
            </w:r>
          </w:p>
        </w:tc>
        <w:tc>
          <w:tcPr>
            <w:tcW w:w="1418" w:type="dxa"/>
            <w:vAlign w:val="center"/>
          </w:tcPr>
          <w:p w14:paraId="27209DE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56" w:type="dxa"/>
            <w:vAlign w:val="center"/>
          </w:tcPr>
          <w:p w14:paraId="2955FA1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6268EC8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0.22</w:t>
            </w:r>
          </w:p>
        </w:tc>
      </w:tr>
      <w:tr w:rsidR="00540E79" w:rsidRPr="000300C6" w14:paraId="5E2B4406"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AC530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Diabetes</w:t>
            </w:r>
          </w:p>
        </w:tc>
        <w:tc>
          <w:tcPr>
            <w:tcW w:w="1984" w:type="dxa"/>
            <w:vAlign w:val="center"/>
          </w:tcPr>
          <w:p w14:paraId="4FF9B11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w:t>
            </w:r>
          </w:p>
        </w:tc>
        <w:tc>
          <w:tcPr>
            <w:tcW w:w="1418" w:type="dxa"/>
            <w:vAlign w:val="center"/>
          </w:tcPr>
          <w:p w14:paraId="390AD99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vAlign w:val="center"/>
          </w:tcPr>
          <w:p w14:paraId="704ACF8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8" w:type="dxa"/>
            <w:vAlign w:val="center"/>
          </w:tcPr>
          <w:p w14:paraId="010814B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15%</w:t>
            </w:r>
          </w:p>
        </w:tc>
        <w:tc>
          <w:tcPr>
            <w:tcW w:w="1456" w:type="dxa"/>
            <w:vAlign w:val="center"/>
          </w:tcPr>
          <w:p w14:paraId="2E0F331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1828540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0.90</w:t>
            </w:r>
          </w:p>
        </w:tc>
      </w:tr>
      <w:tr w:rsidR="00540E79" w:rsidRPr="000300C6" w14:paraId="60AF9335"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DD8F5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Statins</w:t>
            </w:r>
          </w:p>
        </w:tc>
        <w:tc>
          <w:tcPr>
            <w:tcW w:w="1984" w:type="dxa"/>
            <w:vAlign w:val="center"/>
          </w:tcPr>
          <w:p w14:paraId="1AD0765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46%</w:t>
            </w:r>
          </w:p>
        </w:tc>
        <w:tc>
          <w:tcPr>
            <w:tcW w:w="1418" w:type="dxa"/>
            <w:vAlign w:val="center"/>
          </w:tcPr>
          <w:p w14:paraId="4A57AB0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90%</w:t>
            </w:r>
          </w:p>
        </w:tc>
        <w:tc>
          <w:tcPr>
            <w:tcW w:w="1417" w:type="dxa"/>
            <w:vAlign w:val="center"/>
          </w:tcPr>
          <w:p w14:paraId="204864A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8" w:type="dxa"/>
            <w:vAlign w:val="center"/>
          </w:tcPr>
          <w:p w14:paraId="144A87A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55%</w:t>
            </w:r>
          </w:p>
        </w:tc>
        <w:tc>
          <w:tcPr>
            <w:tcW w:w="1456" w:type="dxa"/>
            <w:vAlign w:val="center"/>
          </w:tcPr>
          <w:p w14:paraId="0A43E15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6928E39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0.12</w:t>
            </w:r>
          </w:p>
        </w:tc>
      </w:tr>
      <w:tr w:rsidR="00540E79" w:rsidRPr="000300C6" w14:paraId="38CBF07A"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AF4E6A"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Other metabolic disease</w:t>
            </w:r>
          </w:p>
        </w:tc>
        <w:tc>
          <w:tcPr>
            <w:tcW w:w="1984" w:type="dxa"/>
            <w:vAlign w:val="center"/>
          </w:tcPr>
          <w:p w14:paraId="4260238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w:t>
            </w:r>
          </w:p>
        </w:tc>
        <w:tc>
          <w:tcPr>
            <w:tcW w:w="1418" w:type="dxa"/>
            <w:vAlign w:val="center"/>
          </w:tcPr>
          <w:p w14:paraId="7D3EF46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vAlign w:val="center"/>
          </w:tcPr>
          <w:p w14:paraId="733262B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8" w:type="dxa"/>
            <w:vAlign w:val="center"/>
          </w:tcPr>
          <w:p w14:paraId="6F01DDE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56" w:type="dxa"/>
            <w:vAlign w:val="center"/>
          </w:tcPr>
          <w:p w14:paraId="35AB7FA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0F4DDAB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0.49</w:t>
            </w:r>
          </w:p>
        </w:tc>
      </w:tr>
      <w:tr w:rsidR="00540E79" w:rsidRPr="000300C6" w14:paraId="57A756AF"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D53DEF"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IBS</w:t>
            </w:r>
          </w:p>
        </w:tc>
        <w:tc>
          <w:tcPr>
            <w:tcW w:w="1984" w:type="dxa"/>
            <w:vAlign w:val="center"/>
          </w:tcPr>
          <w:p w14:paraId="49B5A37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8" w:type="dxa"/>
            <w:vAlign w:val="center"/>
          </w:tcPr>
          <w:p w14:paraId="584DA59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vAlign w:val="center"/>
          </w:tcPr>
          <w:p w14:paraId="35D65EA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18" w:type="dxa"/>
            <w:vAlign w:val="center"/>
          </w:tcPr>
          <w:p w14:paraId="7BFA33D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56" w:type="dxa"/>
            <w:vAlign w:val="center"/>
          </w:tcPr>
          <w:p w14:paraId="48A38CA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4557E2D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0.44</w:t>
            </w:r>
          </w:p>
        </w:tc>
      </w:tr>
      <w:tr w:rsidR="00540E79" w:rsidRPr="000300C6" w14:paraId="1A7B21EF"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03BF6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Antihypertensives</w:t>
            </w:r>
          </w:p>
        </w:tc>
        <w:tc>
          <w:tcPr>
            <w:tcW w:w="1984" w:type="dxa"/>
            <w:vAlign w:val="center"/>
          </w:tcPr>
          <w:p w14:paraId="2FD2622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46%</w:t>
            </w:r>
          </w:p>
        </w:tc>
        <w:tc>
          <w:tcPr>
            <w:tcW w:w="1418" w:type="dxa"/>
            <w:vAlign w:val="center"/>
          </w:tcPr>
          <w:p w14:paraId="350C518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80%</w:t>
            </w:r>
          </w:p>
        </w:tc>
        <w:tc>
          <w:tcPr>
            <w:tcW w:w="1417" w:type="dxa"/>
            <w:vAlign w:val="center"/>
          </w:tcPr>
          <w:p w14:paraId="34A170D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60%</w:t>
            </w:r>
          </w:p>
        </w:tc>
        <w:tc>
          <w:tcPr>
            <w:tcW w:w="1418" w:type="dxa"/>
            <w:vAlign w:val="center"/>
          </w:tcPr>
          <w:p w14:paraId="3072505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56" w:type="dxa"/>
            <w:vAlign w:val="center"/>
          </w:tcPr>
          <w:p w14:paraId="2C8176A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7DB16BA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0.30</w:t>
            </w:r>
          </w:p>
        </w:tc>
      </w:tr>
      <w:tr w:rsidR="00540E79" w:rsidRPr="000300C6" w14:paraId="6ED77CFB"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D19FE0"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Metformin</w:t>
            </w:r>
          </w:p>
        </w:tc>
        <w:tc>
          <w:tcPr>
            <w:tcW w:w="1984" w:type="dxa"/>
            <w:vAlign w:val="center"/>
          </w:tcPr>
          <w:p w14:paraId="04EF03E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w:t>
            </w:r>
          </w:p>
        </w:tc>
        <w:tc>
          <w:tcPr>
            <w:tcW w:w="1418" w:type="dxa"/>
            <w:vAlign w:val="center"/>
          </w:tcPr>
          <w:p w14:paraId="6074AEB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vAlign w:val="center"/>
          </w:tcPr>
          <w:p w14:paraId="775FC85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8" w:type="dxa"/>
            <w:vAlign w:val="center"/>
          </w:tcPr>
          <w:p w14:paraId="3095264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56" w:type="dxa"/>
            <w:vAlign w:val="center"/>
          </w:tcPr>
          <w:p w14:paraId="64EAD4C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1FF0AAD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0.61</w:t>
            </w:r>
          </w:p>
        </w:tc>
      </w:tr>
      <w:tr w:rsidR="00540E79" w:rsidRPr="000300C6" w14:paraId="7D8191EC"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E298D3"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Aspirin</w:t>
            </w:r>
          </w:p>
        </w:tc>
        <w:tc>
          <w:tcPr>
            <w:tcW w:w="1984" w:type="dxa"/>
            <w:vAlign w:val="center"/>
          </w:tcPr>
          <w:p w14:paraId="1F0DC95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25%</w:t>
            </w:r>
          </w:p>
        </w:tc>
        <w:tc>
          <w:tcPr>
            <w:tcW w:w="1418" w:type="dxa"/>
            <w:vAlign w:val="center"/>
          </w:tcPr>
          <w:p w14:paraId="6EF2F88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40%</w:t>
            </w:r>
          </w:p>
        </w:tc>
        <w:tc>
          <w:tcPr>
            <w:tcW w:w="1417" w:type="dxa"/>
            <w:vAlign w:val="center"/>
          </w:tcPr>
          <w:p w14:paraId="7A34798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35%</w:t>
            </w:r>
          </w:p>
        </w:tc>
        <w:tc>
          <w:tcPr>
            <w:tcW w:w="1418" w:type="dxa"/>
            <w:vAlign w:val="center"/>
          </w:tcPr>
          <w:p w14:paraId="4A26217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30%</w:t>
            </w:r>
          </w:p>
        </w:tc>
        <w:tc>
          <w:tcPr>
            <w:tcW w:w="1456" w:type="dxa"/>
            <w:vAlign w:val="center"/>
          </w:tcPr>
          <w:p w14:paraId="33DE460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vAlign w:val="center"/>
          </w:tcPr>
          <w:p w14:paraId="7130F05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0.82</w:t>
            </w:r>
          </w:p>
        </w:tc>
      </w:tr>
      <w:tr w:rsidR="00540E79" w:rsidRPr="000300C6" w14:paraId="0BCA9224"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double" w:sz="4" w:space="0" w:color="auto"/>
            </w:tcBorders>
            <w:vAlign w:val="center"/>
          </w:tcPr>
          <w:p w14:paraId="6EC7F3DB"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Warfarin</w:t>
            </w:r>
          </w:p>
        </w:tc>
        <w:tc>
          <w:tcPr>
            <w:tcW w:w="1984" w:type="dxa"/>
            <w:tcBorders>
              <w:bottom w:val="double" w:sz="4" w:space="0" w:color="auto"/>
            </w:tcBorders>
            <w:vAlign w:val="center"/>
          </w:tcPr>
          <w:p w14:paraId="07E312C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w:t>
            </w:r>
          </w:p>
        </w:tc>
        <w:tc>
          <w:tcPr>
            <w:tcW w:w="1418" w:type="dxa"/>
            <w:tcBorders>
              <w:bottom w:val="double" w:sz="4" w:space="0" w:color="auto"/>
            </w:tcBorders>
            <w:vAlign w:val="center"/>
          </w:tcPr>
          <w:p w14:paraId="2D53CCE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17" w:type="dxa"/>
            <w:tcBorders>
              <w:bottom w:val="double" w:sz="4" w:space="0" w:color="auto"/>
            </w:tcBorders>
            <w:vAlign w:val="center"/>
          </w:tcPr>
          <w:p w14:paraId="02E9BD9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18" w:type="dxa"/>
            <w:tcBorders>
              <w:bottom w:val="double" w:sz="4" w:space="0" w:color="auto"/>
            </w:tcBorders>
            <w:vAlign w:val="center"/>
          </w:tcPr>
          <w:p w14:paraId="5C1B691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56" w:type="dxa"/>
            <w:tcBorders>
              <w:bottom w:val="double" w:sz="4" w:space="0" w:color="auto"/>
            </w:tcBorders>
            <w:vAlign w:val="center"/>
          </w:tcPr>
          <w:p w14:paraId="229AFD9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w:t>
            </w:r>
          </w:p>
        </w:tc>
        <w:tc>
          <w:tcPr>
            <w:tcW w:w="824" w:type="dxa"/>
            <w:tcBorders>
              <w:bottom w:val="double" w:sz="4" w:space="0" w:color="auto"/>
            </w:tcBorders>
            <w:vAlign w:val="center"/>
          </w:tcPr>
          <w:p w14:paraId="2EFF1B6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0.84</w:t>
            </w:r>
          </w:p>
        </w:tc>
      </w:tr>
      <w:tr w:rsidR="00540E79" w:rsidRPr="000300C6" w14:paraId="5C18EA68"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64" w:type="dxa"/>
            <w:gridSpan w:val="7"/>
            <w:tcBorders>
              <w:top w:val="double" w:sz="4" w:space="0" w:color="auto"/>
              <w:bottom w:val="single" w:sz="4" w:space="0" w:color="auto"/>
            </w:tcBorders>
            <w:vAlign w:val="center"/>
          </w:tcPr>
          <w:p w14:paraId="75551524" w14:textId="77777777" w:rsidR="00540E79" w:rsidRPr="000300C6" w:rsidRDefault="00540E79" w:rsidP="00540E79">
            <w:pPr>
              <w:spacing w:after="0"/>
              <w:jc w:val="center"/>
              <w:rPr>
                <w:rFonts w:cstheme="minorHAnsi"/>
              </w:rPr>
            </w:pPr>
            <w:r w:rsidRPr="000300C6">
              <w:rPr>
                <w:rFonts w:cstheme="minorHAnsi"/>
              </w:rPr>
              <w:t>PRO (historic)</w:t>
            </w:r>
          </w:p>
        </w:tc>
      </w:tr>
      <w:tr w:rsidR="00540E79" w:rsidRPr="000300C6" w14:paraId="24676936"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double" w:sz="4" w:space="0" w:color="auto"/>
            </w:tcBorders>
            <w:vAlign w:val="center"/>
          </w:tcPr>
          <w:p w14:paraId="42E57A03"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xml:space="preserve"> : symptom group</w:t>
            </w:r>
          </w:p>
        </w:tc>
        <w:tc>
          <w:tcPr>
            <w:tcW w:w="1984" w:type="dxa"/>
            <w:tcBorders>
              <w:top w:val="single" w:sz="4" w:space="0" w:color="auto"/>
              <w:bottom w:val="double" w:sz="4" w:space="0" w:color="auto"/>
            </w:tcBorders>
            <w:vAlign w:val="center"/>
          </w:tcPr>
          <w:p w14:paraId="7886A3F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No bowel problem</w:t>
            </w:r>
          </w:p>
          <w:p w14:paraId="604C797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n=16</w:t>
            </w:r>
          </w:p>
          <w:p w14:paraId="70DCC27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418" w:type="dxa"/>
            <w:tcBorders>
              <w:top w:val="single" w:sz="4" w:space="0" w:color="auto"/>
              <w:bottom w:val="double" w:sz="4" w:space="0" w:color="auto"/>
            </w:tcBorders>
            <w:vAlign w:val="center"/>
          </w:tcPr>
          <w:p w14:paraId="601E23B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Very small bowel problem</w:t>
            </w:r>
          </w:p>
          <w:p w14:paraId="7F4C989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n=22</w:t>
            </w:r>
          </w:p>
          <w:p w14:paraId="3887B24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48CF0F5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Small bowel problem</w:t>
            </w:r>
          </w:p>
          <w:p w14:paraId="4A8CED6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n=18</w:t>
            </w:r>
          </w:p>
          <w:p w14:paraId="1B7D407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418" w:type="dxa"/>
            <w:tcBorders>
              <w:top w:val="single" w:sz="4" w:space="0" w:color="auto"/>
              <w:bottom w:val="double" w:sz="4" w:space="0" w:color="auto"/>
            </w:tcBorders>
            <w:vAlign w:val="center"/>
          </w:tcPr>
          <w:p w14:paraId="2F20101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Moderate bowel problem</w:t>
            </w:r>
          </w:p>
          <w:p w14:paraId="7C15446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n=21</w:t>
            </w:r>
          </w:p>
          <w:p w14:paraId="56EDF04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(Mean (SD) or %)</w:t>
            </w:r>
          </w:p>
        </w:tc>
        <w:tc>
          <w:tcPr>
            <w:tcW w:w="1456" w:type="dxa"/>
            <w:tcBorders>
              <w:top w:val="single" w:sz="4" w:space="0" w:color="auto"/>
              <w:bottom w:val="double" w:sz="4" w:space="0" w:color="auto"/>
            </w:tcBorders>
            <w:vAlign w:val="center"/>
          </w:tcPr>
          <w:p w14:paraId="0128552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Big bowel problem</w:t>
            </w:r>
          </w:p>
          <w:p w14:paraId="0358505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n=7</w:t>
            </w:r>
          </w:p>
          <w:p w14:paraId="6E0F5E9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(Mean (SD) or %)</w:t>
            </w:r>
          </w:p>
        </w:tc>
        <w:tc>
          <w:tcPr>
            <w:tcW w:w="824" w:type="dxa"/>
            <w:tcBorders>
              <w:top w:val="single" w:sz="4" w:space="0" w:color="auto"/>
              <w:bottom w:val="double" w:sz="4" w:space="0" w:color="auto"/>
            </w:tcBorders>
            <w:vAlign w:val="center"/>
          </w:tcPr>
          <w:p w14:paraId="5EACC0A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b/>
                <w:i/>
                <w:sz w:val="16"/>
                <w:szCs w:val="16"/>
              </w:rPr>
              <w:t>p-value</w:t>
            </w:r>
          </w:p>
        </w:tc>
      </w:tr>
      <w:tr w:rsidR="00540E79" w:rsidRPr="000300C6" w14:paraId="1207EF63"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tcBorders>
            <w:vAlign w:val="center"/>
          </w:tcPr>
          <w:p w14:paraId="2E3C0C58"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Age</w:t>
            </w:r>
          </w:p>
        </w:tc>
        <w:tc>
          <w:tcPr>
            <w:tcW w:w="1984" w:type="dxa"/>
            <w:tcBorders>
              <w:top w:val="double" w:sz="4" w:space="0" w:color="auto"/>
            </w:tcBorders>
            <w:vAlign w:val="center"/>
          </w:tcPr>
          <w:p w14:paraId="50B249A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(6)</w:t>
            </w:r>
          </w:p>
        </w:tc>
        <w:tc>
          <w:tcPr>
            <w:tcW w:w="1418" w:type="dxa"/>
            <w:tcBorders>
              <w:top w:val="double" w:sz="4" w:space="0" w:color="auto"/>
            </w:tcBorders>
            <w:vAlign w:val="center"/>
          </w:tcPr>
          <w:p w14:paraId="62BFB87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72 (7)</w:t>
            </w:r>
          </w:p>
        </w:tc>
        <w:tc>
          <w:tcPr>
            <w:tcW w:w="1417" w:type="dxa"/>
            <w:tcBorders>
              <w:top w:val="double" w:sz="4" w:space="0" w:color="auto"/>
            </w:tcBorders>
            <w:vAlign w:val="center"/>
          </w:tcPr>
          <w:p w14:paraId="7015C88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76 (6)</w:t>
            </w:r>
          </w:p>
        </w:tc>
        <w:tc>
          <w:tcPr>
            <w:tcW w:w="1418" w:type="dxa"/>
            <w:tcBorders>
              <w:top w:val="double" w:sz="4" w:space="0" w:color="auto"/>
            </w:tcBorders>
            <w:vAlign w:val="center"/>
          </w:tcPr>
          <w:p w14:paraId="0EBA246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(7)</w:t>
            </w:r>
          </w:p>
        </w:tc>
        <w:tc>
          <w:tcPr>
            <w:tcW w:w="1456" w:type="dxa"/>
            <w:tcBorders>
              <w:top w:val="double" w:sz="4" w:space="0" w:color="auto"/>
            </w:tcBorders>
            <w:vAlign w:val="center"/>
          </w:tcPr>
          <w:p w14:paraId="161362F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72 (7)</w:t>
            </w:r>
          </w:p>
        </w:tc>
        <w:tc>
          <w:tcPr>
            <w:tcW w:w="824" w:type="dxa"/>
            <w:tcBorders>
              <w:top w:val="double" w:sz="4" w:space="0" w:color="auto"/>
            </w:tcBorders>
            <w:vAlign w:val="center"/>
          </w:tcPr>
          <w:p w14:paraId="00C7F4D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0.29</w:t>
            </w:r>
          </w:p>
        </w:tc>
      </w:tr>
      <w:tr w:rsidR="00540E79" w:rsidRPr="000300C6" w14:paraId="6DACF689"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776D4D"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Presenting PSA</w:t>
            </w:r>
          </w:p>
        </w:tc>
        <w:tc>
          <w:tcPr>
            <w:tcW w:w="1984" w:type="dxa"/>
            <w:vAlign w:val="center"/>
          </w:tcPr>
          <w:p w14:paraId="61A8FB2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34 (35)</w:t>
            </w:r>
          </w:p>
        </w:tc>
        <w:tc>
          <w:tcPr>
            <w:tcW w:w="1418" w:type="dxa"/>
            <w:vAlign w:val="center"/>
          </w:tcPr>
          <w:p w14:paraId="2AB6DC2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35 (37)</w:t>
            </w:r>
          </w:p>
        </w:tc>
        <w:tc>
          <w:tcPr>
            <w:tcW w:w="1417" w:type="dxa"/>
            <w:vAlign w:val="center"/>
          </w:tcPr>
          <w:p w14:paraId="4429BD9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 (14)</w:t>
            </w:r>
          </w:p>
        </w:tc>
        <w:tc>
          <w:tcPr>
            <w:tcW w:w="1418" w:type="dxa"/>
            <w:vAlign w:val="center"/>
          </w:tcPr>
          <w:p w14:paraId="105AD40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(21.7)</w:t>
            </w:r>
          </w:p>
        </w:tc>
        <w:tc>
          <w:tcPr>
            <w:tcW w:w="1456" w:type="dxa"/>
            <w:vAlign w:val="center"/>
          </w:tcPr>
          <w:p w14:paraId="07859ED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 (10)</w:t>
            </w:r>
          </w:p>
        </w:tc>
        <w:tc>
          <w:tcPr>
            <w:tcW w:w="824" w:type="dxa"/>
            <w:vAlign w:val="center"/>
          </w:tcPr>
          <w:p w14:paraId="2C2A4BD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0.86</w:t>
            </w:r>
          </w:p>
        </w:tc>
      </w:tr>
      <w:tr w:rsidR="00540E79" w:rsidRPr="000300C6" w14:paraId="0FCFA9D3"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7AC7C7"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sz w:val="16"/>
                <w:szCs w:val="16"/>
              </w:rPr>
              <w:t>Recurrent PCa</w:t>
            </w:r>
          </w:p>
        </w:tc>
        <w:tc>
          <w:tcPr>
            <w:tcW w:w="1984" w:type="dxa"/>
            <w:vAlign w:val="center"/>
          </w:tcPr>
          <w:p w14:paraId="444EE73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13%</w:t>
            </w:r>
          </w:p>
        </w:tc>
        <w:tc>
          <w:tcPr>
            <w:tcW w:w="1418" w:type="dxa"/>
            <w:vAlign w:val="center"/>
          </w:tcPr>
          <w:p w14:paraId="220A407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14%</w:t>
            </w:r>
          </w:p>
        </w:tc>
        <w:tc>
          <w:tcPr>
            <w:tcW w:w="1417" w:type="dxa"/>
            <w:vAlign w:val="center"/>
          </w:tcPr>
          <w:p w14:paraId="7E56FFB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22%</w:t>
            </w:r>
          </w:p>
        </w:tc>
        <w:tc>
          <w:tcPr>
            <w:tcW w:w="1418" w:type="dxa"/>
            <w:vAlign w:val="center"/>
          </w:tcPr>
          <w:p w14:paraId="6A9E344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56" w:type="dxa"/>
            <w:vAlign w:val="center"/>
          </w:tcPr>
          <w:p w14:paraId="5248653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w:t>
            </w:r>
          </w:p>
        </w:tc>
        <w:tc>
          <w:tcPr>
            <w:tcW w:w="824" w:type="dxa"/>
            <w:vAlign w:val="center"/>
          </w:tcPr>
          <w:p w14:paraId="3E604F5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0.21</w:t>
            </w:r>
          </w:p>
        </w:tc>
      </w:tr>
      <w:tr w:rsidR="00540E79" w:rsidRPr="000300C6" w14:paraId="70D0CC93"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B2BD80"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On ADT</w:t>
            </w:r>
          </w:p>
        </w:tc>
        <w:tc>
          <w:tcPr>
            <w:tcW w:w="1984" w:type="dxa"/>
            <w:vAlign w:val="center"/>
          </w:tcPr>
          <w:p w14:paraId="601C93A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6%</w:t>
            </w:r>
          </w:p>
        </w:tc>
        <w:tc>
          <w:tcPr>
            <w:tcW w:w="1418" w:type="dxa"/>
            <w:vAlign w:val="center"/>
          </w:tcPr>
          <w:p w14:paraId="4359DB7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18%</w:t>
            </w:r>
          </w:p>
        </w:tc>
        <w:tc>
          <w:tcPr>
            <w:tcW w:w="1417" w:type="dxa"/>
            <w:vAlign w:val="center"/>
          </w:tcPr>
          <w:p w14:paraId="6946387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6%</w:t>
            </w:r>
          </w:p>
        </w:tc>
        <w:tc>
          <w:tcPr>
            <w:tcW w:w="1418" w:type="dxa"/>
            <w:vAlign w:val="center"/>
          </w:tcPr>
          <w:p w14:paraId="45F19A0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56" w:type="dxa"/>
            <w:vAlign w:val="center"/>
          </w:tcPr>
          <w:p w14:paraId="60ADF19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w:t>
            </w:r>
          </w:p>
        </w:tc>
        <w:tc>
          <w:tcPr>
            <w:tcW w:w="824" w:type="dxa"/>
            <w:vAlign w:val="center"/>
          </w:tcPr>
          <w:p w14:paraId="0C1A879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0.27</w:t>
            </w:r>
          </w:p>
        </w:tc>
      </w:tr>
      <w:tr w:rsidR="00540E79" w:rsidRPr="000300C6" w14:paraId="6228361D"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4514F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 xml:space="preserve">Testosterone recovery to normal </w:t>
            </w:r>
          </w:p>
        </w:tc>
        <w:tc>
          <w:tcPr>
            <w:tcW w:w="1984" w:type="dxa"/>
            <w:vAlign w:val="center"/>
          </w:tcPr>
          <w:p w14:paraId="16433C3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31%</w:t>
            </w:r>
          </w:p>
        </w:tc>
        <w:tc>
          <w:tcPr>
            <w:tcW w:w="1418" w:type="dxa"/>
            <w:vAlign w:val="center"/>
          </w:tcPr>
          <w:p w14:paraId="2C6947E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59%</w:t>
            </w:r>
          </w:p>
        </w:tc>
        <w:tc>
          <w:tcPr>
            <w:tcW w:w="1417" w:type="dxa"/>
            <w:vAlign w:val="center"/>
          </w:tcPr>
          <w:p w14:paraId="5DF7EE1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0300C6">
              <w:rPr>
                <w:rFonts w:eastAsia="Times New Roman" w:cstheme="minorHAnsi"/>
                <w:sz w:val="16"/>
                <w:szCs w:val="16"/>
                <w:lang w:eastAsia="en-GB"/>
              </w:rPr>
              <w:t>56%</w:t>
            </w:r>
          </w:p>
        </w:tc>
        <w:tc>
          <w:tcPr>
            <w:tcW w:w="1418" w:type="dxa"/>
            <w:vAlign w:val="center"/>
          </w:tcPr>
          <w:p w14:paraId="0B75B04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71%</w:t>
            </w:r>
          </w:p>
        </w:tc>
        <w:tc>
          <w:tcPr>
            <w:tcW w:w="1456" w:type="dxa"/>
            <w:vAlign w:val="center"/>
          </w:tcPr>
          <w:p w14:paraId="3CF8C8B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w:t>
            </w:r>
          </w:p>
        </w:tc>
        <w:tc>
          <w:tcPr>
            <w:tcW w:w="824" w:type="dxa"/>
            <w:vAlign w:val="center"/>
          </w:tcPr>
          <w:p w14:paraId="2F3A144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0.10</w:t>
            </w:r>
          </w:p>
        </w:tc>
      </w:tr>
      <w:tr w:rsidR="00540E79" w:rsidRPr="000300C6" w14:paraId="48AFCFC0"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BB0E654"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BMI</w:t>
            </w:r>
          </w:p>
        </w:tc>
        <w:tc>
          <w:tcPr>
            <w:tcW w:w="1984" w:type="dxa"/>
            <w:vAlign w:val="center"/>
          </w:tcPr>
          <w:p w14:paraId="0C80FEA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418" w:type="dxa"/>
            <w:vAlign w:val="center"/>
          </w:tcPr>
          <w:p w14:paraId="4BB63A3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24 (6)</w:t>
            </w:r>
          </w:p>
        </w:tc>
        <w:tc>
          <w:tcPr>
            <w:tcW w:w="1417" w:type="dxa"/>
            <w:vAlign w:val="center"/>
          </w:tcPr>
          <w:p w14:paraId="28E418E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418" w:type="dxa"/>
            <w:vAlign w:val="center"/>
          </w:tcPr>
          <w:p w14:paraId="519B8C3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456" w:type="dxa"/>
            <w:vAlign w:val="center"/>
          </w:tcPr>
          <w:p w14:paraId="575DF17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(4)</w:t>
            </w:r>
          </w:p>
        </w:tc>
        <w:tc>
          <w:tcPr>
            <w:tcW w:w="824" w:type="dxa"/>
            <w:vAlign w:val="center"/>
          </w:tcPr>
          <w:p w14:paraId="4A054EE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0.27</w:t>
            </w:r>
          </w:p>
        </w:tc>
      </w:tr>
      <w:tr w:rsidR="00540E79" w:rsidRPr="000300C6" w14:paraId="48608388"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C1D391"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Smoking status (NS/ES/S)</w:t>
            </w:r>
          </w:p>
        </w:tc>
        <w:tc>
          <w:tcPr>
            <w:tcW w:w="1984" w:type="dxa"/>
            <w:vAlign w:val="center"/>
          </w:tcPr>
          <w:p w14:paraId="75DE1AD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44%/44%/12%</w:t>
            </w:r>
          </w:p>
        </w:tc>
        <w:tc>
          <w:tcPr>
            <w:tcW w:w="1418" w:type="dxa"/>
            <w:vAlign w:val="center"/>
          </w:tcPr>
          <w:p w14:paraId="64B8C10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46%/40%/14%</w:t>
            </w:r>
          </w:p>
        </w:tc>
        <w:tc>
          <w:tcPr>
            <w:tcW w:w="1417" w:type="dxa"/>
            <w:vAlign w:val="center"/>
          </w:tcPr>
          <w:p w14:paraId="1ED1635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61%/33%/6%</w:t>
            </w:r>
          </w:p>
        </w:tc>
        <w:tc>
          <w:tcPr>
            <w:tcW w:w="1418" w:type="dxa"/>
            <w:vAlign w:val="center"/>
          </w:tcPr>
          <w:p w14:paraId="61DCAC8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24%/52%/24%</w:t>
            </w:r>
          </w:p>
        </w:tc>
        <w:tc>
          <w:tcPr>
            <w:tcW w:w="1456" w:type="dxa"/>
            <w:vAlign w:val="center"/>
          </w:tcPr>
          <w:p w14:paraId="69D3085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43%/43%/14%</w:t>
            </w:r>
          </w:p>
        </w:tc>
        <w:tc>
          <w:tcPr>
            <w:tcW w:w="824" w:type="dxa"/>
            <w:vAlign w:val="center"/>
          </w:tcPr>
          <w:p w14:paraId="5FF4AB6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0.18</w:t>
            </w:r>
          </w:p>
        </w:tc>
      </w:tr>
      <w:tr w:rsidR="00540E79" w:rsidRPr="000300C6" w14:paraId="2BACC458"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A2CE93"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Pack/year</w:t>
            </w:r>
          </w:p>
        </w:tc>
        <w:tc>
          <w:tcPr>
            <w:tcW w:w="1984" w:type="dxa"/>
            <w:vAlign w:val="center"/>
          </w:tcPr>
          <w:p w14:paraId="35DBB2E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21 (31)</w:t>
            </w:r>
          </w:p>
        </w:tc>
        <w:tc>
          <w:tcPr>
            <w:tcW w:w="1418" w:type="dxa"/>
            <w:vAlign w:val="center"/>
          </w:tcPr>
          <w:p w14:paraId="486ADEB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 (23)</w:t>
            </w:r>
          </w:p>
        </w:tc>
        <w:tc>
          <w:tcPr>
            <w:tcW w:w="1417" w:type="dxa"/>
            <w:vAlign w:val="center"/>
          </w:tcPr>
          <w:p w14:paraId="46EE34E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 (15)</w:t>
            </w:r>
          </w:p>
        </w:tc>
        <w:tc>
          <w:tcPr>
            <w:tcW w:w="1418" w:type="dxa"/>
            <w:vAlign w:val="center"/>
          </w:tcPr>
          <w:p w14:paraId="3B70140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 (17)</w:t>
            </w:r>
          </w:p>
        </w:tc>
        <w:tc>
          <w:tcPr>
            <w:tcW w:w="1456" w:type="dxa"/>
            <w:vAlign w:val="center"/>
          </w:tcPr>
          <w:p w14:paraId="55BE0EE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 (30)</w:t>
            </w:r>
          </w:p>
        </w:tc>
        <w:tc>
          <w:tcPr>
            <w:tcW w:w="824" w:type="dxa"/>
            <w:vAlign w:val="center"/>
          </w:tcPr>
          <w:p w14:paraId="774EF8D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0.53</w:t>
            </w:r>
          </w:p>
        </w:tc>
      </w:tr>
      <w:tr w:rsidR="00540E79" w:rsidRPr="000300C6" w14:paraId="237C8C6E"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F52A07"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Previous abdominal surgery</w:t>
            </w:r>
          </w:p>
        </w:tc>
        <w:tc>
          <w:tcPr>
            <w:tcW w:w="1984" w:type="dxa"/>
            <w:vAlign w:val="center"/>
          </w:tcPr>
          <w:p w14:paraId="615A220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8" w:type="dxa"/>
            <w:vAlign w:val="center"/>
          </w:tcPr>
          <w:p w14:paraId="59D7B44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36%</w:t>
            </w:r>
          </w:p>
        </w:tc>
        <w:tc>
          <w:tcPr>
            <w:tcW w:w="1417" w:type="dxa"/>
            <w:vAlign w:val="center"/>
          </w:tcPr>
          <w:p w14:paraId="432B731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44%</w:t>
            </w:r>
          </w:p>
        </w:tc>
        <w:tc>
          <w:tcPr>
            <w:tcW w:w="1418" w:type="dxa"/>
            <w:vAlign w:val="center"/>
          </w:tcPr>
          <w:p w14:paraId="74EBF44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48%</w:t>
            </w:r>
          </w:p>
        </w:tc>
        <w:tc>
          <w:tcPr>
            <w:tcW w:w="1456" w:type="dxa"/>
            <w:vAlign w:val="center"/>
          </w:tcPr>
          <w:p w14:paraId="1B07325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57%</w:t>
            </w:r>
          </w:p>
        </w:tc>
        <w:tc>
          <w:tcPr>
            <w:tcW w:w="824" w:type="dxa"/>
            <w:vAlign w:val="center"/>
          </w:tcPr>
          <w:p w14:paraId="7E2318D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0.86</w:t>
            </w:r>
          </w:p>
        </w:tc>
      </w:tr>
      <w:tr w:rsidR="00540E79" w:rsidRPr="000300C6" w14:paraId="00514728"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2424E9"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Diabetes</w:t>
            </w:r>
          </w:p>
        </w:tc>
        <w:tc>
          <w:tcPr>
            <w:tcW w:w="1984" w:type="dxa"/>
            <w:vAlign w:val="center"/>
          </w:tcPr>
          <w:p w14:paraId="11A8ED6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w:t>
            </w:r>
          </w:p>
        </w:tc>
        <w:tc>
          <w:tcPr>
            <w:tcW w:w="1418" w:type="dxa"/>
            <w:vAlign w:val="center"/>
          </w:tcPr>
          <w:p w14:paraId="18A7DAC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1417" w:type="dxa"/>
            <w:vAlign w:val="center"/>
          </w:tcPr>
          <w:p w14:paraId="7A81397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1418" w:type="dxa"/>
            <w:vAlign w:val="center"/>
          </w:tcPr>
          <w:p w14:paraId="4A86926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24%</w:t>
            </w:r>
          </w:p>
        </w:tc>
        <w:tc>
          <w:tcPr>
            <w:tcW w:w="1456" w:type="dxa"/>
            <w:vAlign w:val="center"/>
          </w:tcPr>
          <w:p w14:paraId="27AA485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824" w:type="dxa"/>
            <w:vAlign w:val="center"/>
          </w:tcPr>
          <w:p w14:paraId="4AA6E94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0.89</w:t>
            </w:r>
          </w:p>
        </w:tc>
      </w:tr>
      <w:tr w:rsidR="00540E79" w:rsidRPr="000300C6" w14:paraId="3B60B4F0"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2379A3"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Statins</w:t>
            </w:r>
          </w:p>
        </w:tc>
        <w:tc>
          <w:tcPr>
            <w:tcW w:w="1984" w:type="dxa"/>
            <w:vAlign w:val="center"/>
          </w:tcPr>
          <w:p w14:paraId="70FE2D3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8" w:type="dxa"/>
            <w:vAlign w:val="center"/>
          </w:tcPr>
          <w:p w14:paraId="62199EC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45%</w:t>
            </w:r>
          </w:p>
        </w:tc>
        <w:tc>
          <w:tcPr>
            <w:tcW w:w="1417" w:type="dxa"/>
            <w:vAlign w:val="center"/>
          </w:tcPr>
          <w:p w14:paraId="0BEC0AB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67%</w:t>
            </w:r>
          </w:p>
        </w:tc>
        <w:tc>
          <w:tcPr>
            <w:tcW w:w="1418" w:type="dxa"/>
            <w:vAlign w:val="center"/>
          </w:tcPr>
          <w:p w14:paraId="7962BAB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48%</w:t>
            </w:r>
          </w:p>
        </w:tc>
        <w:tc>
          <w:tcPr>
            <w:tcW w:w="1456" w:type="dxa"/>
            <w:vAlign w:val="center"/>
          </w:tcPr>
          <w:p w14:paraId="5BA28BF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43%</w:t>
            </w:r>
          </w:p>
        </w:tc>
        <w:tc>
          <w:tcPr>
            <w:tcW w:w="824" w:type="dxa"/>
            <w:vAlign w:val="center"/>
          </w:tcPr>
          <w:p w14:paraId="05E19D6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0.68</w:t>
            </w:r>
          </w:p>
        </w:tc>
      </w:tr>
      <w:tr w:rsidR="00540E79" w:rsidRPr="000300C6" w14:paraId="77E263AB"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0A3554"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Other metabolic disease</w:t>
            </w:r>
          </w:p>
        </w:tc>
        <w:tc>
          <w:tcPr>
            <w:tcW w:w="1984" w:type="dxa"/>
            <w:vAlign w:val="center"/>
          </w:tcPr>
          <w:p w14:paraId="0AAC9EB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418" w:type="dxa"/>
            <w:vAlign w:val="center"/>
          </w:tcPr>
          <w:p w14:paraId="1B5101E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17" w:type="dxa"/>
            <w:vAlign w:val="center"/>
          </w:tcPr>
          <w:p w14:paraId="0DC3FD8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8" w:type="dxa"/>
            <w:vAlign w:val="center"/>
          </w:tcPr>
          <w:p w14:paraId="32E2C7E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56" w:type="dxa"/>
            <w:vAlign w:val="center"/>
          </w:tcPr>
          <w:p w14:paraId="411B3C1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824" w:type="dxa"/>
            <w:vAlign w:val="center"/>
          </w:tcPr>
          <w:p w14:paraId="4CDDE68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0.39</w:t>
            </w:r>
          </w:p>
        </w:tc>
      </w:tr>
      <w:tr w:rsidR="00540E79" w:rsidRPr="000300C6" w14:paraId="0F059ABC"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169D05"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IBS</w:t>
            </w:r>
          </w:p>
        </w:tc>
        <w:tc>
          <w:tcPr>
            <w:tcW w:w="1984" w:type="dxa"/>
            <w:vAlign w:val="center"/>
          </w:tcPr>
          <w:p w14:paraId="5592931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8" w:type="dxa"/>
            <w:vAlign w:val="center"/>
          </w:tcPr>
          <w:p w14:paraId="7320F39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vAlign w:val="center"/>
          </w:tcPr>
          <w:p w14:paraId="522E418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418" w:type="dxa"/>
            <w:vAlign w:val="center"/>
          </w:tcPr>
          <w:p w14:paraId="53947EC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56" w:type="dxa"/>
            <w:vAlign w:val="center"/>
          </w:tcPr>
          <w:p w14:paraId="02D094F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824" w:type="dxa"/>
            <w:vAlign w:val="center"/>
          </w:tcPr>
          <w:p w14:paraId="16EFF7E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0.41</w:t>
            </w:r>
          </w:p>
        </w:tc>
      </w:tr>
      <w:tr w:rsidR="00540E79" w:rsidRPr="000300C6" w14:paraId="3F4FBAD2"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110FA0"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 xml:space="preserve">Antihypertensives </w:t>
            </w:r>
          </w:p>
        </w:tc>
        <w:tc>
          <w:tcPr>
            <w:tcW w:w="1984" w:type="dxa"/>
            <w:vAlign w:val="center"/>
          </w:tcPr>
          <w:p w14:paraId="6C91283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8" w:type="dxa"/>
            <w:vAlign w:val="center"/>
          </w:tcPr>
          <w:p w14:paraId="17C1B86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45%</w:t>
            </w:r>
          </w:p>
        </w:tc>
        <w:tc>
          <w:tcPr>
            <w:tcW w:w="1417" w:type="dxa"/>
            <w:vAlign w:val="center"/>
          </w:tcPr>
          <w:p w14:paraId="7DCD08A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72%</w:t>
            </w:r>
          </w:p>
        </w:tc>
        <w:tc>
          <w:tcPr>
            <w:tcW w:w="1418" w:type="dxa"/>
            <w:vAlign w:val="center"/>
          </w:tcPr>
          <w:p w14:paraId="3DD1234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62%</w:t>
            </w:r>
          </w:p>
        </w:tc>
        <w:tc>
          <w:tcPr>
            <w:tcW w:w="1456" w:type="dxa"/>
            <w:vAlign w:val="center"/>
          </w:tcPr>
          <w:p w14:paraId="1B43B23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43%</w:t>
            </w:r>
          </w:p>
        </w:tc>
        <w:tc>
          <w:tcPr>
            <w:tcW w:w="824" w:type="dxa"/>
            <w:vAlign w:val="center"/>
          </w:tcPr>
          <w:p w14:paraId="0F18A3C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0.42</w:t>
            </w:r>
          </w:p>
        </w:tc>
      </w:tr>
      <w:tr w:rsidR="00540E79" w:rsidRPr="000300C6" w14:paraId="50EAA07B"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BEE699"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Metformin</w:t>
            </w:r>
          </w:p>
        </w:tc>
        <w:tc>
          <w:tcPr>
            <w:tcW w:w="1984" w:type="dxa"/>
            <w:vAlign w:val="center"/>
          </w:tcPr>
          <w:p w14:paraId="66A1736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418" w:type="dxa"/>
            <w:vAlign w:val="center"/>
          </w:tcPr>
          <w:p w14:paraId="5AD4AE4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1417" w:type="dxa"/>
            <w:vAlign w:val="center"/>
          </w:tcPr>
          <w:p w14:paraId="2C2DAEC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1418" w:type="dxa"/>
            <w:vAlign w:val="center"/>
          </w:tcPr>
          <w:p w14:paraId="6F9801B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1456" w:type="dxa"/>
            <w:vAlign w:val="center"/>
          </w:tcPr>
          <w:p w14:paraId="358653A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824" w:type="dxa"/>
            <w:vAlign w:val="center"/>
          </w:tcPr>
          <w:p w14:paraId="7D44BBE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0.93</w:t>
            </w:r>
          </w:p>
        </w:tc>
      </w:tr>
      <w:tr w:rsidR="00540E79" w:rsidRPr="000300C6" w14:paraId="72C52B8C" w14:textId="77777777" w:rsidTr="0028637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1B74C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Aspirin</w:t>
            </w:r>
          </w:p>
        </w:tc>
        <w:tc>
          <w:tcPr>
            <w:tcW w:w="1984" w:type="dxa"/>
            <w:vAlign w:val="center"/>
          </w:tcPr>
          <w:p w14:paraId="3C5D192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w:t>
            </w:r>
          </w:p>
        </w:tc>
        <w:tc>
          <w:tcPr>
            <w:tcW w:w="1418" w:type="dxa"/>
            <w:vAlign w:val="center"/>
          </w:tcPr>
          <w:p w14:paraId="5A9A622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32%</w:t>
            </w:r>
          </w:p>
        </w:tc>
        <w:tc>
          <w:tcPr>
            <w:tcW w:w="1417" w:type="dxa"/>
            <w:vAlign w:val="center"/>
          </w:tcPr>
          <w:p w14:paraId="6FB4577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33%</w:t>
            </w:r>
          </w:p>
        </w:tc>
        <w:tc>
          <w:tcPr>
            <w:tcW w:w="1418" w:type="dxa"/>
            <w:vAlign w:val="center"/>
          </w:tcPr>
          <w:p w14:paraId="748C869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48%</w:t>
            </w:r>
          </w:p>
        </w:tc>
        <w:tc>
          <w:tcPr>
            <w:tcW w:w="1456" w:type="dxa"/>
            <w:vAlign w:val="center"/>
          </w:tcPr>
          <w:p w14:paraId="4E14FDC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w:t>
            </w:r>
          </w:p>
        </w:tc>
        <w:tc>
          <w:tcPr>
            <w:tcW w:w="824" w:type="dxa"/>
            <w:vAlign w:val="center"/>
          </w:tcPr>
          <w:p w14:paraId="1659169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0.27</w:t>
            </w:r>
          </w:p>
        </w:tc>
      </w:tr>
      <w:tr w:rsidR="00540E79" w:rsidRPr="000300C6" w14:paraId="0A9A4BF2" w14:textId="77777777" w:rsidTr="00286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2481A3"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Warfarin</w:t>
            </w:r>
          </w:p>
        </w:tc>
        <w:tc>
          <w:tcPr>
            <w:tcW w:w="1984" w:type="dxa"/>
            <w:vAlign w:val="center"/>
          </w:tcPr>
          <w:p w14:paraId="408E13B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8" w:type="dxa"/>
            <w:vAlign w:val="center"/>
          </w:tcPr>
          <w:p w14:paraId="25975AF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9%</w:t>
            </w:r>
          </w:p>
        </w:tc>
        <w:tc>
          <w:tcPr>
            <w:tcW w:w="1417" w:type="dxa"/>
            <w:vAlign w:val="center"/>
          </w:tcPr>
          <w:p w14:paraId="3A8905B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418" w:type="dxa"/>
            <w:vAlign w:val="center"/>
          </w:tcPr>
          <w:p w14:paraId="35AC93A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56" w:type="dxa"/>
            <w:vAlign w:val="center"/>
          </w:tcPr>
          <w:p w14:paraId="38A9F9B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14%</w:t>
            </w:r>
          </w:p>
        </w:tc>
        <w:tc>
          <w:tcPr>
            <w:tcW w:w="824" w:type="dxa"/>
            <w:vAlign w:val="center"/>
          </w:tcPr>
          <w:p w14:paraId="6BDCA45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0.68</w:t>
            </w:r>
          </w:p>
        </w:tc>
      </w:tr>
    </w:tbl>
    <w:p w14:paraId="1F7A34A4" w14:textId="332289C4" w:rsidR="00540E79" w:rsidRPr="000300C6" w:rsidRDefault="00540E79" w:rsidP="00AD1207">
      <w:pPr>
        <w:spacing w:after="0"/>
        <w:jc w:val="center"/>
        <w:rPr>
          <w:b/>
          <w:sz w:val="18"/>
          <w:szCs w:val="18"/>
        </w:rPr>
      </w:pPr>
    </w:p>
    <w:p w14:paraId="4F0BE384" w14:textId="16242B74" w:rsidR="00540E79" w:rsidRPr="000300C6" w:rsidRDefault="00540E79">
      <w:pPr>
        <w:spacing w:after="160" w:line="259" w:lineRule="auto"/>
        <w:rPr>
          <w:b/>
          <w:sz w:val="18"/>
          <w:szCs w:val="18"/>
        </w:rPr>
      </w:pPr>
      <w:r w:rsidRPr="000300C6">
        <w:rPr>
          <w:b/>
          <w:sz w:val="18"/>
          <w:szCs w:val="18"/>
        </w:rPr>
        <w:br w:type="page"/>
      </w:r>
    </w:p>
    <w:p w14:paraId="20CB520E" w14:textId="2939DA2D" w:rsidR="00540E79" w:rsidRPr="000300C6" w:rsidRDefault="00540E79" w:rsidP="00540E79">
      <w:pPr>
        <w:spacing w:after="0"/>
        <w:jc w:val="center"/>
        <w:rPr>
          <w:sz w:val="18"/>
          <w:szCs w:val="18"/>
        </w:rPr>
      </w:pPr>
      <w:r w:rsidRPr="000300C6">
        <w:rPr>
          <w:b/>
          <w:sz w:val="18"/>
          <w:szCs w:val="18"/>
        </w:rPr>
        <w:lastRenderedPageBreak/>
        <w:t>Table SUPP-7B:</w:t>
      </w:r>
      <w:r w:rsidRPr="000300C6">
        <w:rPr>
          <w:sz w:val="18"/>
          <w:szCs w:val="18"/>
        </w:rPr>
        <w:t xml:space="preserve"> Comorbidity comparisons between CRO-stratified symptom groups in the late cohort.</w:t>
      </w:r>
    </w:p>
    <w:tbl>
      <w:tblPr>
        <w:tblStyle w:val="PlainTable4"/>
        <w:tblW w:w="10206" w:type="dxa"/>
        <w:tblInd w:w="-7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1651"/>
        <w:gridCol w:w="1701"/>
        <w:gridCol w:w="1560"/>
        <w:gridCol w:w="1417"/>
        <w:gridCol w:w="1411"/>
        <w:gridCol w:w="6"/>
      </w:tblGrid>
      <w:tr w:rsidR="00540E79" w:rsidRPr="000300C6" w14:paraId="28CF78B1" w14:textId="77777777" w:rsidTr="00286371">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single" w:sz="4" w:space="0" w:color="auto"/>
              <w:bottom w:val="single" w:sz="4" w:space="0" w:color="auto"/>
            </w:tcBorders>
            <w:vAlign w:val="center"/>
          </w:tcPr>
          <w:p w14:paraId="7A1593AE" w14:textId="77777777" w:rsidR="00540E79" w:rsidRPr="000300C6" w:rsidRDefault="00540E79" w:rsidP="00540E79">
            <w:pPr>
              <w:spacing w:after="0"/>
              <w:jc w:val="center"/>
              <w:rPr>
                <w:rFonts w:cstheme="minorHAnsi"/>
              </w:rPr>
            </w:pPr>
            <w:r w:rsidRPr="000300C6">
              <w:rPr>
                <w:rFonts w:cstheme="minorHAnsi"/>
              </w:rPr>
              <w:t>CRO (actual)</w:t>
            </w:r>
          </w:p>
        </w:tc>
      </w:tr>
      <w:tr w:rsidR="00540E79" w:rsidRPr="000300C6" w14:paraId="256217F4"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double" w:sz="4" w:space="0" w:color="auto"/>
            </w:tcBorders>
            <w:vAlign w:val="center"/>
          </w:tcPr>
          <w:p w14:paraId="3A55E928" w14:textId="77777777" w:rsidR="00540E79" w:rsidRPr="000300C6" w:rsidRDefault="00540E79" w:rsidP="00540E79">
            <w:pPr>
              <w:spacing w:after="0"/>
              <w:rPr>
                <w:rFonts w:eastAsia="Times New Roman" w:cstheme="minorHAnsi"/>
                <w: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symptom group</w:t>
            </w:r>
          </w:p>
        </w:tc>
        <w:tc>
          <w:tcPr>
            <w:tcW w:w="1651" w:type="dxa"/>
            <w:tcBorders>
              <w:top w:val="single" w:sz="4" w:space="0" w:color="auto"/>
              <w:bottom w:val="double" w:sz="4" w:space="0" w:color="auto"/>
            </w:tcBorders>
            <w:vAlign w:val="center"/>
          </w:tcPr>
          <w:p w14:paraId="0CDE689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Grade 0</w:t>
            </w:r>
          </w:p>
          <w:p w14:paraId="4B603B0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n=53</w:t>
            </w:r>
          </w:p>
          <w:p w14:paraId="45C48BC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701" w:type="dxa"/>
            <w:tcBorders>
              <w:top w:val="single" w:sz="4" w:space="0" w:color="auto"/>
              <w:bottom w:val="double" w:sz="4" w:space="0" w:color="auto"/>
            </w:tcBorders>
            <w:vAlign w:val="center"/>
          </w:tcPr>
          <w:p w14:paraId="20321E4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Grade 1</w:t>
            </w:r>
          </w:p>
          <w:p w14:paraId="3DC0D90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n=14</w:t>
            </w:r>
          </w:p>
          <w:p w14:paraId="2A5364D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560" w:type="dxa"/>
            <w:tcBorders>
              <w:top w:val="single" w:sz="4" w:space="0" w:color="auto"/>
              <w:bottom w:val="double" w:sz="4" w:space="0" w:color="auto"/>
            </w:tcBorders>
            <w:vAlign w:val="center"/>
          </w:tcPr>
          <w:p w14:paraId="5C518BB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Grade 2</w:t>
            </w:r>
          </w:p>
          <w:p w14:paraId="3F6AAB8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n=18</w:t>
            </w:r>
          </w:p>
          <w:p w14:paraId="7A421F2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i/>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55B2B45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 xml:space="preserve">Grade 3 </w:t>
            </w:r>
          </w:p>
          <w:p w14:paraId="43BE952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n=2</w:t>
            </w:r>
          </w:p>
          <w:p w14:paraId="016DB21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(Mean (SD) or %)</w:t>
            </w:r>
          </w:p>
        </w:tc>
        <w:tc>
          <w:tcPr>
            <w:tcW w:w="1417" w:type="dxa"/>
            <w:gridSpan w:val="2"/>
            <w:tcBorders>
              <w:top w:val="single" w:sz="4" w:space="0" w:color="auto"/>
              <w:bottom w:val="double" w:sz="4" w:space="0" w:color="auto"/>
            </w:tcBorders>
            <w:vAlign w:val="center"/>
          </w:tcPr>
          <w:p w14:paraId="6855246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b/>
                <w:i/>
                <w:sz w:val="16"/>
                <w:szCs w:val="16"/>
              </w:rPr>
            </w:pPr>
            <w:r w:rsidRPr="000300C6">
              <w:rPr>
                <w:rFonts w:cstheme="minorHAnsi"/>
                <w:b/>
                <w:i/>
                <w:sz w:val="16"/>
                <w:szCs w:val="16"/>
              </w:rPr>
              <w:t>p-value</w:t>
            </w:r>
          </w:p>
        </w:tc>
      </w:tr>
      <w:tr w:rsidR="00540E79" w:rsidRPr="000300C6" w14:paraId="508C3795"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top w:val="double" w:sz="4" w:space="0" w:color="auto"/>
            </w:tcBorders>
            <w:vAlign w:val="center"/>
          </w:tcPr>
          <w:p w14:paraId="3F3DA1BD"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Age</w:t>
            </w:r>
          </w:p>
        </w:tc>
        <w:tc>
          <w:tcPr>
            <w:tcW w:w="1651" w:type="dxa"/>
            <w:tcBorders>
              <w:top w:val="double" w:sz="4" w:space="0" w:color="auto"/>
            </w:tcBorders>
            <w:vAlign w:val="center"/>
          </w:tcPr>
          <w:p w14:paraId="3A72AF0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(7)</w:t>
            </w:r>
          </w:p>
        </w:tc>
        <w:tc>
          <w:tcPr>
            <w:tcW w:w="1701" w:type="dxa"/>
            <w:tcBorders>
              <w:top w:val="double" w:sz="4" w:space="0" w:color="auto"/>
            </w:tcBorders>
            <w:vAlign w:val="center"/>
          </w:tcPr>
          <w:p w14:paraId="5CB21B9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76 (7)</w:t>
            </w:r>
          </w:p>
        </w:tc>
        <w:tc>
          <w:tcPr>
            <w:tcW w:w="1560" w:type="dxa"/>
            <w:tcBorders>
              <w:top w:val="double" w:sz="4" w:space="0" w:color="auto"/>
            </w:tcBorders>
            <w:vAlign w:val="center"/>
          </w:tcPr>
          <w:p w14:paraId="37D9BE4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71 (5)</w:t>
            </w:r>
          </w:p>
        </w:tc>
        <w:tc>
          <w:tcPr>
            <w:tcW w:w="1417" w:type="dxa"/>
            <w:tcBorders>
              <w:top w:val="double" w:sz="4" w:space="0" w:color="auto"/>
            </w:tcBorders>
            <w:vAlign w:val="center"/>
          </w:tcPr>
          <w:p w14:paraId="3765BA1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75(11)</w:t>
            </w:r>
          </w:p>
        </w:tc>
        <w:tc>
          <w:tcPr>
            <w:tcW w:w="1417" w:type="dxa"/>
            <w:gridSpan w:val="2"/>
            <w:tcBorders>
              <w:top w:val="double" w:sz="4" w:space="0" w:color="auto"/>
            </w:tcBorders>
            <w:vAlign w:val="center"/>
          </w:tcPr>
          <w:p w14:paraId="54A1718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0.29</w:t>
            </w:r>
          </w:p>
        </w:tc>
      </w:tr>
      <w:tr w:rsidR="00540E79" w:rsidRPr="000300C6" w14:paraId="4CCBC89A"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2E3D212D"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Presenting PSA</w:t>
            </w:r>
          </w:p>
        </w:tc>
        <w:tc>
          <w:tcPr>
            <w:tcW w:w="1651" w:type="dxa"/>
            <w:vAlign w:val="center"/>
          </w:tcPr>
          <w:p w14:paraId="7A2E913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(26)</w:t>
            </w:r>
          </w:p>
        </w:tc>
        <w:tc>
          <w:tcPr>
            <w:tcW w:w="1701" w:type="dxa"/>
            <w:vAlign w:val="center"/>
          </w:tcPr>
          <w:p w14:paraId="6785CAF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 (14)</w:t>
            </w:r>
          </w:p>
        </w:tc>
        <w:tc>
          <w:tcPr>
            <w:tcW w:w="1560" w:type="dxa"/>
            <w:vAlign w:val="center"/>
          </w:tcPr>
          <w:p w14:paraId="12C8336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37 (38)</w:t>
            </w:r>
          </w:p>
        </w:tc>
        <w:tc>
          <w:tcPr>
            <w:tcW w:w="1417" w:type="dxa"/>
            <w:vAlign w:val="center"/>
          </w:tcPr>
          <w:p w14:paraId="2569EAA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 (3)</w:t>
            </w:r>
          </w:p>
        </w:tc>
        <w:tc>
          <w:tcPr>
            <w:tcW w:w="1417" w:type="dxa"/>
            <w:gridSpan w:val="2"/>
            <w:vAlign w:val="center"/>
          </w:tcPr>
          <w:p w14:paraId="6B5C3E3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0.37</w:t>
            </w:r>
          </w:p>
        </w:tc>
      </w:tr>
      <w:tr w:rsidR="00540E79" w:rsidRPr="000300C6" w14:paraId="69782108"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0DBA944"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sz w:val="16"/>
                <w:szCs w:val="16"/>
              </w:rPr>
              <w:t>Recurrent PCa</w:t>
            </w:r>
          </w:p>
        </w:tc>
        <w:tc>
          <w:tcPr>
            <w:tcW w:w="1651" w:type="dxa"/>
            <w:vAlign w:val="center"/>
          </w:tcPr>
          <w:p w14:paraId="45F9701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9%</w:t>
            </w:r>
          </w:p>
        </w:tc>
        <w:tc>
          <w:tcPr>
            <w:tcW w:w="1701" w:type="dxa"/>
            <w:vAlign w:val="center"/>
          </w:tcPr>
          <w:p w14:paraId="0D4D184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21%</w:t>
            </w:r>
          </w:p>
        </w:tc>
        <w:tc>
          <w:tcPr>
            <w:tcW w:w="1560" w:type="dxa"/>
            <w:vAlign w:val="center"/>
          </w:tcPr>
          <w:p w14:paraId="61A8A53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1417" w:type="dxa"/>
            <w:vAlign w:val="center"/>
          </w:tcPr>
          <w:p w14:paraId="1DD832B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0A1F2FC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0.57</w:t>
            </w:r>
          </w:p>
        </w:tc>
      </w:tr>
      <w:tr w:rsidR="00540E79" w:rsidRPr="000300C6" w14:paraId="1BA01586"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40981DE7"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On ADT</w:t>
            </w:r>
          </w:p>
        </w:tc>
        <w:tc>
          <w:tcPr>
            <w:tcW w:w="1651" w:type="dxa"/>
            <w:vAlign w:val="center"/>
          </w:tcPr>
          <w:p w14:paraId="26BFF34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701" w:type="dxa"/>
            <w:vAlign w:val="center"/>
          </w:tcPr>
          <w:p w14:paraId="2CE47B6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w:t>
            </w:r>
          </w:p>
        </w:tc>
        <w:tc>
          <w:tcPr>
            <w:tcW w:w="1560" w:type="dxa"/>
            <w:vAlign w:val="center"/>
          </w:tcPr>
          <w:p w14:paraId="545FEAE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1417" w:type="dxa"/>
            <w:vAlign w:val="center"/>
          </w:tcPr>
          <w:p w14:paraId="7EC26AE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038B8CA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0.81</w:t>
            </w:r>
          </w:p>
        </w:tc>
      </w:tr>
      <w:tr w:rsidR="00540E79" w:rsidRPr="000300C6" w14:paraId="3F3BA49C"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7667F42"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Testosterone recovery to normal</w:t>
            </w:r>
          </w:p>
        </w:tc>
        <w:tc>
          <w:tcPr>
            <w:tcW w:w="1651" w:type="dxa"/>
            <w:vAlign w:val="center"/>
          </w:tcPr>
          <w:p w14:paraId="622CEF0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58%</w:t>
            </w:r>
          </w:p>
        </w:tc>
        <w:tc>
          <w:tcPr>
            <w:tcW w:w="1701" w:type="dxa"/>
            <w:vAlign w:val="center"/>
          </w:tcPr>
          <w:p w14:paraId="70DBAB0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43%</w:t>
            </w:r>
          </w:p>
        </w:tc>
        <w:tc>
          <w:tcPr>
            <w:tcW w:w="1560" w:type="dxa"/>
            <w:vAlign w:val="center"/>
          </w:tcPr>
          <w:p w14:paraId="363CF53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7" w:type="dxa"/>
            <w:vAlign w:val="center"/>
          </w:tcPr>
          <w:p w14:paraId="5B976E4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7" w:type="dxa"/>
            <w:gridSpan w:val="2"/>
            <w:vAlign w:val="center"/>
          </w:tcPr>
          <w:p w14:paraId="5B6EA84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0.74</w:t>
            </w:r>
          </w:p>
        </w:tc>
      </w:tr>
      <w:tr w:rsidR="00540E79" w:rsidRPr="000300C6" w14:paraId="5F20108C"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6E26BA34"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BMI</w:t>
            </w:r>
          </w:p>
        </w:tc>
        <w:tc>
          <w:tcPr>
            <w:tcW w:w="1651" w:type="dxa"/>
            <w:vAlign w:val="center"/>
          </w:tcPr>
          <w:p w14:paraId="5EC24C4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(5)</w:t>
            </w:r>
          </w:p>
        </w:tc>
        <w:tc>
          <w:tcPr>
            <w:tcW w:w="1701" w:type="dxa"/>
            <w:vAlign w:val="center"/>
          </w:tcPr>
          <w:p w14:paraId="5EF6506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560" w:type="dxa"/>
            <w:vAlign w:val="center"/>
          </w:tcPr>
          <w:p w14:paraId="2A78951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(3)</w:t>
            </w:r>
          </w:p>
        </w:tc>
        <w:tc>
          <w:tcPr>
            <w:tcW w:w="1417" w:type="dxa"/>
            <w:vAlign w:val="center"/>
          </w:tcPr>
          <w:p w14:paraId="6EFC098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29 (8)</w:t>
            </w:r>
          </w:p>
        </w:tc>
        <w:tc>
          <w:tcPr>
            <w:tcW w:w="1417" w:type="dxa"/>
            <w:gridSpan w:val="2"/>
            <w:vAlign w:val="center"/>
          </w:tcPr>
          <w:p w14:paraId="5606D4D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0.83</w:t>
            </w:r>
          </w:p>
        </w:tc>
      </w:tr>
      <w:tr w:rsidR="00540E79" w:rsidRPr="000300C6" w14:paraId="338FDD50"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C27BFE5"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Smoking status (NS/ES/S)</w:t>
            </w:r>
          </w:p>
        </w:tc>
        <w:tc>
          <w:tcPr>
            <w:tcW w:w="1651" w:type="dxa"/>
            <w:vAlign w:val="center"/>
          </w:tcPr>
          <w:p w14:paraId="4BF9A9C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43%/45%/11%</w:t>
            </w:r>
          </w:p>
        </w:tc>
        <w:tc>
          <w:tcPr>
            <w:tcW w:w="1701" w:type="dxa"/>
            <w:vAlign w:val="center"/>
          </w:tcPr>
          <w:p w14:paraId="43F22AC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36%/57%/7%</w:t>
            </w:r>
          </w:p>
        </w:tc>
        <w:tc>
          <w:tcPr>
            <w:tcW w:w="1560" w:type="dxa"/>
            <w:vAlign w:val="center"/>
          </w:tcPr>
          <w:p w14:paraId="3C60E49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44%/28%/28%</w:t>
            </w:r>
          </w:p>
        </w:tc>
        <w:tc>
          <w:tcPr>
            <w:tcW w:w="1417" w:type="dxa"/>
            <w:vAlign w:val="center"/>
          </w:tcPr>
          <w:p w14:paraId="6C2D96A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50%/50%/0%</w:t>
            </w:r>
          </w:p>
        </w:tc>
        <w:tc>
          <w:tcPr>
            <w:tcW w:w="1417" w:type="dxa"/>
            <w:gridSpan w:val="2"/>
            <w:vAlign w:val="center"/>
          </w:tcPr>
          <w:p w14:paraId="2BFA11F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0.92</w:t>
            </w:r>
          </w:p>
        </w:tc>
      </w:tr>
      <w:tr w:rsidR="00540E79" w:rsidRPr="000300C6" w14:paraId="1A081BD5"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12A22D3"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Pack/year</w:t>
            </w:r>
          </w:p>
        </w:tc>
        <w:tc>
          <w:tcPr>
            <w:tcW w:w="1651" w:type="dxa"/>
            <w:vAlign w:val="center"/>
          </w:tcPr>
          <w:p w14:paraId="3886CD8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12 (22)</w:t>
            </w:r>
          </w:p>
        </w:tc>
        <w:tc>
          <w:tcPr>
            <w:tcW w:w="1701" w:type="dxa"/>
            <w:vAlign w:val="center"/>
          </w:tcPr>
          <w:p w14:paraId="268845F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21 (28)</w:t>
            </w:r>
          </w:p>
        </w:tc>
        <w:tc>
          <w:tcPr>
            <w:tcW w:w="1560" w:type="dxa"/>
            <w:vAlign w:val="center"/>
          </w:tcPr>
          <w:p w14:paraId="54F18B0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 (18)</w:t>
            </w:r>
          </w:p>
        </w:tc>
        <w:tc>
          <w:tcPr>
            <w:tcW w:w="1417" w:type="dxa"/>
            <w:vAlign w:val="center"/>
          </w:tcPr>
          <w:p w14:paraId="516F1AA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w:t>
            </w:r>
          </w:p>
        </w:tc>
        <w:tc>
          <w:tcPr>
            <w:tcW w:w="1417" w:type="dxa"/>
            <w:gridSpan w:val="2"/>
            <w:vAlign w:val="center"/>
          </w:tcPr>
          <w:p w14:paraId="2E5F533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0.47</w:t>
            </w:r>
          </w:p>
        </w:tc>
      </w:tr>
      <w:tr w:rsidR="00540E79" w:rsidRPr="000300C6" w14:paraId="2567AFB2"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4206C5B"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Previous abdominal surgery</w:t>
            </w:r>
          </w:p>
        </w:tc>
        <w:tc>
          <w:tcPr>
            <w:tcW w:w="1651" w:type="dxa"/>
            <w:vAlign w:val="center"/>
          </w:tcPr>
          <w:p w14:paraId="2AE9BED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43%</w:t>
            </w:r>
          </w:p>
        </w:tc>
        <w:tc>
          <w:tcPr>
            <w:tcW w:w="1701" w:type="dxa"/>
            <w:vAlign w:val="center"/>
          </w:tcPr>
          <w:p w14:paraId="644A370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36%</w:t>
            </w:r>
          </w:p>
        </w:tc>
        <w:tc>
          <w:tcPr>
            <w:tcW w:w="1560" w:type="dxa"/>
            <w:vAlign w:val="center"/>
          </w:tcPr>
          <w:p w14:paraId="0E2D34D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56%</w:t>
            </w:r>
          </w:p>
        </w:tc>
        <w:tc>
          <w:tcPr>
            <w:tcW w:w="1417" w:type="dxa"/>
            <w:vAlign w:val="center"/>
          </w:tcPr>
          <w:p w14:paraId="7750481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100%</w:t>
            </w:r>
          </w:p>
        </w:tc>
        <w:tc>
          <w:tcPr>
            <w:tcW w:w="1417" w:type="dxa"/>
            <w:gridSpan w:val="2"/>
            <w:vAlign w:val="center"/>
          </w:tcPr>
          <w:p w14:paraId="5DEB429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0.30</w:t>
            </w:r>
          </w:p>
        </w:tc>
      </w:tr>
      <w:tr w:rsidR="00540E79" w:rsidRPr="000300C6" w14:paraId="09C666BD"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15CC02A7"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Diabetes</w:t>
            </w:r>
          </w:p>
        </w:tc>
        <w:tc>
          <w:tcPr>
            <w:tcW w:w="1651" w:type="dxa"/>
            <w:vAlign w:val="center"/>
          </w:tcPr>
          <w:p w14:paraId="4E8E82F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701" w:type="dxa"/>
            <w:vAlign w:val="center"/>
          </w:tcPr>
          <w:p w14:paraId="4C43A78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36%</w:t>
            </w:r>
          </w:p>
        </w:tc>
        <w:tc>
          <w:tcPr>
            <w:tcW w:w="1560" w:type="dxa"/>
            <w:vAlign w:val="center"/>
          </w:tcPr>
          <w:p w14:paraId="5A7DF54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w:t>
            </w:r>
          </w:p>
        </w:tc>
        <w:tc>
          <w:tcPr>
            <w:tcW w:w="1417" w:type="dxa"/>
            <w:vAlign w:val="center"/>
          </w:tcPr>
          <w:p w14:paraId="2D37707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42E296F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0.15</w:t>
            </w:r>
          </w:p>
        </w:tc>
      </w:tr>
      <w:tr w:rsidR="00540E79" w:rsidRPr="000300C6" w14:paraId="389763ED"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1B600E72"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Statins</w:t>
            </w:r>
          </w:p>
        </w:tc>
        <w:tc>
          <w:tcPr>
            <w:tcW w:w="1651" w:type="dxa"/>
            <w:vAlign w:val="center"/>
          </w:tcPr>
          <w:p w14:paraId="4F16DE3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51%</w:t>
            </w:r>
          </w:p>
        </w:tc>
        <w:tc>
          <w:tcPr>
            <w:tcW w:w="1701" w:type="dxa"/>
            <w:vAlign w:val="center"/>
          </w:tcPr>
          <w:p w14:paraId="3B57C3A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57%</w:t>
            </w:r>
          </w:p>
        </w:tc>
        <w:tc>
          <w:tcPr>
            <w:tcW w:w="1560" w:type="dxa"/>
            <w:vAlign w:val="center"/>
          </w:tcPr>
          <w:p w14:paraId="30FA28E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56%</w:t>
            </w:r>
          </w:p>
        </w:tc>
        <w:tc>
          <w:tcPr>
            <w:tcW w:w="1417" w:type="dxa"/>
            <w:vAlign w:val="center"/>
          </w:tcPr>
          <w:p w14:paraId="07FEE43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5886708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0.49</w:t>
            </w:r>
          </w:p>
        </w:tc>
      </w:tr>
      <w:tr w:rsidR="00540E79" w:rsidRPr="000300C6" w14:paraId="0DE8FF87"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22E14B20"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Other metabolic disease</w:t>
            </w:r>
          </w:p>
        </w:tc>
        <w:tc>
          <w:tcPr>
            <w:tcW w:w="1651" w:type="dxa"/>
            <w:vAlign w:val="center"/>
          </w:tcPr>
          <w:p w14:paraId="380BBDC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701" w:type="dxa"/>
            <w:vAlign w:val="center"/>
          </w:tcPr>
          <w:p w14:paraId="357D3DA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60" w:type="dxa"/>
            <w:vAlign w:val="center"/>
          </w:tcPr>
          <w:p w14:paraId="20B259B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vAlign w:val="center"/>
          </w:tcPr>
          <w:p w14:paraId="7529014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41239A7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0.58</w:t>
            </w:r>
          </w:p>
        </w:tc>
      </w:tr>
      <w:tr w:rsidR="00540E79" w:rsidRPr="000300C6" w14:paraId="48110590"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3E9F980A"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IBS</w:t>
            </w:r>
          </w:p>
        </w:tc>
        <w:tc>
          <w:tcPr>
            <w:tcW w:w="1651" w:type="dxa"/>
            <w:vAlign w:val="center"/>
          </w:tcPr>
          <w:p w14:paraId="0B9881B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701" w:type="dxa"/>
            <w:vAlign w:val="center"/>
          </w:tcPr>
          <w:p w14:paraId="74B5FBC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60" w:type="dxa"/>
            <w:vAlign w:val="center"/>
          </w:tcPr>
          <w:p w14:paraId="04893CD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417" w:type="dxa"/>
            <w:vAlign w:val="center"/>
          </w:tcPr>
          <w:p w14:paraId="1FEFD07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7" w:type="dxa"/>
            <w:gridSpan w:val="2"/>
            <w:vAlign w:val="center"/>
          </w:tcPr>
          <w:p w14:paraId="4E1CF5D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0300C6">
              <w:rPr>
                <w:rFonts w:cstheme="minorHAnsi"/>
                <w:b/>
                <w:sz w:val="16"/>
                <w:szCs w:val="16"/>
              </w:rPr>
              <w:t>0.0004</w:t>
            </w:r>
          </w:p>
        </w:tc>
      </w:tr>
      <w:tr w:rsidR="00540E79" w:rsidRPr="000300C6" w14:paraId="0A350C94"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6BDB32AB"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Antihypertensives</w:t>
            </w:r>
          </w:p>
        </w:tc>
        <w:tc>
          <w:tcPr>
            <w:tcW w:w="1651" w:type="dxa"/>
            <w:vAlign w:val="center"/>
          </w:tcPr>
          <w:p w14:paraId="5333C12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57%</w:t>
            </w:r>
          </w:p>
        </w:tc>
        <w:tc>
          <w:tcPr>
            <w:tcW w:w="1701" w:type="dxa"/>
            <w:vAlign w:val="center"/>
          </w:tcPr>
          <w:p w14:paraId="0386F3A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560" w:type="dxa"/>
            <w:vAlign w:val="center"/>
          </w:tcPr>
          <w:p w14:paraId="6B3F184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61%</w:t>
            </w:r>
          </w:p>
        </w:tc>
        <w:tc>
          <w:tcPr>
            <w:tcW w:w="1417" w:type="dxa"/>
            <w:vAlign w:val="center"/>
          </w:tcPr>
          <w:p w14:paraId="6E92385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1417" w:type="dxa"/>
            <w:gridSpan w:val="2"/>
            <w:vAlign w:val="center"/>
          </w:tcPr>
          <w:p w14:paraId="7A898EB7"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0.94</w:t>
            </w:r>
          </w:p>
        </w:tc>
      </w:tr>
      <w:tr w:rsidR="00540E79" w:rsidRPr="000300C6" w14:paraId="19C750C5"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30303440"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Metformin</w:t>
            </w:r>
          </w:p>
        </w:tc>
        <w:tc>
          <w:tcPr>
            <w:tcW w:w="1651" w:type="dxa"/>
            <w:vAlign w:val="center"/>
          </w:tcPr>
          <w:p w14:paraId="445154B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w:t>
            </w:r>
          </w:p>
        </w:tc>
        <w:tc>
          <w:tcPr>
            <w:tcW w:w="1701" w:type="dxa"/>
            <w:vAlign w:val="center"/>
          </w:tcPr>
          <w:p w14:paraId="7F2BC5A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36%</w:t>
            </w:r>
          </w:p>
        </w:tc>
        <w:tc>
          <w:tcPr>
            <w:tcW w:w="1560" w:type="dxa"/>
            <w:vAlign w:val="center"/>
          </w:tcPr>
          <w:p w14:paraId="4D4B457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1417" w:type="dxa"/>
            <w:vAlign w:val="center"/>
          </w:tcPr>
          <w:p w14:paraId="5BB54C0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5532D2A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0300C6">
              <w:rPr>
                <w:rFonts w:cstheme="minorHAnsi"/>
                <w:b/>
                <w:sz w:val="16"/>
                <w:szCs w:val="16"/>
              </w:rPr>
              <w:t>0.05</w:t>
            </w:r>
          </w:p>
        </w:tc>
      </w:tr>
      <w:tr w:rsidR="00540E79" w:rsidRPr="000300C6" w14:paraId="3F88D588"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0E7246B9"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Aspirin</w:t>
            </w:r>
          </w:p>
        </w:tc>
        <w:tc>
          <w:tcPr>
            <w:tcW w:w="1651" w:type="dxa"/>
            <w:vAlign w:val="center"/>
          </w:tcPr>
          <w:p w14:paraId="510FE0A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w:t>
            </w:r>
          </w:p>
        </w:tc>
        <w:tc>
          <w:tcPr>
            <w:tcW w:w="1701" w:type="dxa"/>
            <w:vAlign w:val="center"/>
          </w:tcPr>
          <w:p w14:paraId="692B32E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57%</w:t>
            </w:r>
          </w:p>
        </w:tc>
        <w:tc>
          <w:tcPr>
            <w:tcW w:w="1560" w:type="dxa"/>
            <w:vAlign w:val="center"/>
          </w:tcPr>
          <w:p w14:paraId="394C8A8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w:t>
            </w:r>
          </w:p>
        </w:tc>
        <w:tc>
          <w:tcPr>
            <w:tcW w:w="1417" w:type="dxa"/>
            <w:vAlign w:val="center"/>
          </w:tcPr>
          <w:p w14:paraId="486B493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56E58E1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0.12</w:t>
            </w:r>
          </w:p>
        </w:tc>
      </w:tr>
      <w:tr w:rsidR="00540E79" w:rsidRPr="000300C6" w14:paraId="5B9F0180"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bottom w:val="double" w:sz="4" w:space="0" w:color="auto"/>
            </w:tcBorders>
            <w:vAlign w:val="center"/>
          </w:tcPr>
          <w:p w14:paraId="7F749FB0" w14:textId="77777777" w:rsidR="00540E79" w:rsidRPr="000300C6" w:rsidRDefault="00540E79" w:rsidP="00540E79">
            <w:pPr>
              <w:spacing w:after="0"/>
              <w:rPr>
                <w:rFonts w:cstheme="minorHAnsi"/>
                <w:sz w:val="16"/>
                <w:szCs w:val="16"/>
              </w:rPr>
            </w:pPr>
            <w:r w:rsidRPr="000300C6">
              <w:rPr>
                <w:rFonts w:eastAsia="Times New Roman" w:cstheme="minorHAnsi"/>
                <w:color w:val="000000"/>
                <w:sz w:val="16"/>
                <w:szCs w:val="16"/>
                <w:lang w:eastAsia="en-GB"/>
              </w:rPr>
              <w:t>Warfarin</w:t>
            </w:r>
          </w:p>
        </w:tc>
        <w:tc>
          <w:tcPr>
            <w:tcW w:w="1651" w:type="dxa"/>
            <w:tcBorders>
              <w:bottom w:val="double" w:sz="4" w:space="0" w:color="auto"/>
            </w:tcBorders>
            <w:vAlign w:val="center"/>
          </w:tcPr>
          <w:p w14:paraId="381F289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701" w:type="dxa"/>
            <w:tcBorders>
              <w:bottom w:val="double" w:sz="4" w:space="0" w:color="auto"/>
            </w:tcBorders>
            <w:vAlign w:val="center"/>
          </w:tcPr>
          <w:p w14:paraId="1E65C45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60" w:type="dxa"/>
            <w:tcBorders>
              <w:bottom w:val="double" w:sz="4" w:space="0" w:color="auto"/>
            </w:tcBorders>
            <w:vAlign w:val="center"/>
          </w:tcPr>
          <w:p w14:paraId="4128EA2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tcBorders>
              <w:bottom w:val="double" w:sz="4" w:space="0" w:color="auto"/>
            </w:tcBorders>
            <w:vAlign w:val="center"/>
          </w:tcPr>
          <w:p w14:paraId="59ABEA1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tcBorders>
              <w:bottom w:val="double" w:sz="4" w:space="0" w:color="auto"/>
            </w:tcBorders>
            <w:vAlign w:val="center"/>
          </w:tcPr>
          <w:p w14:paraId="3340E50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0.25</w:t>
            </w:r>
          </w:p>
        </w:tc>
      </w:tr>
      <w:tr w:rsidR="00540E79" w:rsidRPr="000300C6" w14:paraId="4DCE7ABF" w14:textId="77777777" w:rsidTr="0028637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0" w:type="dxa"/>
            <w:gridSpan w:val="6"/>
            <w:tcBorders>
              <w:top w:val="double" w:sz="4" w:space="0" w:color="auto"/>
              <w:bottom w:val="single" w:sz="4" w:space="0" w:color="auto"/>
            </w:tcBorders>
            <w:vAlign w:val="center"/>
          </w:tcPr>
          <w:p w14:paraId="7E098208" w14:textId="77777777" w:rsidR="00540E79" w:rsidRPr="000300C6" w:rsidRDefault="00540E79" w:rsidP="00540E79">
            <w:pPr>
              <w:spacing w:after="0"/>
              <w:jc w:val="center"/>
              <w:rPr>
                <w:rFonts w:cstheme="minorHAnsi"/>
              </w:rPr>
            </w:pPr>
            <w:r w:rsidRPr="000300C6">
              <w:rPr>
                <w:rFonts w:cstheme="minorHAnsi"/>
              </w:rPr>
              <w:t>CRO (historic)</w:t>
            </w:r>
          </w:p>
        </w:tc>
      </w:tr>
      <w:tr w:rsidR="00540E79" w:rsidRPr="000300C6" w14:paraId="0582C33F"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double" w:sz="4" w:space="0" w:color="auto"/>
            </w:tcBorders>
            <w:vAlign w:val="center"/>
          </w:tcPr>
          <w:p w14:paraId="0547C563"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symptom group</w:t>
            </w:r>
          </w:p>
        </w:tc>
        <w:tc>
          <w:tcPr>
            <w:tcW w:w="1651" w:type="dxa"/>
            <w:tcBorders>
              <w:top w:val="single" w:sz="4" w:space="0" w:color="auto"/>
              <w:bottom w:val="double" w:sz="4" w:space="0" w:color="auto"/>
            </w:tcBorders>
            <w:vAlign w:val="center"/>
          </w:tcPr>
          <w:p w14:paraId="2D6C0BD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Grade 0</w:t>
            </w:r>
          </w:p>
          <w:p w14:paraId="250EABF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n=33</w:t>
            </w:r>
          </w:p>
          <w:p w14:paraId="3EE713E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701" w:type="dxa"/>
            <w:tcBorders>
              <w:top w:val="single" w:sz="4" w:space="0" w:color="auto"/>
              <w:bottom w:val="double" w:sz="4" w:space="0" w:color="auto"/>
            </w:tcBorders>
            <w:vAlign w:val="center"/>
          </w:tcPr>
          <w:p w14:paraId="41F3F04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Grade 1</w:t>
            </w:r>
          </w:p>
          <w:p w14:paraId="46554EF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n=28</w:t>
            </w:r>
          </w:p>
          <w:p w14:paraId="51C474D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560" w:type="dxa"/>
            <w:tcBorders>
              <w:top w:val="single" w:sz="4" w:space="0" w:color="auto"/>
              <w:bottom w:val="double" w:sz="4" w:space="0" w:color="auto"/>
            </w:tcBorders>
            <w:vAlign w:val="center"/>
          </w:tcPr>
          <w:p w14:paraId="78C40F2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Grade 2</w:t>
            </w:r>
          </w:p>
          <w:p w14:paraId="14867FA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n=20</w:t>
            </w:r>
          </w:p>
          <w:p w14:paraId="06DCB2F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300C6">
              <w:rPr>
                <w:rFonts w:cstheme="minorHAnsi"/>
                <w:b/>
                <w:i/>
                <w:sz w:val="16"/>
                <w:szCs w:val="16"/>
              </w:rPr>
              <w:t>(Mean (SD) or %)</w:t>
            </w:r>
          </w:p>
        </w:tc>
        <w:tc>
          <w:tcPr>
            <w:tcW w:w="1417" w:type="dxa"/>
            <w:tcBorders>
              <w:top w:val="single" w:sz="4" w:space="0" w:color="auto"/>
              <w:bottom w:val="double" w:sz="4" w:space="0" w:color="auto"/>
            </w:tcBorders>
            <w:vAlign w:val="center"/>
          </w:tcPr>
          <w:p w14:paraId="5BCB750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Grade 3</w:t>
            </w:r>
          </w:p>
          <w:p w14:paraId="275503E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n=5</w:t>
            </w:r>
          </w:p>
          <w:p w14:paraId="0382980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 w:val="16"/>
                <w:szCs w:val="16"/>
              </w:rPr>
            </w:pPr>
            <w:r w:rsidRPr="000300C6">
              <w:rPr>
                <w:rFonts w:cstheme="minorHAnsi"/>
                <w:b/>
                <w:i/>
                <w:sz w:val="16"/>
                <w:szCs w:val="16"/>
              </w:rPr>
              <w:t>(Mean (SD) or %)</w:t>
            </w:r>
          </w:p>
        </w:tc>
        <w:tc>
          <w:tcPr>
            <w:tcW w:w="1417" w:type="dxa"/>
            <w:gridSpan w:val="2"/>
            <w:tcBorders>
              <w:top w:val="single" w:sz="4" w:space="0" w:color="auto"/>
              <w:bottom w:val="double" w:sz="4" w:space="0" w:color="auto"/>
            </w:tcBorders>
            <w:vAlign w:val="center"/>
          </w:tcPr>
          <w:p w14:paraId="440EC40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b/>
                <w:i/>
                <w:sz w:val="16"/>
                <w:szCs w:val="16"/>
              </w:rPr>
              <w:t>p-value</w:t>
            </w:r>
          </w:p>
        </w:tc>
      </w:tr>
      <w:tr w:rsidR="00540E79" w:rsidRPr="000300C6" w14:paraId="25A1DFC0"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double" w:sz="4" w:space="0" w:color="auto"/>
            </w:tcBorders>
            <w:vAlign w:val="center"/>
          </w:tcPr>
          <w:p w14:paraId="0488E9A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Age</w:t>
            </w:r>
          </w:p>
        </w:tc>
        <w:tc>
          <w:tcPr>
            <w:tcW w:w="1651" w:type="dxa"/>
            <w:tcBorders>
              <w:top w:val="double" w:sz="4" w:space="0" w:color="auto"/>
            </w:tcBorders>
            <w:vAlign w:val="center"/>
          </w:tcPr>
          <w:p w14:paraId="13798EF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74 (7)</w:t>
            </w:r>
          </w:p>
        </w:tc>
        <w:tc>
          <w:tcPr>
            <w:tcW w:w="1701" w:type="dxa"/>
            <w:tcBorders>
              <w:top w:val="double" w:sz="4" w:space="0" w:color="auto"/>
            </w:tcBorders>
            <w:vAlign w:val="center"/>
          </w:tcPr>
          <w:p w14:paraId="396EF3B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(7)</w:t>
            </w:r>
          </w:p>
        </w:tc>
        <w:tc>
          <w:tcPr>
            <w:tcW w:w="1560" w:type="dxa"/>
            <w:tcBorders>
              <w:top w:val="double" w:sz="4" w:space="0" w:color="auto"/>
            </w:tcBorders>
            <w:vAlign w:val="center"/>
          </w:tcPr>
          <w:p w14:paraId="7087DC9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(7)</w:t>
            </w:r>
          </w:p>
        </w:tc>
        <w:tc>
          <w:tcPr>
            <w:tcW w:w="1417" w:type="dxa"/>
            <w:tcBorders>
              <w:top w:val="double" w:sz="4" w:space="0" w:color="auto"/>
            </w:tcBorders>
            <w:vAlign w:val="center"/>
          </w:tcPr>
          <w:p w14:paraId="2725658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(7)</w:t>
            </w:r>
          </w:p>
        </w:tc>
        <w:tc>
          <w:tcPr>
            <w:tcW w:w="1417" w:type="dxa"/>
            <w:gridSpan w:val="2"/>
            <w:tcBorders>
              <w:top w:val="double" w:sz="4" w:space="0" w:color="auto"/>
            </w:tcBorders>
            <w:vAlign w:val="center"/>
          </w:tcPr>
          <w:p w14:paraId="60B5484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0.92</w:t>
            </w:r>
          </w:p>
        </w:tc>
      </w:tr>
      <w:tr w:rsidR="00540E79" w:rsidRPr="000300C6" w14:paraId="07ADCFC8"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E117F13"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Presenting PSA</w:t>
            </w:r>
          </w:p>
        </w:tc>
        <w:tc>
          <w:tcPr>
            <w:tcW w:w="1651" w:type="dxa"/>
            <w:vAlign w:val="center"/>
          </w:tcPr>
          <w:p w14:paraId="1044C9D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(30)</w:t>
            </w:r>
          </w:p>
        </w:tc>
        <w:tc>
          <w:tcPr>
            <w:tcW w:w="1701" w:type="dxa"/>
            <w:vAlign w:val="center"/>
          </w:tcPr>
          <w:p w14:paraId="39FFA04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(16)</w:t>
            </w:r>
          </w:p>
        </w:tc>
        <w:tc>
          <w:tcPr>
            <w:tcW w:w="1560" w:type="dxa"/>
            <w:vAlign w:val="center"/>
          </w:tcPr>
          <w:p w14:paraId="1EB3E07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(29)</w:t>
            </w:r>
          </w:p>
        </w:tc>
        <w:tc>
          <w:tcPr>
            <w:tcW w:w="1417" w:type="dxa"/>
            <w:vAlign w:val="center"/>
          </w:tcPr>
          <w:p w14:paraId="75B6081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44 (56)</w:t>
            </w:r>
          </w:p>
        </w:tc>
        <w:tc>
          <w:tcPr>
            <w:tcW w:w="1417" w:type="dxa"/>
            <w:gridSpan w:val="2"/>
            <w:vAlign w:val="center"/>
          </w:tcPr>
          <w:p w14:paraId="63607D2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0.92</w:t>
            </w:r>
          </w:p>
        </w:tc>
      </w:tr>
      <w:tr w:rsidR="00540E79" w:rsidRPr="000300C6" w14:paraId="155A3DAB"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3208EF3E" w14:textId="77777777" w:rsidR="00540E79" w:rsidRPr="000300C6" w:rsidRDefault="00540E79" w:rsidP="00540E79">
            <w:pPr>
              <w:spacing w:after="0"/>
              <w:rPr>
                <w:rFonts w:eastAsia="Times New Roman" w:cstheme="minorHAnsi"/>
                <w:color w:val="000000"/>
                <w:sz w:val="16"/>
                <w:szCs w:val="16"/>
                <w:lang w:eastAsia="en-GB"/>
              </w:rPr>
            </w:pPr>
            <w:r w:rsidRPr="000300C6">
              <w:rPr>
                <w:rFonts w:cstheme="minorHAnsi"/>
                <w:sz w:val="16"/>
                <w:szCs w:val="16"/>
              </w:rPr>
              <w:t>Recurrent PCa</w:t>
            </w:r>
          </w:p>
        </w:tc>
        <w:tc>
          <w:tcPr>
            <w:tcW w:w="1651" w:type="dxa"/>
            <w:vAlign w:val="center"/>
          </w:tcPr>
          <w:p w14:paraId="1BCEF13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9%</w:t>
            </w:r>
          </w:p>
        </w:tc>
        <w:tc>
          <w:tcPr>
            <w:tcW w:w="1701" w:type="dxa"/>
            <w:vAlign w:val="center"/>
          </w:tcPr>
          <w:p w14:paraId="6D08C70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560" w:type="dxa"/>
            <w:vAlign w:val="center"/>
          </w:tcPr>
          <w:p w14:paraId="04C982D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vAlign w:val="center"/>
          </w:tcPr>
          <w:p w14:paraId="41AE07D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gridSpan w:val="2"/>
            <w:vAlign w:val="center"/>
          </w:tcPr>
          <w:p w14:paraId="4C70903C"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0.65</w:t>
            </w:r>
          </w:p>
        </w:tc>
      </w:tr>
      <w:tr w:rsidR="00540E79" w:rsidRPr="000300C6" w14:paraId="0D11522C"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41FC83DD"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On ADT</w:t>
            </w:r>
          </w:p>
        </w:tc>
        <w:tc>
          <w:tcPr>
            <w:tcW w:w="1651" w:type="dxa"/>
            <w:vAlign w:val="center"/>
          </w:tcPr>
          <w:p w14:paraId="0F5B9EB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12%</w:t>
            </w:r>
          </w:p>
        </w:tc>
        <w:tc>
          <w:tcPr>
            <w:tcW w:w="1701" w:type="dxa"/>
            <w:vAlign w:val="center"/>
          </w:tcPr>
          <w:p w14:paraId="48E4756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w:t>
            </w:r>
          </w:p>
        </w:tc>
        <w:tc>
          <w:tcPr>
            <w:tcW w:w="1560" w:type="dxa"/>
            <w:vAlign w:val="center"/>
          </w:tcPr>
          <w:p w14:paraId="7F78964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15%</w:t>
            </w:r>
          </w:p>
        </w:tc>
        <w:tc>
          <w:tcPr>
            <w:tcW w:w="1417" w:type="dxa"/>
            <w:vAlign w:val="center"/>
          </w:tcPr>
          <w:p w14:paraId="5029316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57590493"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0.70</w:t>
            </w:r>
          </w:p>
        </w:tc>
      </w:tr>
      <w:tr w:rsidR="00540E79" w:rsidRPr="000300C6" w14:paraId="4D279BA5"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6C8A227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Testosterone recovery to normal</w:t>
            </w:r>
          </w:p>
        </w:tc>
        <w:tc>
          <w:tcPr>
            <w:tcW w:w="1651" w:type="dxa"/>
            <w:vAlign w:val="center"/>
          </w:tcPr>
          <w:p w14:paraId="0A5A4B0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58%</w:t>
            </w:r>
          </w:p>
        </w:tc>
        <w:tc>
          <w:tcPr>
            <w:tcW w:w="1701" w:type="dxa"/>
            <w:vAlign w:val="center"/>
          </w:tcPr>
          <w:p w14:paraId="44FD7D7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46%</w:t>
            </w:r>
          </w:p>
        </w:tc>
        <w:tc>
          <w:tcPr>
            <w:tcW w:w="1560" w:type="dxa"/>
            <w:vAlign w:val="center"/>
          </w:tcPr>
          <w:p w14:paraId="4BC45A3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65%</w:t>
            </w:r>
          </w:p>
        </w:tc>
        <w:tc>
          <w:tcPr>
            <w:tcW w:w="1417" w:type="dxa"/>
            <w:vAlign w:val="center"/>
          </w:tcPr>
          <w:p w14:paraId="46C4B03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40%</w:t>
            </w:r>
          </w:p>
        </w:tc>
        <w:tc>
          <w:tcPr>
            <w:tcW w:w="1417" w:type="dxa"/>
            <w:gridSpan w:val="2"/>
            <w:vAlign w:val="center"/>
          </w:tcPr>
          <w:p w14:paraId="02A9F4F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0.54</w:t>
            </w:r>
          </w:p>
        </w:tc>
      </w:tr>
      <w:tr w:rsidR="00540E79" w:rsidRPr="000300C6" w14:paraId="248C2656"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38AE2B6"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BMI</w:t>
            </w:r>
          </w:p>
        </w:tc>
        <w:tc>
          <w:tcPr>
            <w:tcW w:w="1651" w:type="dxa"/>
            <w:vAlign w:val="center"/>
          </w:tcPr>
          <w:p w14:paraId="02281B77"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28 (4)</w:t>
            </w:r>
          </w:p>
        </w:tc>
        <w:tc>
          <w:tcPr>
            <w:tcW w:w="1701" w:type="dxa"/>
            <w:vAlign w:val="center"/>
          </w:tcPr>
          <w:p w14:paraId="57B2524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(7)</w:t>
            </w:r>
          </w:p>
        </w:tc>
        <w:tc>
          <w:tcPr>
            <w:tcW w:w="1560" w:type="dxa"/>
            <w:vAlign w:val="center"/>
          </w:tcPr>
          <w:p w14:paraId="6F0C95B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26 (3)</w:t>
            </w:r>
          </w:p>
        </w:tc>
        <w:tc>
          <w:tcPr>
            <w:tcW w:w="1417" w:type="dxa"/>
            <w:vAlign w:val="center"/>
          </w:tcPr>
          <w:p w14:paraId="50D959D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(6)</w:t>
            </w:r>
          </w:p>
        </w:tc>
        <w:tc>
          <w:tcPr>
            <w:tcW w:w="1417" w:type="dxa"/>
            <w:gridSpan w:val="2"/>
            <w:vAlign w:val="center"/>
          </w:tcPr>
          <w:p w14:paraId="3D5943D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0.41</w:t>
            </w:r>
          </w:p>
        </w:tc>
      </w:tr>
      <w:tr w:rsidR="00540E79" w:rsidRPr="000300C6" w14:paraId="3F67F69E"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2FA7708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Smoking status (NS/ES/S)</w:t>
            </w:r>
          </w:p>
        </w:tc>
        <w:tc>
          <w:tcPr>
            <w:tcW w:w="1651" w:type="dxa"/>
            <w:vAlign w:val="center"/>
          </w:tcPr>
          <w:p w14:paraId="4595E41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39%/49%/12%</w:t>
            </w:r>
          </w:p>
        </w:tc>
        <w:tc>
          <w:tcPr>
            <w:tcW w:w="1701" w:type="dxa"/>
            <w:vAlign w:val="center"/>
          </w:tcPr>
          <w:p w14:paraId="225BD41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43%/50%/7%</w:t>
            </w:r>
          </w:p>
        </w:tc>
        <w:tc>
          <w:tcPr>
            <w:tcW w:w="1560" w:type="dxa"/>
            <w:vAlign w:val="center"/>
          </w:tcPr>
          <w:p w14:paraId="37E3733B"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50%/25%/25%</w:t>
            </w:r>
          </w:p>
        </w:tc>
        <w:tc>
          <w:tcPr>
            <w:tcW w:w="1417" w:type="dxa"/>
            <w:vAlign w:val="center"/>
          </w:tcPr>
          <w:p w14:paraId="2BC87D3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40%/40%/20%</w:t>
            </w:r>
          </w:p>
        </w:tc>
        <w:tc>
          <w:tcPr>
            <w:tcW w:w="1417" w:type="dxa"/>
            <w:gridSpan w:val="2"/>
            <w:vAlign w:val="center"/>
          </w:tcPr>
          <w:p w14:paraId="45789E9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0.97</w:t>
            </w:r>
          </w:p>
        </w:tc>
      </w:tr>
      <w:tr w:rsidR="00540E79" w:rsidRPr="000300C6" w14:paraId="4A97563C"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126CF25A"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Pack/year</w:t>
            </w:r>
          </w:p>
        </w:tc>
        <w:tc>
          <w:tcPr>
            <w:tcW w:w="1651" w:type="dxa"/>
            <w:vAlign w:val="center"/>
          </w:tcPr>
          <w:p w14:paraId="789A303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 (23)</w:t>
            </w:r>
          </w:p>
        </w:tc>
        <w:tc>
          <w:tcPr>
            <w:tcW w:w="1701" w:type="dxa"/>
            <w:vAlign w:val="center"/>
          </w:tcPr>
          <w:p w14:paraId="4E37F5A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 (24)</w:t>
            </w:r>
          </w:p>
        </w:tc>
        <w:tc>
          <w:tcPr>
            <w:tcW w:w="1560" w:type="dxa"/>
            <w:vAlign w:val="center"/>
          </w:tcPr>
          <w:p w14:paraId="53D73146"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12 (16)</w:t>
            </w:r>
          </w:p>
        </w:tc>
        <w:tc>
          <w:tcPr>
            <w:tcW w:w="1417" w:type="dxa"/>
            <w:vAlign w:val="center"/>
          </w:tcPr>
          <w:p w14:paraId="018A3A1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23 (35)</w:t>
            </w:r>
          </w:p>
        </w:tc>
        <w:tc>
          <w:tcPr>
            <w:tcW w:w="1417" w:type="dxa"/>
            <w:gridSpan w:val="2"/>
            <w:vAlign w:val="center"/>
          </w:tcPr>
          <w:p w14:paraId="2EE2B71B"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0.86</w:t>
            </w:r>
          </w:p>
        </w:tc>
      </w:tr>
      <w:tr w:rsidR="00540E79" w:rsidRPr="000300C6" w14:paraId="47CFC9E0"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2AD40F75"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Previous abdominal surgery</w:t>
            </w:r>
          </w:p>
        </w:tc>
        <w:tc>
          <w:tcPr>
            <w:tcW w:w="1651" w:type="dxa"/>
            <w:vAlign w:val="center"/>
          </w:tcPr>
          <w:p w14:paraId="2461BA9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52%</w:t>
            </w:r>
          </w:p>
        </w:tc>
        <w:tc>
          <w:tcPr>
            <w:tcW w:w="1701" w:type="dxa"/>
            <w:vAlign w:val="center"/>
          </w:tcPr>
          <w:p w14:paraId="544030CF"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36%</w:t>
            </w:r>
          </w:p>
        </w:tc>
        <w:tc>
          <w:tcPr>
            <w:tcW w:w="1560" w:type="dxa"/>
            <w:vAlign w:val="center"/>
          </w:tcPr>
          <w:p w14:paraId="3D9D5C0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45%</w:t>
            </w:r>
          </w:p>
        </w:tc>
        <w:tc>
          <w:tcPr>
            <w:tcW w:w="1417" w:type="dxa"/>
            <w:vAlign w:val="center"/>
          </w:tcPr>
          <w:p w14:paraId="58DF4DE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60%</w:t>
            </w:r>
          </w:p>
        </w:tc>
        <w:tc>
          <w:tcPr>
            <w:tcW w:w="1417" w:type="dxa"/>
            <w:gridSpan w:val="2"/>
            <w:vAlign w:val="center"/>
          </w:tcPr>
          <w:p w14:paraId="09BD8CD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0.58</w:t>
            </w:r>
          </w:p>
        </w:tc>
      </w:tr>
      <w:tr w:rsidR="00540E79" w:rsidRPr="000300C6" w14:paraId="05D25A01"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98066B4"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Diabetes</w:t>
            </w:r>
          </w:p>
        </w:tc>
        <w:tc>
          <w:tcPr>
            <w:tcW w:w="1651" w:type="dxa"/>
            <w:vAlign w:val="center"/>
          </w:tcPr>
          <w:p w14:paraId="1DF0B01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18%</w:t>
            </w:r>
          </w:p>
        </w:tc>
        <w:tc>
          <w:tcPr>
            <w:tcW w:w="1701" w:type="dxa"/>
            <w:vAlign w:val="center"/>
          </w:tcPr>
          <w:p w14:paraId="359FBAF2"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18%</w:t>
            </w:r>
          </w:p>
        </w:tc>
        <w:tc>
          <w:tcPr>
            <w:tcW w:w="1560" w:type="dxa"/>
            <w:vAlign w:val="center"/>
          </w:tcPr>
          <w:p w14:paraId="4BD39AE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vAlign w:val="center"/>
          </w:tcPr>
          <w:p w14:paraId="0FEB34B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4D530AC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0.77</w:t>
            </w:r>
          </w:p>
        </w:tc>
      </w:tr>
      <w:tr w:rsidR="00540E79" w:rsidRPr="000300C6" w14:paraId="261FEC4B"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71D391AE"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Statins</w:t>
            </w:r>
          </w:p>
        </w:tc>
        <w:tc>
          <w:tcPr>
            <w:tcW w:w="1651" w:type="dxa"/>
            <w:vAlign w:val="center"/>
          </w:tcPr>
          <w:p w14:paraId="5C88BEB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45%</w:t>
            </w:r>
          </w:p>
        </w:tc>
        <w:tc>
          <w:tcPr>
            <w:tcW w:w="1701" w:type="dxa"/>
            <w:vAlign w:val="center"/>
          </w:tcPr>
          <w:p w14:paraId="0508572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54%</w:t>
            </w:r>
          </w:p>
        </w:tc>
        <w:tc>
          <w:tcPr>
            <w:tcW w:w="1560" w:type="dxa"/>
            <w:vAlign w:val="center"/>
          </w:tcPr>
          <w:p w14:paraId="2C045E9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55%</w:t>
            </w:r>
          </w:p>
        </w:tc>
        <w:tc>
          <w:tcPr>
            <w:tcW w:w="1417" w:type="dxa"/>
            <w:vAlign w:val="center"/>
          </w:tcPr>
          <w:p w14:paraId="3EAE990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60%</w:t>
            </w:r>
          </w:p>
        </w:tc>
        <w:tc>
          <w:tcPr>
            <w:tcW w:w="1417" w:type="dxa"/>
            <w:gridSpan w:val="2"/>
            <w:vAlign w:val="center"/>
          </w:tcPr>
          <w:p w14:paraId="4B30B1C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0.86</w:t>
            </w:r>
          </w:p>
        </w:tc>
      </w:tr>
      <w:tr w:rsidR="00540E79" w:rsidRPr="000300C6" w14:paraId="22D27B1A"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31B8AF0C"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Other metabolic disease</w:t>
            </w:r>
          </w:p>
        </w:tc>
        <w:tc>
          <w:tcPr>
            <w:tcW w:w="1651" w:type="dxa"/>
            <w:vAlign w:val="center"/>
          </w:tcPr>
          <w:p w14:paraId="152022DF"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701" w:type="dxa"/>
            <w:vAlign w:val="center"/>
          </w:tcPr>
          <w:p w14:paraId="0CE691BE"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60" w:type="dxa"/>
            <w:vAlign w:val="center"/>
          </w:tcPr>
          <w:p w14:paraId="0471D98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vAlign w:val="center"/>
          </w:tcPr>
          <w:p w14:paraId="1EB1D52D"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gridSpan w:val="2"/>
            <w:vAlign w:val="center"/>
          </w:tcPr>
          <w:p w14:paraId="274BD26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0.10</w:t>
            </w:r>
          </w:p>
        </w:tc>
      </w:tr>
      <w:tr w:rsidR="00540E79" w:rsidRPr="000300C6" w14:paraId="7557FF46"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7FC96032"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IBS</w:t>
            </w:r>
          </w:p>
        </w:tc>
        <w:tc>
          <w:tcPr>
            <w:tcW w:w="1651" w:type="dxa"/>
            <w:vAlign w:val="center"/>
          </w:tcPr>
          <w:p w14:paraId="6B7C508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w:t>
            </w:r>
          </w:p>
        </w:tc>
        <w:tc>
          <w:tcPr>
            <w:tcW w:w="1701" w:type="dxa"/>
            <w:vAlign w:val="center"/>
          </w:tcPr>
          <w:p w14:paraId="1B2945E6"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60" w:type="dxa"/>
            <w:vAlign w:val="center"/>
          </w:tcPr>
          <w:p w14:paraId="196B44B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w:t>
            </w:r>
          </w:p>
        </w:tc>
        <w:tc>
          <w:tcPr>
            <w:tcW w:w="1417" w:type="dxa"/>
            <w:vAlign w:val="center"/>
          </w:tcPr>
          <w:p w14:paraId="43384194"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gridSpan w:val="2"/>
            <w:vAlign w:val="center"/>
          </w:tcPr>
          <w:p w14:paraId="60389278"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0.16</w:t>
            </w:r>
          </w:p>
        </w:tc>
      </w:tr>
      <w:tr w:rsidR="00540E79" w:rsidRPr="000300C6" w14:paraId="6E1FF9CC"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AB9319D"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Antihypertensives</w:t>
            </w:r>
          </w:p>
        </w:tc>
        <w:tc>
          <w:tcPr>
            <w:tcW w:w="1651" w:type="dxa"/>
            <w:vAlign w:val="center"/>
          </w:tcPr>
          <w:p w14:paraId="5DB138AA"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52%</w:t>
            </w:r>
          </w:p>
        </w:tc>
        <w:tc>
          <w:tcPr>
            <w:tcW w:w="1701" w:type="dxa"/>
            <w:vAlign w:val="center"/>
          </w:tcPr>
          <w:p w14:paraId="72D7A96C"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61%</w:t>
            </w:r>
          </w:p>
        </w:tc>
        <w:tc>
          <w:tcPr>
            <w:tcW w:w="1560" w:type="dxa"/>
            <w:vAlign w:val="center"/>
          </w:tcPr>
          <w:p w14:paraId="568B8201"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55%</w:t>
            </w:r>
          </w:p>
        </w:tc>
        <w:tc>
          <w:tcPr>
            <w:tcW w:w="1417" w:type="dxa"/>
            <w:vAlign w:val="center"/>
          </w:tcPr>
          <w:p w14:paraId="41073E40"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80%</w:t>
            </w:r>
          </w:p>
        </w:tc>
        <w:tc>
          <w:tcPr>
            <w:tcW w:w="1417" w:type="dxa"/>
            <w:gridSpan w:val="2"/>
            <w:vAlign w:val="center"/>
          </w:tcPr>
          <w:p w14:paraId="4DEBE794"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0.65</w:t>
            </w:r>
          </w:p>
        </w:tc>
      </w:tr>
      <w:tr w:rsidR="00540E79" w:rsidRPr="000300C6" w14:paraId="159A478E"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BBEE990"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Metformin</w:t>
            </w:r>
          </w:p>
        </w:tc>
        <w:tc>
          <w:tcPr>
            <w:tcW w:w="1651" w:type="dxa"/>
            <w:vAlign w:val="center"/>
          </w:tcPr>
          <w:p w14:paraId="46132D3A"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12%</w:t>
            </w:r>
          </w:p>
        </w:tc>
        <w:tc>
          <w:tcPr>
            <w:tcW w:w="1701" w:type="dxa"/>
            <w:vAlign w:val="center"/>
          </w:tcPr>
          <w:p w14:paraId="68BAE3D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18%</w:t>
            </w:r>
          </w:p>
        </w:tc>
        <w:tc>
          <w:tcPr>
            <w:tcW w:w="1560" w:type="dxa"/>
            <w:vAlign w:val="center"/>
          </w:tcPr>
          <w:p w14:paraId="64C35372"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15%</w:t>
            </w:r>
          </w:p>
        </w:tc>
        <w:tc>
          <w:tcPr>
            <w:tcW w:w="1417" w:type="dxa"/>
            <w:vAlign w:val="center"/>
          </w:tcPr>
          <w:p w14:paraId="346519ED"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25A066F3"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0.74</w:t>
            </w:r>
          </w:p>
        </w:tc>
      </w:tr>
      <w:tr w:rsidR="00540E79" w:rsidRPr="000300C6" w14:paraId="444DEDB6"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5AB7CCCE"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Aspirin</w:t>
            </w:r>
          </w:p>
        </w:tc>
        <w:tc>
          <w:tcPr>
            <w:tcW w:w="1651" w:type="dxa"/>
            <w:vAlign w:val="center"/>
          </w:tcPr>
          <w:p w14:paraId="5838D9D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w:t>
            </w:r>
          </w:p>
        </w:tc>
        <w:tc>
          <w:tcPr>
            <w:tcW w:w="1701" w:type="dxa"/>
            <w:vAlign w:val="center"/>
          </w:tcPr>
          <w:p w14:paraId="180A199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39%</w:t>
            </w:r>
          </w:p>
        </w:tc>
        <w:tc>
          <w:tcPr>
            <w:tcW w:w="1560" w:type="dxa"/>
            <w:vAlign w:val="center"/>
          </w:tcPr>
          <w:p w14:paraId="5684CC29"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35%</w:t>
            </w:r>
          </w:p>
        </w:tc>
        <w:tc>
          <w:tcPr>
            <w:tcW w:w="1417" w:type="dxa"/>
            <w:vAlign w:val="center"/>
          </w:tcPr>
          <w:p w14:paraId="3F9928F8"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417" w:type="dxa"/>
            <w:gridSpan w:val="2"/>
            <w:vAlign w:val="center"/>
          </w:tcPr>
          <w:p w14:paraId="71C59765" w14:textId="77777777" w:rsidR="00540E79" w:rsidRPr="000300C6" w:rsidRDefault="00540E79" w:rsidP="00540E79">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0.33</w:t>
            </w:r>
          </w:p>
        </w:tc>
      </w:tr>
      <w:tr w:rsidR="00540E79" w:rsidRPr="000300C6" w14:paraId="584C33B1"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7CA527DF" w14:textId="77777777" w:rsidR="00540E79" w:rsidRPr="000300C6" w:rsidRDefault="00540E79" w:rsidP="00540E79">
            <w:pPr>
              <w:spacing w:after="0"/>
              <w:rPr>
                <w:rFonts w:eastAsia="Times New Roman" w:cstheme="minorHAnsi"/>
                <w:color w:val="000000"/>
                <w:sz w:val="16"/>
                <w:szCs w:val="16"/>
                <w:lang w:eastAsia="en-GB"/>
              </w:rPr>
            </w:pPr>
            <w:r w:rsidRPr="000300C6">
              <w:rPr>
                <w:rFonts w:eastAsia="Times New Roman" w:cstheme="minorHAnsi"/>
                <w:color w:val="000000"/>
                <w:sz w:val="16"/>
                <w:szCs w:val="16"/>
                <w:lang w:eastAsia="en-GB"/>
              </w:rPr>
              <w:t>Warfarin</w:t>
            </w:r>
          </w:p>
        </w:tc>
        <w:tc>
          <w:tcPr>
            <w:tcW w:w="1651" w:type="dxa"/>
            <w:vAlign w:val="center"/>
          </w:tcPr>
          <w:p w14:paraId="66F77E29"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w:t>
            </w:r>
          </w:p>
        </w:tc>
        <w:tc>
          <w:tcPr>
            <w:tcW w:w="1701" w:type="dxa"/>
            <w:vAlign w:val="center"/>
          </w:tcPr>
          <w:p w14:paraId="3FAFD751"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w:t>
            </w:r>
          </w:p>
        </w:tc>
        <w:tc>
          <w:tcPr>
            <w:tcW w:w="1560" w:type="dxa"/>
            <w:vAlign w:val="center"/>
          </w:tcPr>
          <w:p w14:paraId="57E411E5"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10%</w:t>
            </w:r>
          </w:p>
        </w:tc>
        <w:tc>
          <w:tcPr>
            <w:tcW w:w="1417" w:type="dxa"/>
            <w:vAlign w:val="center"/>
          </w:tcPr>
          <w:p w14:paraId="638F655E"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20%</w:t>
            </w:r>
          </w:p>
        </w:tc>
        <w:tc>
          <w:tcPr>
            <w:tcW w:w="1417" w:type="dxa"/>
            <w:gridSpan w:val="2"/>
            <w:vAlign w:val="center"/>
          </w:tcPr>
          <w:p w14:paraId="0F30A590" w14:textId="77777777" w:rsidR="00540E79" w:rsidRPr="000300C6" w:rsidRDefault="00540E79" w:rsidP="00540E79">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0.55</w:t>
            </w:r>
          </w:p>
        </w:tc>
      </w:tr>
    </w:tbl>
    <w:p w14:paraId="04A3B538" w14:textId="77777777" w:rsidR="00540E79" w:rsidRPr="000300C6" w:rsidRDefault="00540E79" w:rsidP="00AD1207">
      <w:pPr>
        <w:spacing w:after="0"/>
        <w:jc w:val="center"/>
        <w:rPr>
          <w:b/>
          <w:sz w:val="18"/>
          <w:szCs w:val="18"/>
        </w:rPr>
      </w:pPr>
    </w:p>
    <w:p w14:paraId="3F547D66" w14:textId="7E67F7D8" w:rsidR="00540E79" w:rsidRPr="000300C6" w:rsidRDefault="00540E79" w:rsidP="00AD1207">
      <w:pPr>
        <w:spacing w:after="0"/>
        <w:jc w:val="center"/>
        <w:rPr>
          <w:b/>
          <w:sz w:val="18"/>
          <w:szCs w:val="18"/>
        </w:rPr>
      </w:pPr>
    </w:p>
    <w:p w14:paraId="759C24E8" w14:textId="0240D9D6" w:rsidR="00540E79" w:rsidRPr="000300C6" w:rsidRDefault="00540E79">
      <w:pPr>
        <w:spacing w:after="160" w:line="259" w:lineRule="auto"/>
        <w:rPr>
          <w:b/>
          <w:sz w:val="18"/>
          <w:szCs w:val="18"/>
        </w:rPr>
      </w:pPr>
      <w:r w:rsidRPr="000300C6">
        <w:rPr>
          <w:b/>
          <w:sz w:val="18"/>
          <w:szCs w:val="18"/>
        </w:rPr>
        <w:br w:type="page"/>
      </w:r>
    </w:p>
    <w:p w14:paraId="726A7A8E" w14:textId="4C03B00C" w:rsidR="00540E79" w:rsidRPr="000300C6" w:rsidRDefault="00540E79" w:rsidP="00540E79">
      <w:pPr>
        <w:spacing w:after="0"/>
        <w:jc w:val="center"/>
        <w:rPr>
          <w:sz w:val="18"/>
          <w:szCs w:val="18"/>
        </w:rPr>
      </w:pPr>
      <w:r w:rsidRPr="000300C6">
        <w:rPr>
          <w:b/>
          <w:sz w:val="18"/>
          <w:szCs w:val="18"/>
        </w:rPr>
        <w:lastRenderedPageBreak/>
        <w:t>Table SUPP-8:</w:t>
      </w:r>
      <w:r w:rsidRPr="000300C6">
        <w:rPr>
          <w:sz w:val="18"/>
          <w:szCs w:val="18"/>
        </w:rPr>
        <w:t xml:space="preserve"> Comorbidity comparisons between CRO-stratified symptom groups in the colonoscopy cohort.</w:t>
      </w:r>
    </w:p>
    <w:tbl>
      <w:tblPr>
        <w:tblStyle w:val="PlainTable4"/>
        <w:tblW w:w="10490" w:type="dxa"/>
        <w:tblInd w:w="-7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3211"/>
        <w:gridCol w:w="3260"/>
        <w:gridCol w:w="1559"/>
      </w:tblGrid>
      <w:tr w:rsidR="00540E79" w:rsidRPr="000300C6" w14:paraId="36E01F80" w14:textId="77777777" w:rsidTr="00286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double" w:sz="4" w:space="0" w:color="auto"/>
            </w:tcBorders>
            <w:vAlign w:val="center"/>
          </w:tcPr>
          <w:p w14:paraId="35278EC1" w14:textId="77777777" w:rsidR="00540E79" w:rsidRPr="000300C6" w:rsidRDefault="00540E79" w:rsidP="00286371">
            <w:pPr>
              <w:spacing w:before="40" w:after="40"/>
              <w:rPr>
                <w:rFonts w:eastAsia="Times New Roman" w:cstheme="minorHAnsi"/>
                <w:i/>
                <w:color w:val="000000"/>
                <w:sz w:val="16"/>
                <w:szCs w:val="16"/>
                <w:lang w:eastAsia="en-GB"/>
              </w:rPr>
            </w:pPr>
            <w:r w:rsidRPr="000300C6">
              <w:rPr>
                <w:rFonts w:cstheme="minorHAnsi"/>
                <w:i/>
                <w:sz w:val="16"/>
                <w:szCs w:val="16"/>
              </w:rPr>
              <w:t xml:space="preserve">↓: Item / </w:t>
            </w:r>
            <w:r w:rsidRPr="000300C6">
              <w:rPr>
                <w:rFonts w:cstheme="minorHAnsi"/>
                <w:bCs w:val="0"/>
                <w:i/>
                <w:sz w:val="16"/>
                <w:szCs w:val="16"/>
              </w:rPr>
              <w:sym w:font="Wingdings" w:char="F0E0"/>
            </w:r>
            <w:r w:rsidRPr="000300C6">
              <w:rPr>
                <w:rFonts w:cstheme="minorHAnsi"/>
                <w:bCs w:val="0"/>
                <w:i/>
                <w:sz w:val="16"/>
                <w:szCs w:val="16"/>
              </w:rPr>
              <w:t>: symptom group</w:t>
            </w:r>
          </w:p>
        </w:tc>
        <w:tc>
          <w:tcPr>
            <w:tcW w:w="3211" w:type="dxa"/>
            <w:tcBorders>
              <w:top w:val="single" w:sz="4" w:space="0" w:color="auto"/>
              <w:bottom w:val="double" w:sz="4" w:space="0" w:color="auto"/>
            </w:tcBorders>
            <w:vAlign w:val="center"/>
          </w:tcPr>
          <w:p w14:paraId="499C5CDA" w14:textId="77777777" w:rsidR="00540E79" w:rsidRPr="000300C6" w:rsidRDefault="00540E79" w:rsidP="0028637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sz w:val="16"/>
                <w:szCs w:val="16"/>
              </w:rPr>
            </w:pPr>
            <w:r w:rsidRPr="000300C6">
              <w:rPr>
                <w:rFonts w:cstheme="minorHAnsi"/>
                <w:i/>
                <w:sz w:val="16"/>
                <w:szCs w:val="16"/>
              </w:rPr>
              <w:t>Cases</w:t>
            </w:r>
          </w:p>
          <w:p w14:paraId="0EA2EFC4" w14:textId="77777777" w:rsidR="00540E79" w:rsidRPr="000300C6" w:rsidRDefault="00540E79" w:rsidP="00286371">
            <w:pPr>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300C6">
              <w:rPr>
                <w:rFonts w:cstheme="minorHAnsi"/>
                <w:i/>
                <w:sz w:val="16"/>
                <w:szCs w:val="16"/>
              </w:rPr>
              <w:t>n=9</w:t>
            </w:r>
          </w:p>
          <w:p w14:paraId="1BD4DA24" w14:textId="77777777" w:rsidR="00540E79" w:rsidRPr="000300C6" w:rsidRDefault="00540E79" w:rsidP="0028637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sz w:val="16"/>
                <w:szCs w:val="16"/>
                <w:lang w:eastAsia="en-GB"/>
              </w:rPr>
            </w:pPr>
            <w:r w:rsidRPr="000300C6">
              <w:rPr>
                <w:rFonts w:cstheme="minorHAnsi"/>
                <w:i/>
                <w:sz w:val="16"/>
                <w:szCs w:val="16"/>
              </w:rPr>
              <w:t>(Mean (SD) or %)</w:t>
            </w:r>
          </w:p>
        </w:tc>
        <w:tc>
          <w:tcPr>
            <w:tcW w:w="3260" w:type="dxa"/>
            <w:tcBorders>
              <w:top w:val="single" w:sz="4" w:space="0" w:color="auto"/>
              <w:bottom w:val="double" w:sz="4" w:space="0" w:color="auto"/>
            </w:tcBorders>
            <w:vAlign w:val="center"/>
          </w:tcPr>
          <w:p w14:paraId="4FC169CC" w14:textId="77777777" w:rsidR="00540E79" w:rsidRPr="000300C6" w:rsidRDefault="00540E79" w:rsidP="0028637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sz w:val="16"/>
                <w:szCs w:val="16"/>
              </w:rPr>
            </w:pPr>
            <w:r w:rsidRPr="000300C6">
              <w:rPr>
                <w:rFonts w:cstheme="minorHAnsi"/>
                <w:i/>
                <w:sz w:val="16"/>
                <w:szCs w:val="16"/>
              </w:rPr>
              <w:t>Controls</w:t>
            </w:r>
          </w:p>
          <w:p w14:paraId="4A04A554" w14:textId="77777777" w:rsidR="00540E79" w:rsidRPr="000300C6" w:rsidRDefault="00540E79" w:rsidP="00286371">
            <w:pPr>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0300C6">
              <w:rPr>
                <w:rFonts w:cstheme="minorHAnsi"/>
                <w:i/>
                <w:sz w:val="16"/>
                <w:szCs w:val="16"/>
              </w:rPr>
              <w:t>n=6</w:t>
            </w:r>
          </w:p>
          <w:p w14:paraId="2F4768C6" w14:textId="77777777" w:rsidR="00540E79" w:rsidRPr="000300C6" w:rsidRDefault="00540E79" w:rsidP="00286371">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sz w:val="16"/>
                <w:szCs w:val="16"/>
                <w:lang w:eastAsia="en-GB"/>
              </w:rPr>
            </w:pPr>
            <w:r w:rsidRPr="000300C6">
              <w:rPr>
                <w:rFonts w:cstheme="minorHAnsi"/>
                <w:i/>
                <w:sz w:val="16"/>
                <w:szCs w:val="16"/>
              </w:rPr>
              <w:t>(Mean (SD) or %)</w:t>
            </w:r>
          </w:p>
        </w:tc>
        <w:tc>
          <w:tcPr>
            <w:tcW w:w="1559" w:type="dxa"/>
            <w:tcBorders>
              <w:top w:val="single" w:sz="4" w:space="0" w:color="auto"/>
              <w:bottom w:val="double" w:sz="4" w:space="0" w:color="auto"/>
            </w:tcBorders>
            <w:vAlign w:val="center"/>
          </w:tcPr>
          <w:p w14:paraId="618B44ED" w14:textId="77777777" w:rsidR="00540E79" w:rsidRPr="000300C6" w:rsidRDefault="00540E79" w:rsidP="00286371">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 w:val="0"/>
                <w:i/>
                <w:sz w:val="16"/>
                <w:szCs w:val="16"/>
              </w:rPr>
            </w:pPr>
            <w:r w:rsidRPr="000300C6">
              <w:rPr>
                <w:rFonts w:cstheme="minorHAnsi"/>
                <w:i/>
                <w:sz w:val="16"/>
                <w:szCs w:val="16"/>
              </w:rPr>
              <w:t>p-value</w:t>
            </w:r>
          </w:p>
        </w:tc>
      </w:tr>
      <w:tr w:rsidR="00540E79" w:rsidRPr="000300C6" w14:paraId="09661E43"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double" w:sz="4" w:space="0" w:color="auto"/>
            </w:tcBorders>
            <w:vAlign w:val="center"/>
          </w:tcPr>
          <w:p w14:paraId="4F253E73"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Age</w:t>
            </w:r>
          </w:p>
        </w:tc>
        <w:tc>
          <w:tcPr>
            <w:tcW w:w="3211" w:type="dxa"/>
            <w:tcBorders>
              <w:top w:val="double" w:sz="4" w:space="0" w:color="auto"/>
            </w:tcBorders>
            <w:vAlign w:val="center"/>
          </w:tcPr>
          <w:p w14:paraId="62D9B085"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62 (13)</w:t>
            </w:r>
          </w:p>
        </w:tc>
        <w:tc>
          <w:tcPr>
            <w:tcW w:w="3260" w:type="dxa"/>
            <w:tcBorders>
              <w:top w:val="double" w:sz="4" w:space="0" w:color="auto"/>
            </w:tcBorders>
            <w:vAlign w:val="center"/>
          </w:tcPr>
          <w:p w14:paraId="5455C9FD"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73 (4)</w:t>
            </w:r>
          </w:p>
        </w:tc>
        <w:tc>
          <w:tcPr>
            <w:tcW w:w="1559" w:type="dxa"/>
            <w:tcBorders>
              <w:top w:val="double" w:sz="4" w:space="0" w:color="auto"/>
            </w:tcBorders>
            <w:vAlign w:val="center"/>
          </w:tcPr>
          <w:p w14:paraId="7A32C96C"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0.04</w:t>
            </w:r>
          </w:p>
        </w:tc>
      </w:tr>
      <w:tr w:rsidR="00540E79" w:rsidRPr="000300C6" w14:paraId="04031BB4"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2DA3A4B7"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BMI</w:t>
            </w:r>
          </w:p>
        </w:tc>
        <w:tc>
          <w:tcPr>
            <w:tcW w:w="3211" w:type="dxa"/>
            <w:vAlign w:val="center"/>
          </w:tcPr>
          <w:p w14:paraId="79F2D90B"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24 (2)</w:t>
            </w:r>
          </w:p>
        </w:tc>
        <w:tc>
          <w:tcPr>
            <w:tcW w:w="3260" w:type="dxa"/>
            <w:vAlign w:val="center"/>
          </w:tcPr>
          <w:p w14:paraId="747D6FA8"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27 (4)</w:t>
            </w:r>
          </w:p>
        </w:tc>
        <w:tc>
          <w:tcPr>
            <w:tcW w:w="1559" w:type="dxa"/>
            <w:vAlign w:val="center"/>
          </w:tcPr>
          <w:p w14:paraId="0B317932"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0.10</w:t>
            </w:r>
          </w:p>
        </w:tc>
      </w:tr>
      <w:tr w:rsidR="00540E79" w:rsidRPr="000300C6" w14:paraId="01D2C23D"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064A8623"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Smoking status (NS/ES/S)</w:t>
            </w:r>
          </w:p>
        </w:tc>
        <w:tc>
          <w:tcPr>
            <w:tcW w:w="3211" w:type="dxa"/>
            <w:vAlign w:val="center"/>
          </w:tcPr>
          <w:p w14:paraId="7408939A"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17%/83%/0%</w:t>
            </w:r>
          </w:p>
        </w:tc>
        <w:tc>
          <w:tcPr>
            <w:tcW w:w="3260" w:type="dxa"/>
            <w:vAlign w:val="center"/>
          </w:tcPr>
          <w:p w14:paraId="08135F34"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44%/44%/11%</w:t>
            </w:r>
          </w:p>
        </w:tc>
        <w:tc>
          <w:tcPr>
            <w:tcW w:w="1559" w:type="dxa"/>
            <w:vAlign w:val="center"/>
          </w:tcPr>
          <w:p w14:paraId="6A3802DD"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0.50</w:t>
            </w:r>
          </w:p>
        </w:tc>
      </w:tr>
      <w:tr w:rsidR="00540E79" w:rsidRPr="000300C6" w14:paraId="065349B1"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D724B7F"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Pack/year</w:t>
            </w:r>
          </w:p>
        </w:tc>
        <w:tc>
          <w:tcPr>
            <w:tcW w:w="3211" w:type="dxa"/>
            <w:vAlign w:val="center"/>
          </w:tcPr>
          <w:p w14:paraId="74C6F67E"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13 (11)</w:t>
            </w:r>
          </w:p>
        </w:tc>
        <w:tc>
          <w:tcPr>
            <w:tcW w:w="3260" w:type="dxa"/>
            <w:vAlign w:val="center"/>
          </w:tcPr>
          <w:p w14:paraId="0FEB28D4"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19 (22)</w:t>
            </w:r>
          </w:p>
        </w:tc>
        <w:tc>
          <w:tcPr>
            <w:tcW w:w="1559" w:type="dxa"/>
            <w:vAlign w:val="center"/>
          </w:tcPr>
          <w:p w14:paraId="4B89F39A"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0.95</w:t>
            </w:r>
          </w:p>
        </w:tc>
      </w:tr>
      <w:tr w:rsidR="00540E79" w:rsidRPr="000300C6" w14:paraId="24385A23"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443ED09C"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Previous abdominal surgery</w:t>
            </w:r>
          </w:p>
        </w:tc>
        <w:tc>
          <w:tcPr>
            <w:tcW w:w="3211" w:type="dxa"/>
            <w:vAlign w:val="center"/>
          </w:tcPr>
          <w:p w14:paraId="38D5CB30"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50%</w:t>
            </w:r>
          </w:p>
        </w:tc>
        <w:tc>
          <w:tcPr>
            <w:tcW w:w="3260" w:type="dxa"/>
            <w:vAlign w:val="center"/>
          </w:tcPr>
          <w:p w14:paraId="7CE0B418"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67%</w:t>
            </w:r>
          </w:p>
        </w:tc>
        <w:tc>
          <w:tcPr>
            <w:tcW w:w="1559" w:type="dxa"/>
            <w:vAlign w:val="center"/>
          </w:tcPr>
          <w:p w14:paraId="5369FDBF"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0.53</w:t>
            </w:r>
          </w:p>
        </w:tc>
      </w:tr>
      <w:tr w:rsidR="00540E79" w:rsidRPr="000300C6" w14:paraId="3FF942CE"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20E6AAB6"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Diabetes</w:t>
            </w:r>
          </w:p>
        </w:tc>
        <w:tc>
          <w:tcPr>
            <w:tcW w:w="3211" w:type="dxa"/>
            <w:vAlign w:val="center"/>
          </w:tcPr>
          <w:p w14:paraId="4C2FD239"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3260" w:type="dxa"/>
            <w:vAlign w:val="center"/>
          </w:tcPr>
          <w:p w14:paraId="61A0A0D5"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59" w:type="dxa"/>
            <w:vAlign w:val="center"/>
          </w:tcPr>
          <w:p w14:paraId="6A46FA32"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7BC9F5D4"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5884AF3A"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Statins</w:t>
            </w:r>
          </w:p>
        </w:tc>
        <w:tc>
          <w:tcPr>
            <w:tcW w:w="3211" w:type="dxa"/>
            <w:vAlign w:val="center"/>
          </w:tcPr>
          <w:p w14:paraId="75432E77"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33%</w:t>
            </w:r>
          </w:p>
        </w:tc>
        <w:tc>
          <w:tcPr>
            <w:tcW w:w="3260" w:type="dxa"/>
            <w:vAlign w:val="center"/>
          </w:tcPr>
          <w:p w14:paraId="2D5A88BD"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44%</w:t>
            </w:r>
          </w:p>
        </w:tc>
        <w:tc>
          <w:tcPr>
            <w:tcW w:w="1559" w:type="dxa"/>
            <w:vAlign w:val="center"/>
          </w:tcPr>
          <w:p w14:paraId="053C77BB"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0.68</w:t>
            </w:r>
          </w:p>
        </w:tc>
      </w:tr>
      <w:tr w:rsidR="00540E79" w:rsidRPr="000300C6" w14:paraId="72119DA2"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0DE8CF5D"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Other metabolic disease</w:t>
            </w:r>
          </w:p>
        </w:tc>
        <w:tc>
          <w:tcPr>
            <w:tcW w:w="3211" w:type="dxa"/>
            <w:vAlign w:val="center"/>
          </w:tcPr>
          <w:p w14:paraId="3767D450"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3260" w:type="dxa"/>
            <w:vAlign w:val="center"/>
          </w:tcPr>
          <w:p w14:paraId="2548DD60"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59" w:type="dxa"/>
            <w:vAlign w:val="center"/>
          </w:tcPr>
          <w:p w14:paraId="77617D52"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148AB4C3"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28D950F4"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IBS</w:t>
            </w:r>
          </w:p>
        </w:tc>
        <w:tc>
          <w:tcPr>
            <w:tcW w:w="3211" w:type="dxa"/>
            <w:vAlign w:val="center"/>
          </w:tcPr>
          <w:p w14:paraId="34037948"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33%</w:t>
            </w:r>
          </w:p>
        </w:tc>
        <w:tc>
          <w:tcPr>
            <w:tcW w:w="3260" w:type="dxa"/>
            <w:vAlign w:val="center"/>
          </w:tcPr>
          <w:p w14:paraId="0450946E"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22%</w:t>
            </w:r>
          </w:p>
        </w:tc>
        <w:tc>
          <w:tcPr>
            <w:tcW w:w="1559" w:type="dxa"/>
            <w:vAlign w:val="center"/>
          </w:tcPr>
          <w:p w14:paraId="225AE833"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0.65</w:t>
            </w:r>
          </w:p>
        </w:tc>
      </w:tr>
      <w:tr w:rsidR="00540E79" w:rsidRPr="000300C6" w14:paraId="08280452" w14:textId="77777777" w:rsidTr="00286371">
        <w:tc>
          <w:tcPr>
            <w:cnfStyle w:val="001000000000" w:firstRow="0" w:lastRow="0" w:firstColumn="1" w:lastColumn="0" w:oddVBand="0" w:evenVBand="0" w:oddHBand="0" w:evenHBand="0" w:firstRowFirstColumn="0" w:firstRowLastColumn="0" w:lastRowFirstColumn="0" w:lastRowLastColumn="0"/>
            <w:tcW w:w="2460" w:type="dxa"/>
            <w:vAlign w:val="center"/>
          </w:tcPr>
          <w:p w14:paraId="69566333"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Antihypertensives</w:t>
            </w:r>
          </w:p>
        </w:tc>
        <w:tc>
          <w:tcPr>
            <w:tcW w:w="3211" w:type="dxa"/>
            <w:vAlign w:val="center"/>
          </w:tcPr>
          <w:p w14:paraId="3228980F"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17%</w:t>
            </w:r>
          </w:p>
        </w:tc>
        <w:tc>
          <w:tcPr>
            <w:tcW w:w="3260" w:type="dxa"/>
            <w:vAlign w:val="center"/>
          </w:tcPr>
          <w:p w14:paraId="5A5E4CF1"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78%</w:t>
            </w:r>
          </w:p>
        </w:tc>
        <w:tc>
          <w:tcPr>
            <w:tcW w:w="1559" w:type="dxa"/>
            <w:vAlign w:val="center"/>
          </w:tcPr>
          <w:p w14:paraId="6EBA9D0E"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0300C6">
              <w:rPr>
                <w:rFonts w:cstheme="minorHAnsi"/>
                <w:b/>
                <w:sz w:val="16"/>
                <w:szCs w:val="16"/>
              </w:rPr>
              <w:t>0.02</w:t>
            </w:r>
          </w:p>
        </w:tc>
      </w:tr>
      <w:tr w:rsidR="00540E79" w:rsidRPr="000300C6" w14:paraId="6648D09A"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vAlign w:val="center"/>
          </w:tcPr>
          <w:p w14:paraId="023A765D"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Metformin</w:t>
            </w:r>
          </w:p>
        </w:tc>
        <w:tc>
          <w:tcPr>
            <w:tcW w:w="3211" w:type="dxa"/>
            <w:vAlign w:val="center"/>
          </w:tcPr>
          <w:p w14:paraId="17DB8695"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3260" w:type="dxa"/>
            <w:vAlign w:val="center"/>
          </w:tcPr>
          <w:p w14:paraId="5BC6CFD5"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1559" w:type="dxa"/>
            <w:vAlign w:val="center"/>
          </w:tcPr>
          <w:p w14:paraId="751FF6B7"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NA</w:t>
            </w:r>
          </w:p>
        </w:tc>
      </w:tr>
      <w:tr w:rsidR="00540E79" w:rsidRPr="000300C6" w14:paraId="1A5A715E" w14:textId="77777777" w:rsidTr="00286371">
        <w:tc>
          <w:tcPr>
            <w:cnfStyle w:val="001000000000" w:firstRow="0" w:lastRow="0" w:firstColumn="1" w:lastColumn="0" w:oddVBand="0" w:evenVBand="0" w:oddHBand="0" w:evenHBand="0" w:firstRowFirstColumn="0" w:firstRowLastColumn="0" w:lastRowFirstColumn="0" w:lastRowLastColumn="0"/>
            <w:tcW w:w="2460" w:type="dxa"/>
            <w:tcBorders>
              <w:bottom w:val="nil"/>
            </w:tcBorders>
            <w:vAlign w:val="center"/>
          </w:tcPr>
          <w:p w14:paraId="1277832F"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Aspirin</w:t>
            </w:r>
          </w:p>
        </w:tc>
        <w:tc>
          <w:tcPr>
            <w:tcW w:w="3211" w:type="dxa"/>
            <w:tcBorders>
              <w:bottom w:val="nil"/>
            </w:tcBorders>
            <w:vAlign w:val="center"/>
          </w:tcPr>
          <w:p w14:paraId="0DF05062"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3260" w:type="dxa"/>
            <w:tcBorders>
              <w:bottom w:val="nil"/>
            </w:tcBorders>
            <w:vAlign w:val="center"/>
          </w:tcPr>
          <w:p w14:paraId="57487CD1"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33%</w:t>
            </w:r>
          </w:p>
        </w:tc>
        <w:tc>
          <w:tcPr>
            <w:tcW w:w="1559" w:type="dxa"/>
            <w:tcBorders>
              <w:bottom w:val="nil"/>
            </w:tcBorders>
            <w:vAlign w:val="center"/>
          </w:tcPr>
          <w:p w14:paraId="12E94721" w14:textId="77777777" w:rsidR="00540E79" w:rsidRPr="000300C6" w:rsidRDefault="00540E79" w:rsidP="00286371">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00C6">
              <w:rPr>
                <w:rFonts w:cstheme="minorHAnsi"/>
                <w:sz w:val="16"/>
                <w:szCs w:val="16"/>
              </w:rPr>
              <w:t>0.13</w:t>
            </w:r>
          </w:p>
        </w:tc>
      </w:tr>
      <w:tr w:rsidR="00540E79" w:rsidRPr="000300C6" w14:paraId="3A5A9A20" w14:textId="77777777" w:rsidTr="00286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Borders>
              <w:top w:val="nil"/>
              <w:bottom w:val="single" w:sz="4" w:space="0" w:color="auto"/>
            </w:tcBorders>
            <w:vAlign w:val="center"/>
          </w:tcPr>
          <w:p w14:paraId="1ABBD55A" w14:textId="77777777" w:rsidR="00540E79" w:rsidRPr="000300C6" w:rsidRDefault="00540E79" w:rsidP="00286371">
            <w:pPr>
              <w:spacing w:before="40" w:after="40"/>
              <w:rPr>
                <w:rFonts w:cstheme="minorHAnsi"/>
                <w:sz w:val="16"/>
                <w:szCs w:val="16"/>
              </w:rPr>
            </w:pPr>
            <w:r w:rsidRPr="000300C6">
              <w:rPr>
                <w:rFonts w:eastAsia="Times New Roman" w:cstheme="minorHAnsi"/>
                <w:color w:val="000000"/>
                <w:sz w:val="16"/>
                <w:szCs w:val="16"/>
                <w:lang w:eastAsia="en-GB"/>
              </w:rPr>
              <w:t>Warfarin</w:t>
            </w:r>
          </w:p>
        </w:tc>
        <w:tc>
          <w:tcPr>
            <w:tcW w:w="3211" w:type="dxa"/>
            <w:tcBorders>
              <w:top w:val="nil"/>
              <w:bottom w:val="single" w:sz="4" w:space="0" w:color="auto"/>
            </w:tcBorders>
            <w:vAlign w:val="center"/>
          </w:tcPr>
          <w:p w14:paraId="32F4ABFF"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0%</w:t>
            </w:r>
          </w:p>
        </w:tc>
        <w:tc>
          <w:tcPr>
            <w:tcW w:w="3260" w:type="dxa"/>
            <w:tcBorders>
              <w:top w:val="nil"/>
              <w:bottom w:val="single" w:sz="4" w:space="0" w:color="auto"/>
            </w:tcBorders>
            <w:vAlign w:val="center"/>
          </w:tcPr>
          <w:p w14:paraId="6F77285B"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eastAsia="Times New Roman" w:cstheme="minorHAnsi"/>
                <w:sz w:val="16"/>
                <w:szCs w:val="16"/>
                <w:lang w:eastAsia="en-GB"/>
              </w:rPr>
              <w:t>11%</w:t>
            </w:r>
          </w:p>
        </w:tc>
        <w:tc>
          <w:tcPr>
            <w:tcW w:w="1559" w:type="dxa"/>
            <w:tcBorders>
              <w:top w:val="nil"/>
              <w:bottom w:val="single" w:sz="4" w:space="0" w:color="auto"/>
            </w:tcBorders>
            <w:vAlign w:val="center"/>
          </w:tcPr>
          <w:p w14:paraId="49541947" w14:textId="77777777" w:rsidR="00540E79" w:rsidRPr="000300C6" w:rsidRDefault="00540E79" w:rsidP="00286371">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00C6">
              <w:rPr>
                <w:rFonts w:cstheme="minorHAnsi"/>
                <w:sz w:val="16"/>
                <w:szCs w:val="16"/>
              </w:rPr>
              <w:t>0.41</w:t>
            </w:r>
          </w:p>
        </w:tc>
      </w:tr>
    </w:tbl>
    <w:p w14:paraId="0CF19C78" w14:textId="77777777" w:rsidR="00540E79" w:rsidRPr="000300C6" w:rsidRDefault="00540E79" w:rsidP="00AD1207">
      <w:pPr>
        <w:spacing w:after="0"/>
        <w:jc w:val="center"/>
        <w:rPr>
          <w:b/>
          <w:sz w:val="18"/>
          <w:szCs w:val="18"/>
        </w:rPr>
      </w:pPr>
    </w:p>
    <w:p w14:paraId="18FCB06D" w14:textId="77777777" w:rsidR="00277C1F" w:rsidRPr="000300C6" w:rsidRDefault="00277C1F" w:rsidP="00AD1207">
      <w:pPr>
        <w:spacing w:after="0"/>
        <w:jc w:val="center"/>
        <w:rPr>
          <w:b/>
          <w:sz w:val="18"/>
          <w:szCs w:val="18"/>
        </w:rPr>
      </w:pPr>
    </w:p>
    <w:p w14:paraId="1B8F46C2" w14:textId="1B3CFC91" w:rsidR="00AD1207" w:rsidRPr="000300C6" w:rsidRDefault="00AD1207" w:rsidP="00AD1207">
      <w:pPr>
        <w:spacing w:after="0"/>
        <w:jc w:val="center"/>
        <w:rPr>
          <w:sz w:val="18"/>
          <w:szCs w:val="18"/>
        </w:rPr>
      </w:pPr>
      <w:r w:rsidRPr="000300C6">
        <w:rPr>
          <w:b/>
          <w:sz w:val="18"/>
          <w:szCs w:val="18"/>
        </w:rPr>
        <w:t>Table SUPP-</w:t>
      </w:r>
      <w:r w:rsidR="00277C1F" w:rsidRPr="000300C6">
        <w:rPr>
          <w:b/>
          <w:sz w:val="18"/>
          <w:szCs w:val="18"/>
        </w:rPr>
        <w:t>9</w:t>
      </w:r>
      <w:r w:rsidRPr="000300C6">
        <w:rPr>
          <w:b/>
          <w:sz w:val="18"/>
          <w:szCs w:val="18"/>
        </w:rPr>
        <w:t>:</w:t>
      </w:r>
      <w:r w:rsidRPr="000300C6">
        <w:rPr>
          <w:sz w:val="18"/>
          <w:szCs w:val="18"/>
        </w:rPr>
        <w:t xml:space="preserve"> Results of linear mixed model regression analysis for exploring </w:t>
      </w:r>
    </w:p>
    <w:p w14:paraId="629A50A6" w14:textId="77777777" w:rsidR="00AD1207" w:rsidRPr="000300C6" w:rsidRDefault="00AD1207" w:rsidP="00AD1207">
      <w:pPr>
        <w:spacing w:after="120"/>
        <w:jc w:val="center"/>
        <w:rPr>
          <w:sz w:val="18"/>
          <w:szCs w:val="18"/>
        </w:rPr>
      </w:pPr>
      <w:r w:rsidRPr="000300C6">
        <w:rPr>
          <w:sz w:val="18"/>
          <w:szCs w:val="18"/>
        </w:rPr>
        <w:t>associations between Chao richness and symptom group over time</w:t>
      </w:r>
      <w:r w:rsidRPr="000300C6">
        <w:rPr>
          <w:i/>
          <w:sz w:val="18"/>
          <w:szCs w:val="18"/>
        </w:rPr>
        <w:t>.</w:t>
      </w:r>
    </w:p>
    <w:tbl>
      <w:tblPr>
        <w:tblStyle w:val="PlainTable4"/>
        <w:tblW w:w="9219" w:type="dxa"/>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9"/>
        <w:gridCol w:w="1502"/>
        <w:gridCol w:w="1503"/>
        <w:gridCol w:w="1503"/>
        <w:gridCol w:w="1503"/>
        <w:gridCol w:w="1129"/>
      </w:tblGrid>
      <w:tr w:rsidR="003654B1" w:rsidRPr="000300C6" w14:paraId="6010676F" w14:textId="77777777" w:rsidTr="001D12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9" w:type="dxa"/>
            <w:tcBorders>
              <w:top w:val="single" w:sz="4" w:space="0" w:color="auto"/>
              <w:bottom w:val="single" w:sz="4" w:space="0" w:color="auto"/>
            </w:tcBorders>
            <w:vAlign w:val="center"/>
          </w:tcPr>
          <w:p w14:paraId="304DD94E" w14:textId="77777777" w:rsidR="003654B1" w:rsidRPr="000300C6" w:rsidRDefault="003654B1" w:rsidP="001D121C">
            <w:pPr>
              <w:spacing w:after="0"/>
              <w:rPr>
                <w:sz w:val="16"/>
                <w:szCs w:val="16"/>
              </w:rPr>
            </w:pPr>
            <w:r w:rsidRPr="000300C6">
              <w:rPr>
                <w:sz w:val="16"/>
                <w:szCs w:val="16"/>
              </w:rPr>
              <w:t>Effect</w:t>
            </w:r>
          </w:p>
        </w:tc>
        <w:tc>
          <w:tcPr>
            <w:tcW w:w="1502" w:type="dxa"/>
            <w:tcBorders>
              <w:top w:val="single" w:sz="4" w:space="0" w:color="auto"/>
              <w:bottom w:val="single" w:sz="4" w:space="0" w:color="auto"/>
            </w:tcBorders>
            <w:vAlign w:val="center"/>
          </w:tcPr>
          <w:p w14:paraId="359641BB" w14:textId="77777777" w:rsidR="003654B1" w:rsidRPr="000300C6" w:rsidRDefault="003654B1" w:rsidP="001D121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Estimate</w:t>
            </w:r>
          </w:p>
        </w:tc>
        <w:tc>
          <w:tcPr>
            <w:tcW w:w="1503" w:type="dxa"/>
            <w:tcBorders>
              <w:top w:val="single" w:sz="4" w:space="0" w:color="auto"/>
              <w:bottom w:val="single" w:sz="4" w:space="0" w:color="auto"/>
            </w:tcBorders>
            <w:vAlign w:val="center"/>
          </w:tcPr>
          <w:p w14:paraId="606465D8" w14:textId="77777777" w:rsidR="003654B1" w:rsidRPr="000300C6" w:rsidRDefault="003654B1" w:rsidP="001D121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Standard error</w:t>
            </w:r>
          </w:p>
        </w:tc>
        <w:tc>
          <w:tcPr>
            <w:tcW w:w="1503" w:type="dxa"/>
            <w:tcBorders>
              <w:top w:val="single" w:sz="4" w:space="0" w:color="auto"/>
              <w:bottom w:val="single" w:sz="4" w:space="0" w:color="auto"/>
            </w:tcBorders>
            <w:vAlign w:val="center"/>
          </w:tcPr>
          <w:p w14:paraId="06A3F12E" w14:textId="77777777" w:rsidR="003654B1" w:rsidRPr="000300C6" w:rsidRDefault="003654B1" w:rsidP="001D121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Degrees of freedom</w:t>
            </w:r>
          </w:p>
        </w:tc>
        <w:tc>
          <w:tcPr>
            <w:tcW w:w="1503" w:type="dxa"/>
            <w:tcBorders>
              <w:top w:val="single" w:sz="4" w:space="0" w:color="auto"/>
              <w:bottom w:val="single" w:sz="4" w:space="0" w:color="auto"/>
            </w:tcBorders>
            <w:vAlign w:val="center"/>
          </w:tcPr>
          <w:p w14:paraId="5A681FCA" w14:textId="77777777" w:rsidR="003654B1" w:rsidRPr="000300C6" w:rsidRDefault="003654B1" w:rsidP="001D121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t-value</w:t>
            </w:r>
          </w:p>
        </w:tc>
        <w:tc>
          <w:tcPr>
            <w:tcW w:w="1129" w:type="dxa"/>
            <w:tcBorders>
              <w:top w:val="single" w:sz="4" w:space="0" w:color="auto"/>
              <w:bottom w:val="single" w:sz="4" w:space="0" w:color="auto"/>
            </w:tcBorders>
            <w:vAlign w:val="center"/>
          </w:tcPr>
          <w:p w14:paraId="67987D6B" w14:textId="77777777" w:rsidR="003654B1" w:rsidRPr="000300C6" w:rsidRDefault="003654B1" w:rsidP="001D121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tc>
      </w:tr>
      <w:tr w:rsidR="003654B1" w:rsidRPr="000300C6" w14:paraId="37146852" w14:textId="77777777" w:rsidTr="001D121C">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9219" w:type="dxa"/>
            <w:gridSpan w:val="6"/>
            <w:tcBorders>
              <w:top w:val="single" w:sz="4" w:space="0" w:color="auto"/>
              <w:bottom w:val="single" w:sz="4" w:space="0" w:color="auto"/>
            </w:tcBorders>
            <w:vAlign w:val="center"/>
          </w:tcPr>
          <w:p w14:paraId="705CE6F0" w14:textId="40877E99" w:rsidR="003654B1" w:rsidRPr="000300C6" w:rsidRDefault="00277BA4" w:rsidP="001D121C">
            <w:pPr>
              <w:spacing w:after="0"/>
              <w:jc w:val="center"/>
              <w:rPr>
                <w:sz w:val="16"/>
                <w:szCs w:val="16"/>
              </w:rPr>
            </w:pPr>
            <w:r w:rsidRPr="000300C6">
              <w:rPr>
                <w:sz w:val="16"/>
                <w:szCs w:val="16"/>
              </w:rPr>
              <w:t>PRO-stratified groups</w:t>
            </w:r>
          </w:p>
        </w:tc>
      </w:tr>
      <w:tr w:rsidR="003654B1" w:rsidRPr="000300C6" w14:paraId="248E1CE6" w14:textId="77777777" w:rsidTr="001D121C">
        <w:trPr>
          <w:trHeight w:val="210"/>
          <w:jc w:val="center"/>
        </w:trPr>
        <w:tc>
          <w:tcPr>
            <w:cnfStyle w:val="001000000000" w:firstRow="0" w:lastRow="0" w:firstColumn="1" w:lastColumn="0" w:oddVBand="0" w:evenVBand="0" w:oddHBand="0" w:evenHBand="0" w:firstRowFirstColumn="0" w:firstRowLastColumn="0" w:lastRowFirstColumn="0" w:lastRowLastColumn="0"/>
            <w:tcW w:w="2079" w:type="dxa"/>
            <w:tcBorders>
              <w:top w:val="single" w:sz="4" w:space="0" w:color="auto"/>
              <w:bottom w:val="dotted" w:sz="4" w:space="0" w:color="auto"/>
              <w:right w:val="dotted" w:sz="4" w:space="0" w:color="auto"/>
            </w:tcBorders>
            <w:vAlign w:val="center"/>
          </w:tcPr>
          <w:p w14:paraId="24F2D141" w14:textId="77777777" w:rsidR="003654B1" w:rsidRPr="000300C6" w:rsidRDefault="003654B1" w:rsidP="001D121C">
            <w:pPr>
              <w:spacing w:after="0"/>
              <w:rPr>
                <w:sz w:val="14"/>
                <w:szCs w:val="14"/>
              </w:rPr>
            </w:pPr>
            <w:r w:rsidRPr="000300C6">
              <w:rPr>
                <w:sz w:val="14"/>
                <w:szCs w:val="14"/>
              </w:rPr>
              <w:t>Timepoint</w:t>
            </w:r>
          </w:p>
        </w:tc>
        <w:tc>
          <w:tcPr>
            <w:tcW w:w="1502" w:type="dxa"/>
            <w:tcBorders>
              <w:top w:val="single" w:sz="4" w:space="0" w:color="auto"/>
              <w:left w:val="dotted" w:sz="4" w:space="0" w:color="auto"/>
              <w:bottom w:val="dotted" w:sz="4" w:space="0" w:color="auto"/>
              <w:right w:val="dotted" w:sz="4" w:space="0" w:color="auto"/>
            </w:tcBorders>
            <w:vAlign w:val="center"/>
          </w:tcPr>
          <w:p w14:paraId="12527EB0"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-0.08</w:t>
            </w:r>
          </w:p>
        </w:tc>
        <w:tc>
          <w:tcPr>
            <w:tcW w:w="1503" w:type="dxa"/>
            <w:tcBorders>
              <w:top w:val="single" w:sz="4" w:space="0" w:color="auto"/>
              <w:left w:val="dotted" w:sz="4" w:space="0" w:color="auto"/>
              <w:bottom w:val="dotted" w:sz="4" w:space="0" w:color="auto"/>
              <w:right w:val="dotted" w:sz="4" w:space="0" w:color="auto"/>
            </w:tcBorders>
            <w:vAlign w:val="center"/>
          </w:tcPr>
          <w:p w14:paraId="01D2D1C6"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0.04</w:t>
            </w:r>
          </w:p>
        </w:tc>
        <w:tc>
          <w:tcPr>
            <w:tcW w:w="1503" w:type="dxa"/>
            <w:tcBorders>
              <w:top w:val="single" w:sz="4" w:space="0" w:color="auto"/>
              <w:left w:val="dotted" w:sz="4" w:space="0" w:color="auto"/>
              <w:bottom w:val="dotted" w:sz="4" w:space="0" w:color="auto"/>
              <w:right w:val="dotted" w:sz="4" w:space="0" w:color="auto"/>
            </w:tcBorders>
            <w:vAlign w:val="center"/>
          </w:tcPr>
          <w:p w14:paraId="0FC65660"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97.10</w:t>
            </w:r>
          </w:p>
        </w:tc>
        <w:tc>
          <w:tcPr>
            <w:tcW w:w="1503" w:type="dxa"/>
            <w:tcBorders>
              <w:top w:val="single" w:sz="4" w:space="0" w:color="auto"/>
              <w:left w:val="dotted" w:sz="4" w:space="0" w:color="auto"/>
              <w:bottom w:val="dotted" w:sz="4" w:space="0" w:color="auto"/>
              <w:right w:val="dotted" w:sz="4" w:space="0" w:color="auto"/>
            </w:tcBorders>
            <w:vAlign w:val="center"/>
          </w:tcPr>
          <w:p w14:paraId="46EC5241"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-2.21</w:t>
            </w:r>
          </w:p>
        </w:tc>
        <w:tc>
          <w:tcPr>
            <w:tcW w:w="1129" w:type="dxa"/>
            <w:tcBorders>
              <w:top w:val="single" w:sz="4" w:space="0" w:color="auto"/>
              <w:left w:val="dotted" w:sz="4" w:space="0" w:color="auto"/>
              <w:bottom w:val="dotted" w:sz="4" w:space="0" w:color="auto"/>
            </w:tcBorders>
            <w:vAlign w:val="center"/>
          </w:tcPr>
          <w:p w14:paraId="731C6CFD"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b/>
                <w:sz w:val="14"/>
                <w:szCs w:val="14"/>
              </w:rPr>
            </w:pPr>
            <w:r w:rsidRPr="000300C6">
              <w:rPr>
                <w:b/>
                <w:sz w:val="14"/>
                <w:szCs w:val="14"/>
              </w:rPr>
              <w:t>0.03</w:t>
            </w:r>
          </w:p>
        </w:tc>
      </w:tr>
      <w:tr w:rsidR="003654B1" w:rsidRPr="000300C6" w14:paraId="1C6544FE" w14:textId="77777777" w:rsidTr="001D121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79" w:type="dxa"/>
            <w:tcBorders>
              <w:top w:val="dotted" w:sz="4" w:space="0" w:color="auto"/>
              <w:bottom w:val="dotted" w:sz="4" w:space="0" w:color="auto"/>
              <w:right w:val="dotted" w:sz="4" w:space="0" w:color="auto"/>
            </w:tcBorders>
            <w:vAlign w:val="center"/>
          </w:tcPr>
          <w:p w14:paraId="7AF7681C" w14:textId="3A6E6CA9" w:rsidR="003654B1" w:rsidRPr="000300C6" w:rsidRDefault="003654B1" w:rsidP="001D121C">
            <w:pPr>
              <w:spacing w:after="0"/>
              <w:rPr>
                <w:sz w:val="14"/>
                <w:szCs w:val="14"/>
              </w:rPr>
            </w:pPr>
            <w:r w:rsidRPr="000300C6">
              <w:rPr>
                <w:sz w:val="14"/>
                <w:szCs w:val="14"/>
              </w:rPr>
              <w:t>Symptom group</w:t>
            </w:r>
            <w:r w:rsidR="001D121C" w:rsidRPr="000300C6">
              <w:rPr>
                <w:sz w:val="14"/>
                <w:szCs w:val="14"/>
              </w:rPr>
              <w:t>*</w:t>
            </w:r>
            <w:r w:rsidRPr="000300C6">
              <w:rPr>
                <w:sz w:val="14"/>
                <w:szCs w:val="14"/>
              </w:rPr>
              <w:t xml:space="preserve"> </w:t>
            </w:r>
          </w:p>
        </w:tc>
        <w:tc>
          <w:tcPr>
            <w:tcW w:w="1502" w:type="dxa"/>
            <w:tcBorders>
              <w:top w:val="dotted" w:sz="4" w:space="0" w:color="auto"/>
              <w:left w:val="dotted" w:sz="4" w:space="0" w:color="auto"/>
              <w:bottom w:val="dotted" w:sz="4" w:space="0" w:color="auto"/>
              <w:right w:val="dotted" w:sz="4" w:space="0" w:color="auto"/>
            </w:tcBorders>
            <w:vAlign w:val="center"/>
          </w:tcPr>
          <w:p w14:paraId="00620219"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-0.20</w:t>
            </w:r>
          </w:p>
        </w:tc>
        <w:tc>
          <w:tcPr>
            <w:tcW w:w="1503" w:type="dxa"/>
            <w:tcBorders>
              <w:top w:val="dotted" w:sz="4" w:space="0" w:color="auto"/>
              <w:left w:val="dotted" w:sz="4" w:space="0" w:color="auto"/>
              <w:bottom w:val="dotted" w:sz="4" w:space="0" w:color="auto"/>
              <w:right w:val="dotted" w:sz="4" w:space="0" w:color="auto"/>
            </w:tcBorders>
            <w:vAlign w:val="center"/>
          </w:tcPr>
          <w:p w14:paraId="4AF71960"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0.15</w:t>
            </w:r>
          </w:p>
        </w:tc>
        <w:tc>
          <w:tcPr>
            <w:tcW w:w="1503" w:type="dxa"/>
            <w:tcBorders>
              <w:top w:val="dotted" w:sz="4" w:space="0" w:color="auto"/>
              <w:left w:val="dotted" w:sz="4" w:space="0" w:color="auto"/>
              <w:bottom w:val="dotted" w:sz="4" w:space="0" w:color="auto"/>
              <w:right w:val="dotted" w:sz="4" w:space="0" w:color="auto"/>
            </w:tcBorders>
            <w:vAlign w:val="center"/>
          </w:tcPr>
          <w:p w14:paraId="04955CBC"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33.03</w:t>
            </w:r>
          </w:p>
        </w:tc>
        <w:tc>
          <w:tcPr>
            <w:tcW w:w="1503" w:type="dxa"/>
            <w:tcBorders>
              <w:top w:val="dotted" w:sz="4" w:space="0" w:color="auto"/>
              <w:left w:val="dotted" w:sz="4" w:space="0" w:color="auto"/>
              <w:bottom w:val="dotted" w:sz="4" w:space="0" w:color="auto"/>
              <w:right w:val="dotted" w:sz="4" w:space="0" w:color="auto"/>
            </w:tcBorders>
            <w:vAlign w:val="center"/>
          </w:tcPr>
          <w:p w14:paraId="71134686"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-1.31</w:t>
            </w:r>
          </w:p>
        </w:tc>
        <w:tc>
          <w:tcPr>
            <w:tcW w:w="1129" w:type="dxa"/>
            <w:tcBorders>
              <w:top w:val="dotted" w:sz="4" w:space="0" w:color="auto"/>
              <w:left w:val="dotted" w:sz="4" w:space="0" w:color="auto"/>
              <w:bottom w:val="dotted" w:sz="4" w:space="0" w:color="auto"/>
            </w:tcBorders>
            <w:vAlign w:val="center"/>
          </w:tcPr>
          <w:p w14:paraId="0B8585A8"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0.20</w:t>
            </w:r>
          </w:p>
        </w:tc>
      </w:tr>
      <w:tr w:rsidR="003654B1" w:rsidRPr="000300C6" w14:paraId="3E10D272"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079" w:type="dxa"/>
            <w:tcBorders>
              <w:top w:val="dotted" w:sz="4" w:space="0" w:color="auto"/>
              <w:bottom w:val="single" w:sz="4" w:space="0" w:color="auto"/>
              <w:right w:val="dotted" w:sz="4" w:space="0" w:color="auto"/>
            </w:tcBorders>
            <w:vAlign w:val="center"/>
          </w:tcPr>
          <w:p w14:paraId="74147845" w14:textId="77777777" w:rsidR="003654B1" w:rsidRPr="000300C6" w:rsidRDefault="003654B1" w:rsidP="001D121C">
            <w:pPr>
              <w:spacing w:after="0"/>
              <w:rPr>
                <w:sz w:val="14"/>
                <w:szCs w:val="14"/>
              </w:rPr>
            </w:pPr>
            <w:r w:rsidRPr="000300C6">
              <w:rPr>
                <w:sz w:val="14"/>
                <w:szCs w:val="14"/>
              </w:rPr>
              <w:t>Timepoint by symptom group</w:t>
            </w:r>
          </w:p>
        </w:tc>
        <w:tc>
          <w:tcPr>
            <w:tcW w:w="1502" w:type="dxa"/>
            <w:tcBorders>
              <w:top w:val="dotted" w:sz="4" w:space="0" w:color="auto"/>
              <w:left w:val="dotted" w:sz="4" w:space="0" w:color="auto"/>
              <w:bottom w:val="single" w:sz="4" w:space="0" w:color="auto"/>
              <w:right w:val="dotted" w:sz="4" w:space="0" w:color="auto"/>
            </w:tcBorders>
            <w:vAlign w:val="center"/>
          </w:tcPr>
          <w:p w14:paraId="5056F184"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0.06</w:t>
            </w:r>
          </w:p>
        </w:tc>
        <w:tc>
          <w:tcPr>
            <w:tcW w:w="1503" w:type="dxa"/>
            <w:tcBorders>
              <w:top w:val="dotted" w:sz="4" w:space="0" w:color="auto"/>
              <w:left w:val="dotted" w:sz="4" w:space="0" w:color="auto"/>
              <w:bottom w:val="single" w:sz="4" w:space="0" w:color="auto"/>
              <w:right w:val="dotted" w:sz="4" w:space="0" w:color="auto"/>
            </w:tcBorders>
            <w:vAlign w:val="center"/>
          </w:tcPr>
          <w:p w14:paraId="327C37EF"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503" w:type="dxa"/>
            <w:tcBorders>
              <w:top w:val="dotted" w:sz="4" w:space="0" w:color="auto"/>
              <w:left w:val="dotted" w:sz="4" w:space="0" w:color="auto"/>
              <w:bottom w:val="single" w:sz="4" w:space="0" w:color="auto"/>
              <w:right w:val="dotted" w:sz="4" w:space="0" w:color="auto"/>
            </w:tcBorders>
            <w:vAlign w:val="center"/>
          </w:tcPr>
          <w:p w14:paraId="627AA3A3"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97.21</w:t>
            </w:r>
          </w:p>
        </w:tc>
        <w:tc>
          <w:tcPr>
            <w:tcW w:w="1503" w:type="dxa"/>
            <w:tcBorders>
              <w:top w:val="dotted" w:sz="4" w:space="0" w:color="auto"/>
              <w:left w:val="dotted" w:sz="4" w:space="0" w:color="auto"/>
              <w:bottom w:val="single" w:sz="4" w:space="0" w:color="auto"/>
              <w:right w:val="dotted" w:sz="4" w:space="0" w:color="auto"/>
            </w:tcBorders>
            <w:vAlign w:val="center"/>
          </w:tcPr>
          <w:p w14:paraId="15E49FED"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1.99</w:t>
            </w:r>
          </w:p>
        </w:tc>
        <w:tc>
          <w:tcPr>
            <w:tcW w:w="1129" w:type="dxa"/>
            <w:tcBorders>
              <w:top w:val="dotted" w:sz="4" w:space="0" w:color="auto"/>
              <w:left w:val="dotted" w:sz="4" w:space="0" w:color="auto"/>
              <w:bottom w:val="single" w:sz="4" w:space="0" w:color="auto"/>
            </w:tcBorders>
            <w:vAlign w:val="center"/>
          </w:tcPr>
          <w:p w14:paraId="7ED7F64D"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b/>
                <w:sz w:val="14"/>
                <w:szCs w:val="14"/>
              </w:rPr>
            </w:pPr>
            <w:r w:rsidRPr="000300C6">
              <w:rPr>
                <w:b/>
                <w:sz w:val="14"/>
                <w:szCs w:val="14"/>
              </w:rPr>
              <w:t>0.05</w:t>
            </w:r>
          </w:p>
        </w:tc>
      </w:tr>
      <w:tr w:rsidR="003654B1" w:rsidRPr="000300C6" w14:paraId="3B55FCC9" w14:textId="77777777" w:rsidTr="001D121C">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9219" w:type="dxa"/>
            <w:gridSpan w:val="6"/>
            <w:tcBorders>
              <w:top w:val="single" w:sz="4" w:space="0" w:color="auto"/>
              <w:bottom w:val="single" w:sz="4" w:space="0" w:color="auto"/>
            </w:tcBorders>
            <w:vAlign w:val="center"/>
          </w:tcPr>
          <w:p w14:paraId="26663D9A" w14:textId="222305AE" w:rsidR="003654B1" w:rsidRPr="000300C6" w:rsidRDefault="00277BA4" w:rsidP="001D121C">
            <w:pPr>
              <w:spacing w:after="0"/>
              <w:jc w:val="center"/>
              <w:rPr>
                <w:sz w:val="16"/>
                <w:szCs w:val="16"/>
              </w:rPr>
            </w:pPr>
            <w:r w:rsidRPr="000300C6">
              <w:rPr>
                <w:sz w:val="16"/>
                <w:szCs w:val="16"/>
              </w:rPr>
              <w:t>CRO-stratified groups</w:t>
            </w:r>
          </w:p>
        </w:tc>
      </w:tr>
      <w:tr w:rsidR="003654B1" w:rsidRPr="000300C6" w14:paraId="1F1D1769" w14:textId="77777777" w:rsidTr="001D121C">
        <w:trPr>
          <w:trHeight w:val="70"/>
          <w:jc w:val="center"/>
        </w:trPr>
        <w:tc>
          <w:tcPr>
            <w:cnfStyle w:val="001000000000" w:firstRow="0" w:lastRow="0" w:firstColumn="1" w:lastColumn="0" w:oddVBand="0" w:evenVBand="0" w:oddHBand="0" w:evenHBand="0" w:firstRowFirstColumn="0" w:firstRowLastColumn="0" w:lastRowFirstColumn="0" w:lastRowLastColumn="0"/>
            <w:tcW w:w="2079" w:type="dxa"/>
            <w:tcBorders>
              <w:top w:val="single" w:sz="4" w:space="0" w:color="auto"/>
              <w:bottom w:val="dotted" w:sz="4" w:space="0" w:color="auto"/>
              <w:right w:val="dotted" w:sz="4" w:space="0" w:color="auto"/>
            </w:tcBorders>
            <w:vAlign w:val="center"/>
          </w:tcPr>
          <w:p w14:paraId="6CCF7B91" w14:textId="77777777" w:rsidR="003654B1" w:rsidRPr="000300C6" w:rsidRDefault="003654B1" w:rsidP="001D121C">
            <w:pPr>
              <w:spacing w:after="0"/>
              <w:rPr>
                <w:sz w:val="14"/>
                <w:szCs w:val="14"/>
              </w:rPr>
            </w:pPr>
            <w:r w:rsidRPr="000300C6">
              <w:rPr>
                <w:sz w:val="14"/>
                <w:szCs w:val="14"/>
              </w:rPr>
              <w:t>Timepoint</w:t>
            </w:r>
          </w:p>
        </w:tc>
        <w:tc>
          <w:tcPr>
            <w:tcW w:w="1502" w:type="dxa"/>
            <w:tcBorders>
              <w:top w:val="single" w:sz="4" w:space="0" w:color="auto"/>
              <w:left w:val="dotted" w:sz="4" w:space="0" w:color="auto"/>
              <w:bottom w:val="dotted" w:sz="4" w:space="0" w:color="auto"/>
              <w:right w:val="dotted" w:sz="4" w:space="0" w:color="auto"/>
            </w:tcBorders>
            <w:vAlign w:val="center"/>
          </w:tcPr>
          <w:p w14:paraId="6EC44DA1"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-0.02</w:t>
            </w:r>
          </w:p>
        </w:tc>
        <w:tc>
          <w:tcPr>
            <w:tcW w:w="1503" w:type="dxa"/>
            <w:tcBorders>
              <w:top w:val="single" w:sz="4" w:space="0" w:color="auto"/>
              <w:left w:val="dotted" w:sz="4" w:space="0" w:color="auto"/>
              <w:bottom w:val="dotted" w:sz="4" w:space="0" w:color="auto"/>
              <w:right w:val="dotted" w:sz="4" w:space="0" w:color="auto"/>
            </w:tcBorders>
            <w:vAlign w:val="center"/>
          </w:tcPr>
          <w:p w14:paraId="7BE2FF50"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0.04</w:t>
            </w:r>
          </w:p>
        </w:tc>
        <w:tc>
          <w:tcPr>
            <w:tcW w:w="1503" w:type="dxa"/>
            <w:tcBorders>
              <w:top w:val="single" w:sz="4" w:space="0" w:color="auto"/>
              <w:left w:val="dotted" w:sz="4" w:space="0" w:color="auto"/>
              <w:bottom w:val="dotted" w:sz="4" w:space="0" w:color="auto"/>
              <w:right w:val="dotted" w:sz="4" w:space="0" w:color="auto"/>
            </w:tcBorders>
            <w:vAlign w:val="center"/>
          </w:tcPr>
          <w:p w14:paraId="4E699A92"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88.84</w:t>
            </w:r>
          </w:p>
        </w:tc>
        <w:tc>
          <w:tcPr>
            <w:tcW w:w="1503" w:type="dxa"/>
            <w:tcBorders>
              <w:top w:val="single" w:sz="4" w:space="0" w:color="auto"/>
              <w:left w:val="dotted" w:sz="4" w:space="0" w:color="auto"/>
              <w:bottom w:val="dotted" w:sz="4" w:space="0" w:color="auto"/>
              <w:right w:val="dotted" w:sz="4" w:space="0" w:color="auto"/>
            </w:tcBorders>
            <w:vAlign w:val="center"/>
          </w:tcPr>
          <w:p w14:paraId="445BAC47"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-0.54</w:t>
            </w:r>
          </w:p>
        </w:tc>
        <w:tc>
          <w:tcPr>
            <w:tcW w:w="1129" w:type="dxa"/>
            <w:tcBorders>
              <w:top w:val="single" w:sz="4" w:space="0" w:color="auto"/>
              <w:left w:val="dotted" w:sz="4" w:space="0" w:color="auto"/>
              <w:bottom w:val="dotted" w:sz="4" w:space="0" w:color="auto"/>
            </w:tcBorders>
            <w:vAlign w:val="center"/>
          </w:tcPr>
          <w:p w14:paraId="0BED0673"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0.59</w:t>
            </w:r>
          </w:p>
        </w:tc>
      </w:tr>
      <w:tr w:rsidR="003654B1" w:rsidRPr="000300C6" w14:paraId="0E13F2BD"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9" w:type="dxa"/>
            <w:tcBorders>
              <w:top w:val="dotted" w:sz="4" w:space="0" w:color="auto"/>
              <w:bottom w:val="dotted" w:sz="4" w:space="0" w:color="auto"/>
              <w:right w:val="dotted" w:sz="4" w:space="0" w:color="auto"/>
            </w:tcBorders>
            <w:vAlign w:val="center"/>
          </w:tcPr>
          <w:p w14:paraId="3A17E260" w14:textId="1EF0FEE0" w:rsidR="003654B1" w:rsidRPr="000300C6" w:rsidRDefault="003654B1" w:rsidP="001D121C">
            <w:pPr>
              <w:spacing w:after="0"/>
              <w:rPr>
                <w:sz w:val="14"/>
                <w:szCs w:val="14"/>
              </w:rPr>
            </w:pPr>
            <w:r w:rsidRPr="000300C6">
              <w:rPr>
                <w:sz w:val="14"/>
                <w:szCs w:val="14"/>
              </w:rPr>
              <w:t>Symptom group</w:t>
            </w:r>
            <w:r w:rsidR="001D121C" w:rsidRPr="000300C6">
              <w:rPr>
                <w:sz w:val="14"/>
                <w:szCs w:val="14"/>
              </w:rPr>
              <w:t>*</w:t>
            </w:r>
          </w:p>
        </w:tc>
        <w:tc>
          <w:tcPr>
            <w:tcW w:w="1502" w:type="dxa"/>
            <w:tcBorders>
              <w:top w:val="dotted" w:sz="4" w:space="0" w:color="auto"/>
              <w:left w:val="dotted" w:sz="4" w:space="0" w:color="auto"/>
              <w:bottom w:val="dotted" w:sz="4" w:space="0" w:color="auto"/>
              <w:right w:val="dotted" w:sz="4" w:space="0" w:color="auto"/>
            </w:tcBorders>
            <w:vAlign w:val="center"/>
          </w:tcPr>
          <w:p w14:paraId="41543E70"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-0.05</w:t>
            </w:r>
          </w:p>
        </w:tc>
        <w:tc>
          <w:tcPr>
            <w:tcW w:w="1503" w:type="dxa"/>
            <w:tcBorders>
              <w:top w:val="dotted" w:sz="4" w:space="0" w:color="auto"/>
              <w:left w:val="dotted" w:sz="4" w:space="0" w:color="auto"/>
              <w:bottom w:val="dotted" w:sz="4" w:space="0" w:color="auto"/>
              <w:right w:val="dotted" w:sz="4" w:space="0" w:color="auto"/>
            </w:tcBorders>
            <w:vAlign w:val="center"/>
          </w:tcPr>
          <w:p w14:paraId="57EC260E"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0.13</w:t>
            </w:r>
          </w:p>
        </w:tc>
        <w:tc>
          <w:tcPr>
            <w:tcW w:w="1503" w:type="dxa"/>
            <w:tcBorders>
              <w:top w:val="dotted" w:sz="4" w:space="0" w:color="auto"/>
              <w:left w:val="dotted" w:sz="4" w:space="0" w:color="auto"/>
              <w:bottom w:val="dotted" w:sz="4" w:space="0" w:color="auto"/>
              <w:right w:val="dotted" w:sz="4" w:space="0" w:color="auto"/>
            </w:tcBorders>
            <w:vAlign w:val="center"/>
          </w:tcPr>
          <w:p w14:paraId="197CB8FC"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30.91</w:t>
            </w:r>
          </w:p>
        </w:tc>
        <w:tc>
          <w:tcPr>
            <w:tcW w:w="1503" w:type="dxa"/>
            <w:tcBorders>
              <w:top w:val="dotted" w:sz="4" w:space="0" w:color="auto"/>
              <w:left w:val="dotted" w:sz="4" w:space="0" w:color="auto"/>
              <w:bottom w:val="dotted" w:sz="4" w:space="0" w:color="auto"/>
              <w:right w:val="dotted" w:sz="4" w:space="0" w:color="auto"/>
            </w:tcBorders>
            <w:vAlign w:val="center"/>
          </w:tcPr>
          <w:p w14:paraId="60D1637A"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-0.41</w:t>
            </w:r>
          </w:p>
        </w:tc>
        <w:tc>
          <w:tcPr>
            <w:tcW w:w="1129" w:type="dxa"/>
            <w:tcBorders>
              <w:top w:val="dotted" w:sz="4" w:space="0" w:color="auto"/>
              <w:left w:val="dotted" w:sz="4" w:space="0" w:color="auto"/>
              <w:bottom w:val="dotted" w:sz="4" w:space="0" w:color="auto"/>
            </w:tcBorders>
            <w:vAlign w:val="center"/>
          </w:tcPr>
          <w:p w14:paraId="5BE2278B" w14:textId="77777777" w:rsidR="003654B1" w:rsidRPr="000300C6" w:rsidRDefault="003654B1" w:rsidP="001D121C">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0.69</w:t>
            </w:r>
          </w:p>
        </w:tc>
      </w:tr>
      <w:tr w:rsidR="003654B1" w:rsidRPr="000300C6" w14:paraId="78648864"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079" w:type="dxa"/>
            <w:tcBorders>
              <w:top w:val="dotted" w:sz="4" w:space="0" w:color="auto"/>
              <w:right w:val="dotted" w:sz="4" w:space="0" w:color="auto"/>
            </w:tcBorders>
            <w:vAlign w:val="center"/>
          </w:tcPr>
          <w:p w14:paraId="2E53FE13" w14:textId="77777777" w:rsidR="003654B1" w:rsidRPr="000300C6" w:rsidRDefault="003654B1" w:rsidP="001D121C">
            <w:pPr>
              <w:spacing w:after="0"/>
              <w:rPr>
                <w:sz w:val="14"/>
                <w:szCs w:val="14"/>
              </w:rPr>
            </w:pPr>
            <w:r w:rsidRPr="000300C6">
              <w:rPr>
                <w:sz w:val="14"/>
                <w:szCs w:val="14"/>
              </w:rPr>
              <w:t>Timepoint by symptom group</w:t>
            </w:r>
          </w:p>
        </w:tc>
        <w:tc>
          <w:tcPr>
            <w:tcW w:w="1502" w:type="dxa"/>
            <w:tcBorders>
              <w:top w:val="dotted" w:sz="4" w:space="0" w:color="auto"/>
              <w:left w:val="dotted" w:sz="4" w:space="0" w:color="auto"/>
              <w:bottom w:val="single" w:sz="4" w:space="0" w:color="auto"/>
              <w:right w:val="dotted" w:sz="4" w:space="0" w:color="auto"/>
            </w:tcBorders>
            <w:vAlign w:val="center"/>
          </w:tcPr>
          <w:p w14:paraId="6746E854"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0.003</w:t>
            </w:r>
          </w:p>
        </w:tc>
        <w:tc>
          <w:tcPr>
            <w:tcW w:w="1503" w:type="dxa"/>
            <w:tcBorders>
              <w:top w:val="dotted" w:sz="4" w:space="0" w:color="auto"/>
              <w:left w:val="dotted" w:sz="4" w:space="0" w:color="auto"/>
              <w:bottom w:val="single" w:sz="4" w:space="0" w:color="auto"/>
              <w:right w:val="dotted" w:sz="4" w:space="0" w:color="auto"/>
            </w:tcBorders>
            <w:vAlign w:val="center"/>
          </w:tcPr>
          <w:p w14:paraId="264BDF05"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503" w:type="dxa"/>
            <w:tcBorders>
              <w:top w:val="dotted" w:sz="4" w:space="0" w:color="auto"/>
              <w:left w:val="dotted" w:sz="4" w:space="0" w:color="auto"/>
              <w:bottom w:val="single" w:sz="4" w:space="0" w:color="auto"/>
              <w:right w:val="dotted" w:sz="4" w:space="0" w:color="auto"/>
            </w:tcBorders>
            <w:vAlign w:val="center"/>
          </w:tcPr>
          <w:p w14:paraId="47B78A00"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84.96</w:t>
            </w:r>
          </w:p>
        </w:tc>
        <w:tc>
          <w:tcPr>
            <w:tcW w:w="1503" w:type="dxa"/>
            <w:tcBorders>
              <w:top w:val="dotted" w:sz="4" w:space="0" w:color="auto"/>
              <w:left w:val="dotted" w:sz="4" w:space="0" w:color="auto"/>
              <w:bottom w:val="single" w:sz="4" w:space="0" w:color="auto"/>
              <w:right w:val="dotted" w:sz="4" w:space="0" w:color="auto"/>
            </w:tcBorders>
            <w:vAlign w:val="center"/>
          </w:tcPr>
          <w:p w14:paraId="6735EAE7"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0.13</w:t>
            </w:r>
          </w:p>
        </w:tc>
        <w:tc>
          <w:tcPr>
            <w:tcW w:w="1129" w:type="dxa"/>
            <w:tcBorders>
              <w:top w:val="dotted" w:sz="4" w:space="0" w:color="auto"/>
              <w:left w:val="dotted" w:sz="4" w:space="0" w:color="auto"/>
              <w:bottom w:val="single" w:sz="4" w:space="0" w:color="auto"/>
            </w:tcBorders>
            <w:vAlign w:val="center"/>
          </w:tcPr>
          <w:p w14:paraId="1A819602" w14:textId="77777777" w:rsidR="003654B1" w:rsidRPr="000300C6" w:rsidRDefault="003654B1" w:rsidP="001D121C">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0.90</w:t>
            </w:r>
          </w:p>
        </w:tc>
      </w:tr>
    </w:tbl>
    <w:p w14:paraId="4DEA8EA0" w14:textId="77777777" w:rsidR="001D121C" w:rsidRPr="000300C6" w:rsidRDefault="001D121C" w:rsidP="001D121C">
      <w:pPr>
        <w:spacing w:after="160" w:line="259" w:lineRule="auto"/>
        <w:rPr>
          <w:rFonts w:asciiTheme="minorHAnsi" w:eastAsiaTheme="minorHAnsi" w:hAnsiTheme="minorHAnsi" w:cstheme="minorBidi"/>
          <w:bCs/>
          <w:i/>
          <w:iCs/>
          <w:color w:val="000000" w:themeColor="text1"/>
          <w:sz w:val="14"/>
          <w:szCs w:val="14"/>
          <w:lang w:val="en-GB"/>
        </w:rPr>
      </w:pPr>
      <w:r w:rsidRPr="000300C6">
        <w:rPr>
          <w:rFonts w:asciiTheme="minorHAnsi" w:eastAsiaTheme="minorHAnsi" w:hAnsiTheme="minorHAnsi" w:cstheme="minorBidi"/>
          <w:bCs/>
          <w:i/>
          <w:iCs/>
          <w:color w:val="000000" w:themeColor="text1"/>
          <w:sz w:val="14"/>
          <w:szCs w:val="14"/>
          <w:lang w:val="en-GB"/>
        </w:rPr>
        <w:t>*: Symptom group was coded as 0 = no symptoms at either 4/5 weeks or 6 months; 1 = symptoms at either 4/5 weeks or 6 months; 2 = symptoms at 4/5 weeks and 6 months. Therefore a positive effect indicates rising counts of the feature with rising symptoms.</w:t>
      </w:r>
    </w:p>
    <w:p w14:paraId="343D2C2A" w14:textId="77777777" w:rsidR="00AD1207" w:rsidRPr="000300C6" w:rsidRDefault="00AD1207" w:rsidP="00AD1207">
      <w:pPr>
        <w:jc w:val="center"/>
        <w:rPr>
          <w:sz w:val="18"/>
          <w:szCs w:val="18"/>
          <w:lang w:val="en-GB"/>
        </w:rPr>
      </w:pPr>
    </w:p>
    <w:p w14:paraId="7C5FB3E0" w14:textId="77777777" w:rsidR="00AD1207" w:rsidRPr="000300C6" w:rsidRDefault="00AD1207" w:rsidP="00852525">
      <w:pPr>
        <w:pStyle w:val="Caption"/>
      </w:pPr>
    </w:p>
    <w:p w14:paraId="415B2F49" w14:textId="1D1C11E9" w:rsidR="00DC245E" w:rsidRPr="000300C6" w:rsidRDefault="00852525" w:rsidP="00852525">
      <w:pPr>
        <w:pStyle w:val="Caption"/>
        <w:rPr>
          <w:b w:val="0"/>
        </w:rPr>
      </w:pPr>
      <w:r w:rsidRPr="000300C6">
        <w:t>Table</w:t>
      </w:r>
      <w:r w:rsidRPr="000300C6">
        <w:rPr>
          <w:noProof/>
        </w:rPr>
        <w:t xml:space="preserve"> SUPP-</w:t>
      </w:r>
      <w:r w:rsidR="00277C1F" w:rsidRPr="000300C6">
        <w:rPr>
          <w:noProof/>
        </w:rPr>
        <w:t>10</w:t>
      </w:r>
      <w:r w:rsidRPr="000300C6">
        <w:t xml:space="preserve">: </w:t>
      </w:r>
      <w:r w:rsidRPr="000300C6">
        <w:rPr>
          <w:b w:val="0"/>
        </w:rPr>
        <w:t>Exploration of differences in microbial features between patients</w:t>
      </w:r>
      <w:bookmarkEnd w:id="12"/>
      <w:r w:rsidRPr="000300C6">
        <w:rPr>
          <w:b w:val="0"/>
        </w:rPr>
        <w:t xml:space="preserve"> with </w:t>
      </w:r>
    </w:p>
    <w:p w14:paraId="5499B4C2" w14:textId="74216CE3" w:rsidR="00852525" w:rsidRPr="000300C6" w:rsidRDefault="00852525" w:rsidP="00852525">
      <w:pPr>
        <w:pStyle w:val="Caption"/>
      </w:pPr>
      <w:r w:rsidRPr="000300C6">
        <w:rPr>
          <w:b w:val="0"/>
        </w:rPr>
        <w:t>and without persistent gastrointestinal side-effects</w:t>
      </w:r>
      <w:r w:rsidR="00DC245E" w:rsidRPr="000300C6">
        <w:rPr>
          <w:b w:val="0"/>
        </w:rPr>
        <w:t xml:space="preserve"> in the early cohort</w:t>
      </w:r>
      <w:r w:rsidRPr="000300C6">
        <w:rPr>
          <w:b w:val="0"/>
        </w:rPr>
        <w:t>.</w:t>
      </w:r>
    </w:p>
    <w:tbl>
      <w:tblPr>
        <w:tblStyle w:val="PlainTable4"/>
        <w:tblW w:w="9640" w:type="dxa"/>
        <w:tblInd w:w="-4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5"/>
        <w:gridCol w:w="1446"/>
        <w:gridCol w:w="2971"/>
        <w:gridCol w:w="2442"/>
        <w:gridCol w:w="754"/>
        <w:gridCol w:w="1062"/>
      </w:tblGrid>
      <w:tr w:rsidR="00852525" w:rsidRPr="000300C6" w14:paraId="721D71EA"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single" w:sz="4" w:space="0" w:color="auto"/>
              <w:bottom w:val="single" w:sz="4" w:space="0" w:color="auto"/>
              <w:right w:val="dotted" w:sz="4" w:space="0" w:color="auto"/>
            </w:tcBorders>
          </w:tcPr>
          <w:p w14:paraId="27B85BEE" w14:textId="77777777" w:rsidR="00852525" w:rsidRPr="000300C6" w:rsidRDefault="00852525" w:rsidP="00DC245E">
            <w:pPr>
              <w:spacing w:after="0"/>
              <w:jc w:val="center"/>
              <w:rPr>
                <w:sz w:val="16"/>
                <w:szCs w:val="16"/>
              </w:rPr>
            </w:pPr>
            <w:bookmarkStart w:id="13" w:name="_Hlk500255658"/>
            <w:r w:rsidRPr="000300C6">
              <w:rPr>
                <w:sz w:val="16"/>
                <w:szCs w:val="16"/>
              </w:rPr>
              <w:t>Timepoint</w:t>
            </w:r>
          </w:p>
        </w:tc>
        <w:tc>
          <w:tcPr>
            <w:tcW w:w="1446" w:type="dxa"/>
            <w:tcBorders>
              <w:top w:val="single" w:sz="4" w:space="0" w:color="auto"/>
              <w:left w:val="dotted" w:sz="4" w:space="0" w:color="auto"/>
              <w:bottom w:val="single" w:sz="4" w:space="0" w:color="auto"/>
              <w:right w:val="dotted" w:sz="4" w:space="0" w:color="auto"/>
            </w:tcBorders>
          </w:tcPr>
          <w:p w14:paraId="66AB910D"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Microbial feature</w:t>
            </w:r>
          </w:p>
        </w:tc>
        <w:tc>
          <w:tcPr>
            <w:tcW w:w="2971" w:type="dxa"/>
            <w:tcBorders>
              <w:top w:val="single" w:sz="4" w:space="0" w:color="auto"/>
              <w:left w:val="dotted" w:sz="4" w:space="0" w:color="auto"/>
              <w:bottom w:val="single" w:sz="4" w:space="0" w:color="auto"/>
              <w:right w:val="dotted" w:sz="4" w:space="0" w:color="auto"/>
            </w:tcBorders>
          </w:tcPr>
          <w:p w14:paraId="5EE88686"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Mean proportion of microbial feature</w:t>
            </w:r>
          </w:p>
          <w:p w14:paraId="197DA49D"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(No symptoms/Symptoms at one timepoint/Persistent symptoms)</w:t>
            </w:r>
          </w:p>
        </w:tc>
        <w:tc>
          <w:tcPr>
            <w:tcW w:w="2442" w:type="dxa"/>
            <w:tcBorders>
              <w:top w:val="single" w:sz="4" w:space="0" w:color="auto"/>
              <w:left w:val="dotted" w:sz="4" w:space="0" w:color="auto"/>
              <w:bottom w:val="single" w:sz="4" w:space="0" w:color="auto"/>
              <w:right w:val="dotted" w:sz="4" w:space="0" w:color="auto"/>
            </w:tcBorders>
          </w:tcPr>
          <w:p w14:paraId="0420DE06"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SD of microbial feature</w:t>
            </w:r>
          </w:p>
          <w:p w14:paraId="7BF24E7D"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(No symptoms/Symptoms at one timepoint/Persistent symptoms)</w:t>
            </w:r>
          </w:p>
        </w:tc>
        <w:tc>
          <w:tcPr>
            <w:tcW w:w="754" w:type="dxa"/>
            <w:tcBorders>
              <w:top w:val="single" w:sz="4" w:space="0" w:color="auto"/>
              <w:left w:val="dotted" w:sz="4" w:space="0" w:color="auto"/>
              <w:bottom w:val="single" w:sz="4" w:space="0" w:color="auto"/>
              <w:right w:val="dotted" w:sz="4" w:space="0" w:color="auto"/>
            </w:tcBorders>
          </w:tcPr>
          <w:p w14:paraId="19BA0819"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Eta-squared</w:t>
            </w:r>
          </w:p>
        </w:tc>
        <w:tc>
          <w:tcPr>
            <w:tcW w:w="1062" w:type="dxa"/>
            <w:tcBorders>
              <w:top w:val="single" w:sz="4" w:space="0" w:color="auto"/>
              <w:left w:val="dotted" w:sz="4" w:space="0" w:color="auto"/>
              <w:bottom w:val="single" w:sz="4" w:space="0" w:color="auto"/>
            </w:tcBorders>
          </w:tcPr>
          <w:p w14:paraId="10D57622"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p w14:paraId="6821C207" w14:textId="77777777" w:rsidR="00852525" w:rsidRPr="000300C6" w:rsidRDefault="00852525" w:rsidP="00DC245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tc>
      </w:tr>
      <w:tr w:rsidR="00852525" w:rsidRPr="000300C6" w14:paraId="3E885E3C"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4" w:space="0" w:color="auto"/>
              <w:bottom w:val="single" w:sz="4" w:space="0" w:color="auto"/>
            </w:tcBorders>
          </w:tcPr>
          <w:p w14:paraId="6EA80302" w14:textId="20CD7EB3" w:rsidR="00852525" w:rsidRPr="000300C6" w:rsidRDefault="00277BA4" w:rsidP="00DC245E">
            <w:pPr>
              <w:spacing w:after="0"/>
              <w:jc w:val="center"/>
              <w:rPr>
                <w:sz w:val="16"/>
                <w:szCs w:val="16"/>
              </w:rPr>
            </w:pPr>
            <w:r w:rsidRPr="000300C6">
              <w:rPr>
                <w:sz w:val="16"/>
                <w:szCs w:val="16"/>
              </w:rPr>
              <w:t>PRO-stratified groups</w:t>
            </w:r>
          </w:p>
        </w:tc>
      </w:tr>
      <w:tr w:rsidR="00852525" w:rsidRPr="000300C6" w14:paraId="59643BED"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single" w:sz="4" w:space="0" w:color="auto"/>
              <w:bottom w:val="dotted" w:sz="4" w:space="0" w:color="auto"/>
              <w:right w:val="dotted" w:sz="4" w:space="0" w:color="auto"/>
            </w:tcBorders>
            <w:shd w:val="clear" w:color="auto" w:fill="F2F2F2" w:themeFill="background1" w:themeFillShade="F2"/>
          </w:tcPr>
          <w:p w14:paraId="1093FD0A" w14:textId="77777777" w:rsidR="00852525" w:rsidRPr="000300C6" w:rsidRDefault="00852525" w:rsidP="00DC245E">
            <w:pPr>
              <w:spacing w:after="0"/>
              <w:rPr>
                <w:sz w:val="16"/>
                <w:szCs w:val="16"/>
              </w:rPr>
            </w:pPr>
            <w:r w:rsidRPr="000300C6">
              <w:rPr>
                <w:sz w:val="16"/>
                <w:szCs w:val="16"/>
              </w:rPr>
              <w:t>Baseline</w:t>
            </w:r>
          </w:p>
        </w:tc>
        <w:tc>
          <w:tcPr>
            <w:tcW w:w="1446"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185F28E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Clostridium IV</w:t>
            </w:r>
          </w:p>
        </w:tc>
        <w:tc>
          <w:tcPr>
            <w:tcW w:w="2971"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15B1B9B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0.00%/0.14%/1.37%</w:t>
            </w:r>
          </w:p>
        </w:tc>
        <w:tc>
          <w:tcPr>
            <w:tcW w:w="2442"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5E2F062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0.00%/0.39%/1.66%</w:t>
            </w:r>
          </w:p>
        </w:tc>
        <w:tc>
          <w:tcPr>
            <w:tcW w:w="754"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4D0C3AD2"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0.27</w:t>
            </w:r>
          </w:p>
        </w:tc>
        <w:tc>
          <w:tcPr>
            <w:tcW w:w="1062" w:type="dxa"/>
            <w:tcBorders>
              <w:top w:val="single" w:sz="4" w:space="0" w:color="auto"/>
              <w:left w:val="dotted" w:sz="4" w:space="0" w:color="auto"/>
              <w:bottom w:val="dotted" w:sz="4" w:space="0" w:color="auto"/>
            </w:tcBorders>
            <w:shd w:val="clear" w:color="auto" w:fill="F2F2F2" w:themeFill="background1" w:themeFillShade="F2"/>
          </w:tcPr>
          <w:p w14:paraId="693961A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0.003 (&gt;0.1)</w:t>
            </w:r>
          </w:p>
        </w:tc>
      </w:tr>
      <w:tr w:rsidR="00852525" w:rsidRPr="000300C6" w14:paraId="154BA127"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F2F2F2" w:themeFill="background1" w:themeFillShade="F2"/>
          </w:tcPr>
          <w:p w14:paraId="755BE164"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0E2A18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Roseburia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15C918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0.07%/2.06%/1.98%</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748238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0.13%/3.02%/1.44%</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587446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0.06</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61585898"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0.38 (&gt;0.1)</w:t>
            </w:r>
          </w:p>
        </w:tc>
      </w:tr>
      <w:tr w:rsidR="00852525" w:rsidRPr="000300C6" w14:paraId="067C5069"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dotted" w:sz="4" w:space="0" w:color="auto"/>
              <w:bottom w:val="dotted" w:sz="4" w:space="0" w:color="auto"/>
              <w:right w:val="dotted" w:sz="4" w:space="0" w:color="auto"/>
            </w:tcBorders>
            <w:shd w:val="clear" w:color="auto" w:fill="auto"/>
          </w:tcPr>
          <w:p w14:paraId="11721828" w14:textId="77777777" w:rsidR="00852525" w:rsidRPr="000300C6" w:rsidRDefault="00852525" w:rsidP="00DC245E">
            <w:pPr>
              <w:spacing w:after="0"/>
              <w:rPr>
                <w:sz w:val="16"/>
                <w:szCs w:val="16"/>
              </w:rPr>
            </w:pPr>
            <w:r w:rsidRPr="000300C6">
              <w:rPr>
                <w:sz w:val="16"/>
                <w:szCs w:val="16"/>
              </w:rPr>
              <w:t>2/3 weeks</w:t>
            </w: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611578D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Clostridium IV</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0FC9C6C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0.00%/0.07%/0.32%</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4ADC28C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0.00%/0.15%/0.44%</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7B15E5C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0.18</w:t>
            </w:r>
          </w:p>
        </w:tc>
        <w:tc>
          <w:tcPr>
            <w:tcW w:w="1062" w:type="dxa"/>
            <w:tcBorders>
              <w:top w:val="dotted" w:sz="4" w:space="0" w:color="auto"/>
              <w:left w:val="dotted" w:sz="4" w:space="0" w:color="auto"/>
              <w:bottom w:val="dotted" w:sz="4" w:space="0" w:color="auto"/>
            </w:tcBorders>
            <w:shd w:val="clear" w:color="auto" w:fill="auto"/>
          </w:tcPr>
          <w:p w14:paraId="121D3B6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0.06 (&gt;0.1)</w:t>
            </w:r>
          </w:p>
        </w:tc>
      </w:tr>
      <w:tr w:rsidR="00852525" w:rsidRPr="000300C6" w14:paraId="329BE9D9"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auto"/>
          </w:tcPr>
          <w:p w14:paraId="6A2580E4"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3BCEA63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Clostridium XIVa</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01CC2BD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0.14%/0.72%/2.10%</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10BB4528"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0.14%/1.07%/2.98%</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7B58C5C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w:t>
            </w:r>
          </w:p>
        </w:tc>
        <w:tc>
          <w:tcPr>
            <w:tcW w:w="1062" w:type="dxa"/>
            <w:tcBorders>
              <w:top w:val="dotted" w:sz="4" w:space="0" w:color="auto"/>
              <w:left w:val="dotted" w:sz="4" w:space="0" w:color="auto"/>
              <w:bottom w:val="dotted" w:sz="4" w:space="0" w:color="auto"/>
            </w:tcBorders>
            <w:shd w:val="clear" w:color="auto" w:fill="auto"/>
          </w:tcPr>
          <w:p w14:paraId="17A8679E"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 (&gt;0.1)</w:t>
            </w:r>
          </w:p>
        </w:tc>
      </w:tr>
      <w:tr w:rsidR="00852525" w:rsidRPr="000300C6" w14:paraId="2D203806"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dotted" w:sz="4" w:space="0" w:color="auto"/>
              <w:bottom w:val="dotted" w:sz="4" w:space="0" w:color="auto"/>
              <w:right w:val="dotted" w:sz="4" w:space="0" w:color="auto"/>
            </w:tcBorders>
            <w:shd w:val="clear" w:color="auto" w:fill="F2F2F2" w:themeFill="background1" w:themeFillShade="F2"/>
          </w:tcPr>
          <w:p w14:paraId="2266EE52" w14:textId="77777777" w:rsidR="00852525" w:rsidRPr="000300C6" w:rsidRDefault="00852525" w:rsidP="00DC245E">
            <w:pPr>
              <w:spacing w:after="0"/>
              <w:rPr>
                <w:sz w:val="16"/>
                <w:szCs w:val="16"/>
              </w:rPr>
            </w:pPr>
            <w:r w:rsidRPr="000300C6">
              <w:rPr>
                <w:sz w:val="16"/>
                <w:szCs w:val="16"/>
              </w:rPr>
              <w:t>4/5 weeks</w:t>
            </w: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1D1740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Proteobacteria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B5C881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0.72%/1.97%/1.44%</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7DD642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0.95%/1.83%/0.80%</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358BDF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6E7C2EE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0.34 (&gt;0.1)</w:t>
            </w:r>
          </w:p>
        </w:tc>
      </w:tr>
      <w:tr w:rsidR="00852525" w:rsidRPr="000300C6" w14:paraId="0BA910E2"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dotted" w:sz="4" w:space="0" w:color="auto"/>
              <w:bottom w:val="dotted" w:sz="4" w:space="0" w:color="auto"/>
              <w:right w:val="dotted" w:sz="4" w:space="0" w:color="auto"/>
            </w:tcBorders>
            <w:shd w:val="clear" w:color="auto" w:fill="F2F2F2" w:themeFill="background1" w:themeFillShade="F2"/>
          </w:tcPr>
          <w:p w14:paraId="48120B6E"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74D5F3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Sutterella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E4A9C2A"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0.00%/0.59%/1.05%</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F55F9B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0.00%/0.95%/0.97%</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05977B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0.11</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63533F1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0.20 (&gt;0.1)</w:t>
            </w:r>
          </w:p>
        </w:tc>
      </w:tr>
      <w:tr w:rsidR="00852525" w:rsidRPr="000300C6" w14:paraId="7D196A37"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dotted" w:sz="4" w:space="0" w:color="auto"/>
              <w:bottom w:val="dotted" w:sz="4" w:space="0" w:color="auto"/>
              <w:right w:val="dotted" w:sz="4" w:space="0" w:color="auto"/>
            </w:tcBorders>
            <w:shd w:val="clear" w:color="auto" w:fill="auto"/>
          </w:tcPr>
          <w:p w14:paraId="6FF95D4E" w14:textId="77777777" w:rsidR="00852525" w:rsidRPr="000300C6" w:rsidRDefault="00852525" w:rsidP="00DC245E">
            <w:pPr>
              <w:spacing w:after="0"/>
              <w:rPr>
                <w:sz w:val="16"/>
                <w:szCs w:val="16"/>
              </w:rPr>
            </w:pPr>
            <w:r w:rsidRPr="000300C6">
              <w:rPr>
                <w:sz w:val="16"/>
                <w:szCs w:val="16"/>
              </w:rPr>
              <w:t>12 weeks</w:t>
            </w: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4C7D63CF"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Proteobacteria</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016ADA6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0.65%/1.49%/2.52%</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7B48C7C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0.96%/1.59%/3.34%</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3225FA6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w:t>
            </w:r>
          </w:p>
        </w:tc>
        <w:tc>
          <w:tcPr>
            <w:tcW w:w="1062" w:type="dxa"/>
            <w:tcBorders>
              <w:top w:val="dotted" w:sz="4" w:space="0" w:color="auto"/>
              <w:left w:val="dotted" w:sz="4" w:space="0" w:color="auto"/>
              <w:bottom w:val="dotted" w:sz="4" w:space="0" w:color="auto"/>
            </w:tcBorders>
            <w:shd w:val="clear" w:color="auto" w:fill="auto"/>
          </w:tcPr>
          <w:p w14:paraId="7603712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0.37 (&gt;0.1)</w:t>
            </w:r>
          </w:p>
        </w:tc>
      </w:tr>
      <w:tr w:rsidR="00852525" w:rsidRPr="000300C6" w14:paraId="563A32D7"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auto"/>
          </w:tcPr>
          <w:p w14:paraId="530CB9E3"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2A4427B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Clostridium IV</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13B345D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0.00%/0.06%/0.79%</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5F8ACD6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0.005/0.21%/1.11%</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6AF5C34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0.23</w:t>
            </w:r>
          </w:p>
        </w:tc>
        <w:tc>
          <w:tcPr>
            <w:tcW w:w="1062" w:type="dxa"/>
            <w:tcBorders>
              <w:top w:val="dotted" w:sz="4" w:space="0" w:color="auto"/>
              <w:left w:val="dotted" w:sz="4" w:space="0" w:color="auto"/>
              <w:bottom w:val="dotted" w:sz="4" w:space="0" w:color="auto"/>
            </w:tcBorders>
            <w:shd w:val="clear" w:color="auto" w:fill="auto"/>
          </w:tcPr>
          <w:p w14:paraId="715147BE"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0.03 (&gt;0.1)</w:t>
            </w:r>
          </w:p>
        </w:tc>
      </w:tr>
      <w:tr w:rsidR="00852525" w:rsidRPr="000300C6" w14:paraId="43A5B64F"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auto"/>
          </w:tcPr>
          <w:p w14:paraId="11BD54D3"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276BD9A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Odoribacter</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6F899B9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0.00%/0.13%/0.29%</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0D227AA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0.00%/0.26%/0.25%</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7EC7EBC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w:t>
            </w:r>
          </w:p>
        </w:tc>
        <w:tc>
          <w:tcPr>
            <w:tcW w:w="1062" w:type="dxa"/>
            <w:tcBorders>
              <w:top w:val="dotted" w:sz="4" w:space="0" w:color="auto"/>
              <w:left w:val="dotted" w:sz="4" w:space="0" w:color="auto"/>
              <w:bottom w:val="dotted" w:sz="4" w:space="0" w:color="auto"/>
            </w:tcBorders>
            <w:shd w:val="clear" w:color="auto" w:fill="auto"/>
          </w:tcPr>
          <w:p w14:paraId="56ACF0F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0.15 (&gt;0.1)</w:t>
            </w:r>
          </w:p>
        </w:tc>
      </w:tr>
      <w:tr w:rsidR="00852525" w:rsidRPr="000300C6" w14:paraId="4E8F8736"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auto"/>
          </w:tcPr>
          <w:p w14:paraId="474FC878"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auto"/>
          </w:tcPr>
          <w:p w14:paraId="5ACA804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Sutterella</w:t>
            </w:r>
          </w:p>
        </w:tc>
        <w:tc>
          <w:tcPr>
            <w:tcW w:w="2971" w:type="dxa"/>
            <w:tcBorders>
              <w:top w:val="dotted" w:sz="4" w:space="0" w:color="auto"/>
              <w:left w:val="dotted" w:sz="4" w:space="0" w:color="auto"/>
              <w:bottom w:val="dotted" w:sz="4" w:space="0" w:color="auto"/>
              <w:right w:val="dotted" w:sz="4" w:space="0" w:color="auto"/>
            </w:tcBorders>
            <w:shd w:val="clear" w:color="auto" w:fill="auto"/>
          </w:tcPr>
          <w:p w14:paraId="25A8181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0.00%/0.42%/0.76%</w:t>
            </w:r>
          </w:p>
        </w:tc>
        <w:tc>
          <w:tcPr>
            <w:tcW w:w="2442" w:type="dxa"/>
            <w:tcBorders>
              <w:top w:val="dotted" w:sz="4" w:space="0" w:color="auto"/>
              <w:left w:val="dotted" w:sz="4" w:space="0" w:color="auto"/>
              <w:bottom w:val="dotted" w:sz="4" w:space="0" w:color="auto"/>
              <w:right w:val="dotted" w:sz="4" w:space="0" w:color="auto"/>
            </w:tcBorders>
            <w:shd w:val="clear" w:color="auto" w:fill="auto"/>
          </w:tcPr>
          <w:p w14:paraId="3CB0B3DF"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0.00%/0.61%/0.64%</w:t>
            </w:r>
          </w:p>
        </w:tc>
        <w:tc>
          <w:tcPr>
            <w:tcW w:w="754" w:type="dxa"/>
            <w:tcBorders>
              <w:top w:val="dotted" w:sz="4" w:space="0" w:color="auto"/>
              <w:left w:val="dotted" w:sz="4" w:space="0" w:color="auto"/>
              <w:bottom w:val="dotted" w:sz="4" w:space="0" w:color="auto"/>
              <w:right w:val="dotted" w:sz="4" w:space="0" w:color="auto"/>
            </w:tcBorders>
            <w:shd w:val="clear" w:color="auto" w:fill="auto"/>
          </w:tcPr>
          <w:p w14:paraId="61F14E7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0.14</w:t>
            </w:r>
          </w:p>
        </w:tc>
        <w:tc>
          <w:tcPr>
            <w:tcW w:w="1062" w:type="dxa"/>
            <w:tcBorders>
              <w:top w:val="dotted" w:sz="4" w:space="0" w:color="auto"/>
              <w:left w:val="dotted" w:sz="4" w:space="0" w:color="auto"/>
              <w:bottom w:val="dotted" w:sz="4" w:space="0" w:color="auto"/>
            </w:tcBorders>
            <w:shd w:val="clear" w:color="auto" w:fill="auto"/>
          </w:tcPr>
          <w:p w14:paraId="015C5758"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0.14 (&gt;0.1)</w:t>
            </w:r>
          </w:p>
        </w:tc>
      </w:tr>
      <w:tr w:rsidR="00852525" w:rsidRPr="000300C6" w14:paraId="2BEFE705"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dotted" w:sz="4" w:space="0" w:color="auto"/>
              <w:bottom w:val="dotted" w:sz="4" w:space="0" w:color="auto"/>
              <w:right w:val="dotted" w:sz="4" w:space="0" w:color="auto"/>
            </w:tcBorders>
            <w:shd w:val="clear" w:color="auto" w:fill="F2F2F2" w:themeFill="background1" w:themeFillShade="F2"/>
          </w:tcPr>
          <w:p w14:paraId="7342FDF4" w14:textId="77777777" w:rsidR="00852525" w:rsidRPr="000300C6" w:rsidRDefault="00852525" w:rsidP="00DC245E">
            <w:pPr>
              <w:spacing w:after="0"/>
              <w:rPr>
                <w:sz w:val="16"/>
                <w:szCs w:val="16"/>
              </w:rPr>
            </w:pPr>
            <w:r w:rsidRPr="000300C6">
              <w:rPr>
                <w:sz w:val="16"/>
                <w:szCs w:val="16"/>
              </w:rPr>
              <w:t>6 months</w:t>
            </w: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C156F0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Proteobacteria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D5237D8"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0.87%/1.43%/1.44%</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634FF2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0.20%/1.42%/0.61%</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A2D8961"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0.03</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1FFC450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0.69 (&gt;0.1)</w:t>
            </w:r>
          </w:p>
        </w:tc>
      </w:tr>
      <w:tr w:rsidR="00852525" w:rsidRPr="000300C6" w14:paraId="647756F6"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F2F2F2" w:themeFill="background1" w:themeFillShade="F2"/>
          </w:tcPr>
          <w:p w14:paraId="2D7E7260"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6F69242"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Roseburia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C55CF7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1.37%/0.64%/1.91%</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304A16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0.96%/0.62%/1.85%</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3B0EDD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0.20</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35A05F5E"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0.04 (&gt;0.01)</w:t>
            </w:r>
          </w:p>
        </w:tc>
      </w:tr>
      <w:tr w:rsidR="00852525" w:rsidRPr="000300C6" w14:paraId="4FDACFC7"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4" w:space="0" w:color="auto"/>
              <w:bottom w:val="single" w:sz="4" w:space="0" w:color="auto"/>
            </w:tcBorders>
          </w:tcPr>
          <w:p w14:paraId="6EB9255A" w14:textId="7E156ABA" w:rsidR="00852525" w:rsidRPr="000300C6" w:rsidRDefault="00277BA4" w:rsidP="00DC245E">
            <w:pPr>
              <w:spacing w:after="0"/>
              <w:jc w:val="center"/>
              <w:rPr>
                <w:sz w:val="16"/>
                <w:szCs w:val="16"/>
              </w:rPr>
            </w:pPr>
            <w:r w:rsidRPr="000300C6">
              <w:rPr>
                <w:sz w:val="16"/>
                <w:szCs w:val="16"/>
              </w:rPr>
              <w:t>CRO-stratified groups</w:t>
            </w:r>
          </w:p>
        </w:tc>
      </w:tr>
      <w:tr w:rsidR="00852525" w:rsidRPr="000300C6" w14:paraId="5F13308B"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single" w:sz="4" w:space="0" w:color="auto"/>
              <w:bottom w:val="dotted" w:sz="4" w:space="0" w:color="auto"/>
              <w:right w:val="dotted" w:sz="4" w:space="0" w:color="auto"/>
            </w:tcBorders>
            <w:shd w:val="clear" w:color="auto" w:fill="F2F2F2" w:themeFill="background1" w:themeFillShade="F2"/>
          </w:tcPr>
          <w:p w14:paraId="1861D64B" w14:textId="77777777" w:rsidR="00852525" w:rsidRPr="000300C6" w:rsidRDefault="00852525" w:rsidP="00DC245E">
            <w:pPr>
              <w:spacing w:after="0"/>
              <w:rPr>
                <w:sz w:val="16"/>
                <w:szCs w:val="16"/>
              </w:rPr>
            </w:pPr>
            <w:r w:rsidRPr="000300C6">
              <w:rPr>
                <w:sz w:val="16"/>
                <w:szCs w:val="16"/>
              </w:rPr>
              <w:t>Baseline</w:t>
            </w:r>
          </w:p>
        </w:tc>
        <w:tc>
          <w:tcPr>
            <w:tcW w:w="1446"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7C66BC48" w14:textId="7ABC226D"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2971"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0C520979" w14:textId="1E81B1FA"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2442"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42422F6A" w14:textId="70957964"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754" w:type="dxa"/>
            <w:tcBorders>
              <w:top w:val="single" w:sz="4" w:space="0" w:color="auto"/>
              <w:left w:val="dotted" w:sz="4" w:space="0" w:color="auto"/>
              <w:bottom w:val="dotted" w:sz="4" w:space="0" w:color="auto"/>
              <w:right w:val="dotted" w:sz="4" w:space="0" w:color="auto"/>
            </w:tcBorders>
            <w:shd w:val="clear" w:color="auto" w:fill="F2F2F2" w:themeFill="background1" w:themeFillShade="F2"/>
          </w:tcPr>
          <w:p w14:paraId="0021C1CA"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c>
          <w:tcPr>
            <w:tcW w:w="1062" w:type="dxa"/>
            <w:tcBorders>
              <w:top w:val="single" w:sz="4" w:space="0" w:color="auto"/>
              <w:left w:val="dotted" w:sz="4" w:space="0" w:color="auto"/>
              <w:bottom w:val="dotted" w:sz="4" w:space="0" w:color="auto"/>
            </w:tcBorders>
            <w:shd w:val="clear" w:color="auto" w:fill="F2F2F2" w:themeFill="background1" w:themeFillShade="F2"/>
          </w:tcPr>
          <w:p w14:paraId="2A14126A"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r>
      <w:tr w:rsidR="00852525" w:rsidRPr="000300C6" w14:paraId="10BAA57B"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dotted" w:sz="4" w:space="0" w:color="auto"/>
              <w:bottom w:val="dotted" w:sz="4" w:space="0" w:color="auto"/>
              <w:right w:val="dotted" w:sz="4" w:space="0" w:color="auto"/>
            </w:tcBorders>
            <w:shd w:val="clear" w:color="auto" w:fill="FFFFFF" w:themeFill="background1"/>
          </w:tcPr>
          <w:p w14:paraId="7E3A2A05" w14:textId="77777777" w:rsidR="00852525" w:rsidRPr="000300C6" w:rsidRDefault="00852525" w:rsidP="00DC245E">
            <w:pPr>
              <w:spacing w:after="0"/>
              <w:rPr>
                <w:sz w:val="16"/>
                <w:szCs w:val="16"/>
              </w:rPr>
            </w:pPr>
            <w:r w:rsidRPr="000300C6">
              <w:rPr>
                <w:sz w:val="16"/>
                <w:szCs w:val="16"/>
              </w:rPr>
              <w:t>2/3 weeks</w:t>
            </w:r>
          </w:p>
        </w:tc>
        <w:tc>
          <w:tcPr>
            <w:tcW w:w="1446" w:type="dxa"/>
            <w:tcBorders>
              <w:top w:val="dotted" w:sz="4" w:space="0" w:color="auto"/>
              <w:left w:val="dotted" w:sz="4" w:space="0" w:color="auto"/>
              <w:bottom w:val="dotted" w:sz="4" w:space="0" w:color="auto"/>
              <w:right w:val="dotted" w:sz="4" w:space="0" w:color="auto"/>
            </w:tcBorders>
            <w:shd w:val="clear" w:color="auto" w:fill="FFFFFF" w:themeFill="background1"/>
          </w:tcPr>
          <w:p w14:paraId="186B06BE" w14:textId="315EECA9"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2971" w:type="dxa"/>
            <w:tcBorders>
              <w:top w:val="dotted" w:sz="4" w:space="0" w:color="auto"/>
              <w:left w:val="dotted" w:sz="4" w:space="0" w:color="auto"/>
              <w:bottom w:val="dotted" w:sz="4" w:space="0" w:color="auto"/>
              <w:right w:val="dotted" w:sz="4" w:space="0" w:color="auto"/>
            </w:tcBorders>
            <w:shd w:val="clear" w:color="auto" w:fill="FFFFFF" w:themeFill="background1"/>
          </w:tcPr>
          <w:p w14:paraId="5CEE637D" w14:textId="21A9E8A3"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2442" w:type="dxa"/>
            <w:tcBorders>
              <w:top w:val="dotted" w:sz="4" w:space="0" w:color="auto"/>
              <w:left w:val="dotted" w:sz="4" w:space="0" w:color="auto"/>
              <w:bottom w:val="dotted" w:sz="4" w:space="0" w:color="auto"/>
              <w:right w:val="dotted" w:sz="4" w:space="0" w:color="auto"/>
            </w:tcBorders>
            <w:shd w:val="clear" w:color="auto" w:fill="FFFFFF" w:themeFill="background1"/>
          </w:tcPr>
          <w:p w14:paraId="406BA2A7" w14:textId="0E4E7582"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 xml:space="preserve">NA </w:t>
            </w:r>
          </w:p>
        </w:tc>
        <w:tc>
          <w:tcPr>
            <w:tcW w:w="754" w:type="dxa"/>
            <w:tcBorders>
              <w:top w:val="dotted" w:sz="4" w:space="0" w:color="auto"/>
              <w:left w:val="dotted" w:sz="4" w:space="0" w:color="auto"/>
              <w:bottom w:val="dotted" w:sz="4" w:space="0" w:color="auto"/>
              <w:right w:val="dotted" w:sz="4" w:space="0" w:color="auto"/>
            </w:tcBorders>
            <w:shd w:val="clear" w:color="auto" w:fill="FFFFFF" w:themeFill="background1"/>
          </w:tcPr>
          <w:p w14:paraId="7C4BBE4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c>
          <w:tcPr>
            <w:tcW w:w="1062" w:type="dxa"/>
            <w:tcBorders>
              <w:top w:val="dotted" w:sz="4" w:space="0" w:color="auto"/>
              <w:left w:val="dotted" w:sz="4" w:space="0" w:color="auto"/>
              <w:bottom w:val="dotted" w:sz="4" w:space="0" w:color="auto"/>
            </w:tcBorders>
            <w:shd w:val="clear" w:color="auto" w:fill="FFFFFF" w:themeFill="background1"/>
          </w:tcPr>
          <w:p w14:paraId="00CE987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r>
      <w:tr w:rsidR="00852525" w:rsidRPr="000300C6" w14:paraId="08C45983"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dotted" w:sz="4" w:space="0" w:color="auto"/>
              <w:bottom w:val="dotted" w:sz="4" w:space="0" w:color="auto"/>
              <w:right w:val="dotted" w:sz="4" w:space="0" w:color="auto"/>
            </w:tcBorders>
            <w:shd w:val="clear" w:color="auto" w:fill="F2F2F2" w:themeFill="background1" w:themeFillShade="F2"/>
          </w:tcPr>
          <w:p w14:paraId="636B1A47" w14:textId="77777777" w:rsidR="00852525" w:rsidRPr="000300C6" w:rsidRDefault="00852525" w:rsidP="00DC245E">
            <w:pPr>
              <w:spacing w:after="0"/>
              <w:rPr>
                <w:sz w:val="16"/>
                <w:szCs w:val="16"/>
              </w:rPr>
            </w:pPr>
            <w:r w:rsidRPr="000300C6">
              <w:rPr>
                <w:sz w:val="16"/>
                <w:szCs w:val="16"/>
              </w:rPr>
              <w:t>4/5 weeks</w:t>
            </w: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EDBFCC9"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Sutterella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87D64D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0.07%/0.72%/0.70%</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D9354D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0.13%/1.05%/0.93%</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829AA5F"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0.05</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1179CD4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0.48 (&gt;0.1)</w:t>
            </w:r>
          </w:p>
        </w:tc>
      </w:tr>
      <w:tr w:rsidR="00852525" w:rsidRPr="000300C6" w14:paraId="29E23438" w14:textId="77777777" w:rsidTr="006B29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dotted" w:sz="4" w:space="0" w:color="auto"/>
              <w:right w:val="dotted" w:sz="4" w:space="0" w:color="auto"/>
            </w:tcBorders>
            <w:shd w:val="clear" w:color="auto" w:fill="F2F2F2" w:themeFill="background1" w:themeFillShade="F2"/>
          </w:tcPr>
          <w:p w14:paraId="6FAAA5B8"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0A4675A"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Phascolarctobacterium</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E1DA39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0.00%/0.50%/1.15%</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218AA2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0.00%/1.07%/2.19%</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7453DA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0.06</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165A866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0.42 (&gt;0.1)</w:t>
            </w:r>
          </w:p>
        </w:tc>
      </w:tr>
      <w:tr w:rsidR="00852525" w:rsidRPr="000300C6" w14:paraId="4E7B6CED" w14:textId="77777777" w:rsidTr="00CD6B2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tcBorders>
              <w:top w:val="dotted" w:sz="4" w:space="0" w:color="auto"/>
              <w:bottom w:val="dotted" w:sz="4" w:space="0" w:color="auto"/>
              <w:right w:val="dotted" w:sz="4" w:space="0" w:color="auto"/>
            </w:tcBorders>
            <w:shd w:val="clear" w:color="auto" w:fill="FFFFFF" w:themeFill="background1"/>
          </w:tcPr>
          <w:p w14:paraId="65FA2148" w14:textId="77777777" w:rsidR="00852525" w:rsidRPr="000300C6" w:rsidRDefault="00852525" w:rsidP="00DC245E">
            <w:pPr>
              <w:spacing w:after="0"/>
              <w:rPr>
                <w:sz w:val="16"/>
                <w:szCs w:val="16"/>
              </w:rPr>
            </w:pPr>
            <w:r w:rsidRPr="000300C6">
              <w:rPr>
                <w:sz w:val="16"/>
                <w:szCs w:val="16"/>
              </w:rPr>
              <w:t>12 weeks</w:t>
            </w:r>
          </w:p>
        </w:tc>
        <w:tc>
          <w:tcPr>
            <w:tcW w:w="1446" w:type="dxa"/>
            <w:tcBorders>
              <w:top w:val="dotted" w:sz="4" w:space="0" w:color="auto"/>
              <w:left w:val="dotted" w:sz="4" w:space="0" w:color="auto"/>
              <w:bottom w:val="dotted" w:sz="4" w:space="0" w:color="auto"/>
              <w:right w:val="dotted" w:sz="4" w:space="0" w:color="auto"/>
            </w:tcBorders>
            <w:shd w:val="clear" w:color="auto" w:fill="FFFFFF" w:themeFill="background1"/>
          </w:tcPr>
          <w:p w14:paraId="47DBB84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Sutterella</w:t>
            </w:r>
          </w:p>
        </w:tc>
        <w:tc>
          <w:tcPr>
            <w:tcW w:w="2971" w:type="dxa"/>
            <w:tcBorders>
              <w:top w:val="dotted" w:sz="4" w:space="0" w:color="auto"/>
              <w:left w:val="dotted" w:sz="4" w:space="0" w:color="auto"/>
              <w:bottom w:val="dotted" w:sz="4" w:space="0" w:color="auto"/>
              <w:right w:val="dotted" w:sz="4" w:space="0" w:color="auto"/>
            </w:tcBorders>
            <w:shd w:val="clear" w:color="auto" w:fill="FFFFFF" w:themeFill="background1"/>
          </w:tcPr>
          <w:p w14:paraId="533A201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0.07%/0.50%/0.52%</w:t>
            </w:r>
          </w:p>
        </w:tc>
        <w:tc>
          <w:tcPr>
            <w:tcW w:w="2442" w:type="dxa"/>
            <w:tcBorders>
              <w:top w:val="dotted" w:sz="4" w:space="0" w:color="auto"/>
              <w:left w:val="dotted" w:sz="4" w:space="0" w:color="auto"/>
              <w:bottom w:val="dotted" w:sz="4" w:space="0" w:color="auto"/>
              <w:right w:val="dotted" w:sz="4" w:space="0" w:color="auto"/>
            </w:tcBorders>
            <w:shd w:val="clear" w:color="auto" w:fill="FFFFFF" w:themeFill="background1"/>
          </w:tcPr>
          <w:p w14:paraId="77EDDC15"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0.13%/0.66%/0.63%</w:t>
            </w:r>
          </w:p>
        </w:tc>
        <w:tc>
          <w:tcPr>
            <w:tcW w:w="754" w:type="dxa"/>
            <w:tcBorders>
              <w:top w:val="dotted" w:sz="4" w:space="0" w:color="auto"/>
              <w:left w:val="dotted" w:sz="4" w:space="0" w:color="auto"/>
              <w:bottom w:val="dotted" w:sz="4" w:space="0" w:color="auto"/>
              <w:right w:val="dotted" w:sz="4" w:space="0" w:color="auto"/>
            </w:tcBorders>
            <w:shd w:val="clear" w:color="auto" w:fill="FFFFFF" w:themeFill="background1"/>
          </w:tcPr>
          <w:p w14:paraId="7B2107A3"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0.06</w:t>
            </w:r>
          </w:p>
        </w:tc>
        <w:tc>
          <w:tcPr>
            <w:tcW w:w="1062" w:type="dxa"/>
            <w:tcBorders>
              <w:top w:val="dotted" w:sz="4" w:space="0" w:color="auto"/>
              <w:left w:val="dotted" w:sz="4" w:space="0" w:color="auto"/>
              <w:bottom w:val="dotted" w:sz="4" w:space="0" w:color="auto"/>
            </w:tcBorders>
            <w:shd w:val="clear" w:color="auto" w:fill="FFFFFF" w:themeFill="background1"/>
          </w:tcPr>
          <w:p w14:paraId="3D2EFBB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0.45 (&gt;0.01)</w:t>
            </w:r>
          </w:p>
        </w:tc>
      </w:tr>
      <w:tr w:rsidR="00852525" w:rsidRPr="000300C6" w14:paraId="44241382" w14:textId="77777777" w:rsidTr="00CD6B2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val="restart"/>
            <w:tcBorders>
              <w:top w:val="dotted" w:sz="4" w:space="0" w:color="auto"/>
              <w:bottom w:val="single" w:sz="4" w:space="0" w:color="auto"/>
              <w:right w:val="dotted" w:sz="4" w:space="0" w:color="auto"/>
            </w:tcBorders>
            <w:shd w:val="clear" w:color="auto" w:fill="F2F2F2" w:themeFill="background1" w:themeFillShade="F2"/>
          </w:tcPr>
          <w:p w14:paraId="700EAAF1" w14:textId="77777777" w:rsidR="00852525" w:rsidRPr="000300C6" w:rsidRDefault="00852525" w:rsidP="00DC245E">
            <w:pPr>
              <w:spacing w:after="0"/>
              <w:rPr>
                <w:b w:val="0"/>
                <w:bCs w:val="0"/>
                <w:sz w:val="16"/>
                <w:szCs w:val="16"/>
              </w:rPr>
            </w:pPr>
            <w:r w:rsidRPr="000300C6">
              <w:rPr>
                <w:sz w:val="16"/>
                <w:szCs w:val="16"/>
              </w:rPr>
              <w:t>6 months</w:t>
            </w:r>
          </w:p>
          <w:p w14:paraId="7DC0E080"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B717F91"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Odoribacter</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C37BB42"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0.07%/0.19%/0.35%</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117CE3D"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0.13%/0.21%/0.30%</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94FA5FF"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4F9FE51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0.13 (&gt;0.01)</w:t>
            </w:r>
          </w:p>
        </w:tc>
      </w:tr>
      <w:tr w:rsidR="00852525" w:rsidRPr="000300C6" w14:paraId="3C482503" w14:textId="77777777" w:rsidTr="00CD6B2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single" w:sz="4" w:space="0" w:color="auto"/>
              <w:right w:val="dotted" w:sz="4" w:space="0" w:color="auto"/>
            </w:tcBorders>
            <w:shd w:val="clear" w:color="auto" w:fill="F2F2F2" w:themeFill="background1" w:themeFillShade="F2"/>
          </w:tcPr>
          <w:p w14:paraId="370D3F4A"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241C44A"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Roseburia</w:t>
            </w:r>
          </w:p>
        </w:tc>
        <w:tc>
          <w:tcPr>
            <w:tcW w:w="297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0140C86"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0.65%/0.77%/1.40%</w:t>
            </w:r>
          </w:p>
        </w:tc>
        <w:tc>
          <w:tcPr>
            <w:tcW w:w="2442"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C3128A7"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0.31%/0.80%/1.56%</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4F15C72"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0.07</w:t>
            </w:r>
          </w:p>
        </w:tc>
        <w:tc>
          <w:tcPr>
            <w:tcW w:w="1062" w:type="dxa"/>
            <w:tcBorders>
              <w:top w:val="dotted" w:sz="4" w:space="0" w:color="auto"/>
              <w:left w:val="dotted" w:sz="4" w:space="0" w:color="auto"/>
              <w:bottom w:val="dotted" w:sz="4" w:space="0" w:color="auto"/>
            </w:tcBorders>
            <w:shd w:val="clear" w:color="auto" w:fill="F2F2F2" w:themeFill="background1" w:themeFillShade="F2"/>
          </w:tcPr>
          <w:p w14:paraId="5A74575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0.35 (&gt;0.01)</w:t>
            </w:r>
          </w:p>
        </w:tc>
      </w:tr>
      <w:tr w:rsidR="00852525" w:rsidRPr="000300C6" w14:paraId="23F152D1" w14:textId="77777777" w:rsidTr="00CD6B2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5" w:type="dxa"/>
            <w:vMerge/>
            <w:tcBorders>
              <w:top w:val="dotted" w:sz="4" w:space="0" w:color="auto"/>
              <w:bottom w:val="single" w:sz="4" w:space="0" w:color="auto"/>
              <w:right w:val="dotted" w:sz="4" w:space="0" w:color="auto"/>
            </w:tcBorders>
            <w:shd w:val="clear" w:color="auto" w:fill="F2F2F2" w:themeFill="background1" w:themeFillShade="F2"/>
          </w:tcPr>
          <w:p w14:paraId="36C0AD98" w14:textId="77777777" w:rsidR="00852525" w:rsidRPr="000300C6" w:rsidRDefault="00852525" w:rsidP="00DC245E">
            <w:pPr>
              <w:spacing w:after="0"/>
              <w:rPr>
                <w:sz w:val="16"/>
                <w:szCs w:val="16"/>
              </w:rPr>
            </w:pPr>
          </w:p>
        </w:tc>
        <w:tc>
          <w:tcPr>
            <w:tcW w:w="1446" w:type="dxa"/>
            <w:tcBorders>
              <w:top w:val="dotted" w:sz="4" w:space="0" w:color="auto"/>
              <w:left w:val="dotted" w:sz="4" w:space="0" w:color="auto"/>
              <w:bottom w:val="single" w:sz="4" w:space="0" w:color="auto"/>
              <w:right w:val="dotted" w:sz="4" w:space="0" w:color="auto"/>
            </w:tcBorders>
            <w:shd w:val="clear" w:color="auto" w:fill="F2F2F2" w:themeFill="background1" w:themeFillShade="F2"/>
          </w:tcPr>
          <w:p w14:paraId="18D0815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i/>
                <w:sz w:val="16"/>
                <w:szCs w:val="16"/>
              </w:rPr>
            </w:pPr>
            <w:r w:rsidRPr="000300C6">
              <w:rPr>
                <w:b w:val="0"/>
                <w:i/>
                <w:sz w:val="16"/>
                <w:szCs w:val="16"/>
              </w:rPr>
              <w:t>Sutterella</w:t>
            </w:r>
          </w:p>
        </w:tc>
        <w:tc>
          <w:tcPr>
            <w:tcW w:w="2971" w:type="dxa"/>
            <w:tcBorders>
              <w:top w:val="dotted" w:sz="4" w:space="0" w:color="auto"/>
              <w:left w:val="dotted" w:sz="4" w:space="0" w:color="auto"/>
              <w:bottom w:val="single" w:sz="4" w:space="0" w:color="auto"/>
              <w:right w:val="dotted" w:sz="4" w:space="0" w:color="auto"/>
            </w:tcBorders>
            <w:shd w:val="clear" w:color="auto" w:fill="F2F2F2" w:themeFill="background1" w:themeFillShade="F2"/>
          </w:tcPr>
          <w:p w14:paraId="11FE3694"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0.22%/0.72%/0.56%</w:t>
            </w:r>
          </w:p>
        </w:tc>
        <w:tc>
          <w:tcPr>
            <w:tcW w:w="2442" w:type="dxa"/>
            <w:tcBorders>
              <w:top w:val="dotted" w:sz="4" w:space="0" w:color="auto"/>
              <w:left w:val="dotted" w:sz="4" w:space="0" w:color="auto"/>
              <w:bottom w:val="single" w:sz="4" w:space="0" w:color="auto"/>
              <w:right w:val="dotted" w:sz="4" w:space="0" w:color="auto"/>
            </w:tcBorders>
            <w:shd w:val="clear" w:color="auto" w:fill="F2F2F2" w:themeFill="background1" w:themeFillShade="F2"/>
          </w:tcPr>
          <w:p w14:paraId="6080950B"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0.37%/0.82%/0.76%</w:t>
            </w:r>
          </w:p>
        </w:tc>
        <w:tc>
          <w:tcPr>
            <w:tcW w:w="754" w:type="dxa"/>
            <w:tcBorders>
              <w:top w:val="dotted" w:sz="4" w:space="0" w:color="auto"/>
              <w:left w:val="dotted" w:sz="4" w:space="0" w:color="auto"/>
              <w:bottom w:val="single" w:sz="4" w:space="0" w:color="auto"/>
              <w:right w:val="dotted" w:sz="4" w:space="0" w:color="auto"/>
            </w:tcBorders>
            <w:shd w:val="clear" w:color="auto" w:fill="F2F2F2" w:themeFill="background1" w:themeFillShade="F2"/>
          </w:tcPr>
          <w:p w14:paraId="3FE2B990"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0.04</w:t>
            </w:r>
          </w:p>
        </w:tc>
        <w:tc>
          <w:tcPr>
            <w:tcW w:w="1062" w:type="dxa"/>
            <w:tcBorders>
              <w:top w:val="dotted" w:sz="4" w:space="0" w:color="auto"/>
              <w:left w:val="dotted" w:sz="4" w:space="0" w:color="auto"/>
              <w:bottom w:val="single" w:sz="4" w:space="0" w:color="auto"/>
            </w:tcBorders>
            <w:shd w:val="clear" w:color="auto" w:fill="F2F2F2" w:themeFill="background1" w:themeFillShade="F2"/>
          </w:tcPr>
          <w:p w14:paraId="77F598BC" w14:textId="77777777" w:rsidR="00852525" w:rsidRPr="000300C6" w:rsidRDefault="00852525" w:rsidP="00DC245E">
            <w:pPr>
              <w:spacing w:after="0"/>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0.55 (&gt;0.01)</w:t>
            </w:r>
          </w:p>
        </w:tc>
      </w:tr>
    </w:tbl>
    <w:bookmarkEnd w:id="13"/>
    <w:p w14:paraId="47454EFF" w14:textId="72447C2B" w:rsidR="00852525" w:rsidRPr="000300C6" w:rsidRDefault="00852525" w:rsidP="00852525">
      <w:pPr>
        <w:spacing w:after="0"/>
        <w:jc w:val="center"/>
        <w:rPr>
          <w:sz w:val="18"/>
          <w:szCs w:val="18"/>
        </w:rPr>
      </w:pPr>
      <w:r w:rsidRPr="000300C6">
        <w:rPr>
          <w:i/>
          <w:sz w:val="18"/>
          <w:szCs w:val="18"/>
        </w:rPr>
        <w:t xml:space="preserve">Only biologically plausible relationships are reported (see </w:t>
      </w:r>
      <w:r w:rsidR="00DC245E" w:rsidRPr="000300C6">
        <w:rPr>
          <w:i/>
          <w:sz w:val="18"/>
          <w:szCs w:val="18"/>
        </w:rPr>
        <w:t xml:space="preserve">main </w:t>
      </w:r>
      <w:r w:rsidRPr="000300C6">
        <w:rPr>
          <w:i/>
          <w:sz w:val="18"/>
          <w:szCs w:val="18"/>
        </w:rPr>
        <w:t>text).SD=standard deviation. Significance testing was done with ANOVA (comparison of proportions of microbial feature between symptom groups).</w:t>
      </w:r>
      <w:r w:rsidR="003B72B5" w:rsidRPr="000300C6">
        <w:t xml:space="preserve"> </w:t>
      </w:r>
      <w:r w:rsidR="003B72B5" w:rsidRPr="000300C6">
        <w:rPr>
          <w:i/>
          <w:sz w:val="18"/>
          <w:szCs w:val="18"/>
        </w:rPr>
        <w:t>Direct comparisons at 12 months were not undertaken to avoid biases, as only 10 patients were sampled at that timepoint.</w:t>
      </w:r>
    </w:p>
    <w:p w14:paraId="6F757EFE" w14:textId="77777777" w:rsidR="00852525" w:rsidRPr="000300C6" w:rsidRDefault="00852525" w:rsidP="00A81394">
      <w:pPr>
        <w:tabs>
          <w:tab w:val="left" w:pos="5508"/>
        </w:tabs>
        <w:spacing w:after="160" w:line="259" w:lineRule="auto"/>
      </w:pPr>
    </w:p>
    <w:p w14:paraId="6E05180C" w14:textId="43B21581" w:rsidR="006B2955" w:rsidRPr="000300C6" w:rsidRDefault="002615AD" w:rsidP="006B2955">
      <w:pPr>
        <w:spacing w:after="0"/>
        <w:ind w:right="-613"/>
        <w:jc w:val="center"/>
        <w:rPr>
          <w:sz w:val="18"/>
          <w:szCs w:val="18"/>
        </w:rPr>
      </w:pPr>
      <w:bookmarkStart w:id="14" w:name="_Toc501542577"/>
      <w:r w:rsidRPr="000300C6">
        <w:br w:type="page"/>
      </w:r>
      <w:r w:rsidR="006B2955" w:rsidRPr="000300C6">
        <w:rPr>
          <w:b/>
          <w:sz w:val="18"/>
          <w:szCs w:val="18"/>
        </w:rPr>
        <w:lastRenderedPageBreak/>
        <w:t>Table SUPP-</w:t>
      </w:r>
      <w:r w:rsidR="00277C1F" w:rsidRPr="000300C6">
        <w:rPr>
          <w:b/>
          <w:sz w:val="18"/>
          <w:szCs w:val="18"/>
        </w:rPr>
        <w:t>11</w:t>
      </w:r>
      <w:r w:rsidR="006B2955" w:rsidRPr="000300C6">
        <w:rPr>
          <w:b/>
          <w:sz w:val="18"/>
          <w:szCs w:val="18"/>
        </w:rPr>
        <w:t>:</w:t>
      </w:r>
      <w:r w:rsidR="006B2955" w:rsidRPr="000300C6">
        <w:rPr>
          <w:sz w:val="18"/>
          <w:szCs w:val="18"/>
        </w:rPr>
        <w:t xml:space="preserve"> Results of linear mixed model regression analysis for exploring associations </w:t>
      </w:r>
    </w:p>
    <w:p w14:paraId="54787AF8" w14:textId="735A1669" w:rsidR="006B2955" w:rsidRPr="000300C6" w:rsidRDefault="006B2955" w:rsidP="006B2955">
      <w:pPr>
        <w:spacing w:after="120"/>
        <w:ind w:right="-613"/>
        <w:jc w:val="center"/>
        <w:rPr>
          <w:i/>
          <w:sz w:val="18"/>
          <w:szCs w:val="18"/>
        </w:rPr>
      </w:pPr>
      <w:r w:rsidRPr="000300C6">
        <w:rPr>
          <w:sz w:val="18"/>
          <w:szCs w:val="18"/>
        </w:rPr>
        <w:t xml:space="preserve">between microbial features </w:t>
      </w:r>
      <w:r w:rsidR="001D121C" w:rsidRPr="000300C6">
        <w:rPr>
          <w:sz w:val="18"/>
          <w:szCs w:val="18"/>
        </w:rPr>
        <w:t>and longitudinal symptom group over time in the early cohort</w:t>
      </w:r>
      <w:r w:rsidR="001D121C" w:rsidRPr="000300C6">
        <w:rPr>
          <w:i/>
          <w:sz w:val="18"/>
          <w:szCs w:val="18"/>
        </w:rPr>
        <w:t>.</w:t>
      </w:r>
    </w:p>
    <w:tbl>
      <w:tblPr>
        <w:tblStyle w:val="PlainTable4"/>
        <w:tblW w:w="9730" w:type="dxa"/>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6"/>
        <w:gridCol w:w="1985"/>
        <w:gridCol w:w="1236"/>
        <w:gridCol w:w="1307"/>
        <w:gridCol w:w="1298"/>
        <w:gridCol w:w="1238"/>
        <w:gridCol w:w="970"/>
      </w:tblGrid>
      <w:tr w:rsidR="006B2955" w:rsidRPr="000300C6" w14:paraId="605C69C9" w14:textId="77777777" w:rsidTr="001D12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vAlign w:val="center"/>
          </w:tcPr>
          <w:p w14:paraId="2D126A9D" w14:textId="77777777" w:rsidR="006B2955" w:rsidRPr="000300C6" w:rsidRDefault="006B2955" w:rsidP="006B2955">
            <w:pPr>
              <w:spacing w:after="0"/>
              <w:rPr>
                <w:sz w:val="16"/>
                <w:szCs w:val="16"/>
              </w:rPr>
            </w:pPr>
            <w:bookmarkStart w:id="15" w:name="_Hlk496536581"/>
            <w:r w:rsidRPr="000300C6">
              <w:rPr>
                <w:sz w:val="16"/>
                <w:szCs w:val="16"/>
              </w:rPr>
              <w:t>Microbial feature</w:t>
            </w:r>
          </w:p>
        </w:tc>
        <w:tc>
          <w:tcPr>
            <w:tcW w:w="1985" w:type="dxa"/>
            <w:tcBorders>
              <w:top w:val="single" w:sz="4" w:space="0" w:color="auto"/>
              <w:bottom w:val="single" w:sz="4" w:space="0" w:color="auto"/>
            </w:tcBorders>
            <w:vAlign w:val="center"/>
          </w:tcPr>
          <w:p w14:paraId="3690DFCE" w14:textId="77777777" w:rsidR="006B2955" w:rsidRPr="000300C6" w:rsidRDefault="006B2955" w:rsidP="006B2955">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Effect</w:t>
            </w:r>
          </w:p>
        </w:tc>
        <w:tc>
          <w:tcPr>
            <w:tcW w:w="1236" w:type="dxa"/>
            <w:tcBorders>
              <w:top w:val="single" w:sz="4" w:space="0" w:color="auto"/>
              <w:bottom w:val="single" w:sz="4" w:space="0" w:color="auto"/>
            </w:tcBorders>
            <w:vAlign w:val="center"/>
          </w:tcPr>
          <w:p w14:paraId="6EE6A259" w14:textId="77777777" w:rsidR="006B2955" w:rsidRPr="000300C6" w:rsidRDefault="006B2955" w:rsidP="006B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Estimate</w:t>
            </w:r>
          </w:p>
        </w:tc>
        <w:tc>
          <w:tcPr>
            <w:tcW w:w="1307" w:type="dxa"/>
            <w:tcBorders>
              <w:top w:val="single" w:sz="4" w:space="0" w:color="auto"/>
              <w:bottom w:val="single" w:sz="4" w:space="0" w:color="auto"/>
            </w:tcBorders>
            <w:vAlign w:val="center"/>
          </w:tcPr>
          <w:p w14:paraId="20EF193C" w14:textId="77777777" w:rsidR="006B2955" w:rsidRPr="000300C6" w:rsidRDefault="006B2955" w:rsidP="006B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Standard error</w:t>
            </w:r>
          </w:p>
        </w:tc>
        <w:tc>
          <w:tcPr>
            <w:tcW w:w="1298" w:type="dxa"/>
            <w:tcBorders>
              <w:top w:val="single" w:sz="4" w:space="0" w:color="auto"/>
              <w:bottom w:val="single" w:sz="4" w:space="0" w:color="auto"/>
            </w:tcBorders>
            <w:vAlign w:val="center"/>
          </w:tcPr>
          <w:p w14:paraId="0FA7D1AA" w14:textId="77777777" w:rsidR="006B2955" w:rsidRPr="000300C6" w:rsidRDefault="006B2955" w:rsidP="006B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Degrees of freedom</w:t>
            </w:r>
          </w:p>
        </w:tc>
        <w:tc>
          <w:tcPr>
            <w:tcW w:w="1238" w:type="dxa"/>
            <w:tcBorders>
              <w:top w:val="single" w:sz="4" w:space="0" w:color="auto"/>
              <w:bottom w:val="single" w:sz="4" w:space="0" w:color="auto"/>
            </w:tcBorders>
            <w:vAlign w:val="center"/>
          </w:tcPr>
          <w:p w14:paraId="34232972" w14:textId="77777777" w:rsidR="006B2955" w:rsidRPr="000300C6" w:rsidRDefault="006B2955" w:rsidP="006B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t-value</w:t>
            </w:r>
          </w:p>
        </w:tc>
        <w:tc>
          <w:tcPr>
            <w:tcW w:w="970" w:type="dxa"/>
            <w:tcBorders>
              <w:top w:val="single" w:sz="4" w:space="0" w:color="auto"/>
              <w:bottom w:val="single" w:sz="4" w:space="0" w:color="auto"/>
            </w:tcBorders>
            <w:vAlign w:val="center"/>
          </w:tcPr>
          <w:p w14:paraId="43F9C737" w14:textId="77777777" w:rsidR="006B2955" w:rsidRPr="000300C6" w:rsidRDefault="006B2955" w:rsidP="006B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tc>
      </w:tr>
      <w:tr w:rsidR="006B2955" w:rsidRPr="000300C6" w14:paraId="1795A597" w14:textId="77777777" w:rsidTr="00277BA4">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9730" w:type="dxa"/>
            <w:gridSpan w:val="7"/>
            <w:tcBorders>
              <w:top w:val="single" w:sz="4" w:space="0" w:color="auto"/>
              <w:bottom w:val="single" w:sz="4" w:space="0" w:color="auto"/>
            </w:tcBorders>
            <w:vAlign w:val="center"/>
          </w:tcPr>
          <w:p w14:paraId="545337EF" w14:textId="055DC561" w:rsidR="006B2955" w:rsidRPr="000300C6" w:rsidRDefault="006B2955" w:rsidP="006B2955">
            <w:pPr>
              <w:spacing w:after="0"/>
              <w:jc w:val="center"/>
              <w:rPr>
                <w:b w:val="0"/>
                <w:sz w:val="16"/>
                <w:szCs w:val="16"/>
              </w:rPr>
            </w:pPr>
            <w:r w:rsidRPr="000300C6">
              <w:rPr>
                <w:sz w:val="16"/>
                <w:szCs w:val="16"/>
              </w:rPr>
              <w:t>PRO-stratified groups</w:t>
            </w:r>
          </w:p>
        </w:tc>
      </w:tr>
      <w:tr w:rsidR="006B2955" w:rsidRPr="000300C6" w14:paraId="64977C81"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dashSmallGap" w:sz="4" w:space="0" w:color="auto"/>
              <w:right w:val="dotted" w:sz="4" w:space="0" w:color="auto"/>
            </w:tcBorders>
            <w:shd w:val="clear" w:color="auto" w:fill="auto"/>
          </w:tcPr>
          <w:p w14:paraId="24872F33" w14:textId="265A8892" w:rsidR="006B2955" w:rsidRPr="000300C6" w:rsidRDefault="006B2955" w:rsidP="006B2955">
            <w:pPr>
              <w:spacing w:after="0"/>
              <w:rPr>
                <w:sz w:val="14"/>
                <w:szCs w:val="14"/>
              </w:rPr>
            </w:pPr>
            <w:r w:rsidRPr="000300C6">
              <w:rPr>
                <w:sz w:val="14"/>
                <w:szCs w:val="14"/>
              </w:rPr>
              <w:t>Clostridium IV</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712A7783" w14:textId="33EE4578"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Timepoint</w:t>
            </w:r>
          </w:p>
        </w:tc>
        <w:tc>
          <w:tcPr>
            <w:tcW w:w="1236" w:type="dxa"/>
            <w:tcBorders>
              <w:top w:val="dotted" w:sz="4" w:space="0" w:color="auto"/>
              <w:left w:val="dotted" w:sz="4" w:space="0" w:color="auto"/>
              <w:bottom w:val="dotted" w:sz="4" w:space="0" w:color="auto"/>
              <w:right w:val="dotted" w:sz="4" w:space="0" w:color="auto"/>
            </w:tcBorders>
            <w:shd w:val="clear" w:color="auto" w:fill="auto"/>
            <w:vAlign w:val="center"/>
          </w:tcPr>
          <w:p w14:paraId="0537E171" w14:textId="56EBEA8E"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307" w:type="dxa"/>
            <w:tcBorders>
              <w:top w:val="dotted" w:sz="4" w:space="0" w:color="auto"/>
              <w:left w:val="dotted" w:sz="4" w:space="0" w:color="auto"/>
              <w:bottom w:val="dotted" w:sz="4" w:space="0" w:color="auto"/>
              <w:right w:val="dotted" w:sz="4" w:space="0" w:color="auto"/>
            </w:tcBorders>
            <w:shd w:val="clear" w:color="auto" w:fill="auto"/>
            <w:vAlign w:val="center"/>
          </w:tcPr>
          <w:p w14:paraId="4BD06179" w14:textId="33921AE2"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298" w:type="dxa"/>
            <w:tcBorders>
              <w:top w:val="dotted" w:sz="4" w:space="0" w:color="auto"/>
              <w:left w:val="dotted" w:sz="4" w:space="0" w:color="auto"/>
              <w:bottom w:val="dotted" w:sz="4" w:space="0" w:color="auto"/>
              <w:right w:val="dotted" w:sz="4" w:space="0" w:color="auto"/>
            </w:tcBorders>
            <w:shd w:val="clear" w:color="auto" w:fill="auto"/>
            <w:vAlign w:val="center"/>
          </w:tcPr>
          <w:p w14:paraId="14384C5B" w14:textId="071E2D0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116.77</w:t>
            </w:r>
          </w:p>
        </w:tc>
        <w:tc>
          <w:tcPr>
            <w:tcW w:w="1238" w:type="dxa"/>
            <w:tcBorders>
              <w:top w:val="dotted" w:sz="4" w:space="0" w:color="auto"/>
              <w:left w:val="dotted" w:sz="4" w:space="0" w:color="auto"/>
              <w:bottom w:val="dotted" w:sz="4" w:space="0" w:color="auto"/>
              <w:right w:val="dotted" w:sz="4" w:space="0" w:color="auto"/>
            </w:tcBorders>
            <w:shd w:val="clear" w:color="auto" w:fill="auto"/>
            <w:vAlign w:val="center"/>
          </w:tcPr>
          <w:p w14:paraId="4ED5FA07" w14:textId="2BB1AEEC"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1.04</w:t>
            </w:r>
          </w:p>
        </w:tc>
        <w:tc>
          <w:tcPr>
            <w:tcW w:w="970" w:type="dxa"/>
            <w:tcBorders>
              <w:top w:val="dotted" w:sz="4" w:space="0" w:color="auto"/>
              <w:left w:val="dotted" w:sz="4" w:space="0" w:color="auto"/>
              <w:bottom w:val="dotted" w:sz="4" w:space="0" w:color="auto"/>
            </w:tcBorders>
            <w:shd w:val="clear" w:color="auto" w:fill="auto"/>
            <w:vAlign w:val="center"/>
          </w:tcPr>
          <w:p w14:paraId="01E5B683" w14:textId="5A905D9D"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0.30</w:t>
            </w:r>
          </w:p>
        </w:tc>
      </w:tr>
      <w:tr w:rsidR="006B2955" w:rsidRPr="000300C6" w14:paraId="21E50410"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auto"/>
          </w:tcPr>
          <w:p w14:paraId="2290548F"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1608A773" w14:textId="51FC73EF" w:rsidR="006B2955" w:rsidRPr="000300C6" w:rsidRDefault="001D121C"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auto"/>
            <w:vAlign w:val="center"/>
          </w:tcPr>
          <w:p w14:paraId="650CB4C7" w14:textId="7137019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0.40</w:t>
            </w:r>
          </w:p>
        </w:tc>
        <w:tc>
          <w:tcPr>
            <w:tcW w:w="1307" w:type="dxa"/>
            <w:tcBorders>
              <w:top w:val="dotted" w:sz="4" w:space="0" w:color="auto"/>
              <w:left w:val="dotted" w:sz="4" w:space="0" w:color="auto"/>
              <w:bottom w:val="dotted" w:sz="4" w:space="0" w:color="auto"/>
              <w:right w:val="dotted" w:sz="4" w:space="0" w:color="auto"/>
            </w:tcBorders>
            <w:shd w:val="clear" w:color="auto" w:fill="auto"/>
            <w:vAlign w:val="center"/>
          </w:tcPr>
          <w:p w14:paraId="33801381" w14:textId="66447C48"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0.14</w:t>
            </w:r>
          </w:p>
        </w:tc>
        <w:tc>
          <w:tcPr>
            <w:tcW w:w="1298" w:type="dxa"/>
            <w:tcBorders>
              <w:top w:val="dotted" w:sz="4" w:space="0" w:color="auto"/>
              <w:left w:val="dotted" w:sz="4" w:space="0" w:color="auto"/>
              <w:bottom w:val="dotted" w:sz="4" w:space="0" w:color="auto"/>
              <w:right w:val="dotted" w:sz="4" w:space="0" w:color="auto"/>
            </w:tcBorders>
            <w:shd w:val="clear" w:color="auto" w:fill="auto"/>
            <w:vAlign w:val="center"/>
          </w:tcPr>
          <w:p w14:paraId="53791434" w14:textId="6C60B73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33.86</w:t>
            </w:r>
          </w:p>
        </w:tc>
        <w:tc>
          <w:tcPr>
            <w:tcW w:w="1238" w:type="dxa"/>
            <w:tcBorders>
              <w:top w:val="dotted" w:sz="4" w:space="0" w:color="auto"/>
              <w:left w:val="dotted" w:sz="4" w:space="0" w:color="auto"/>
              <w:bottom w:val="dotted" w:sz="4" w:space="0" w:color="auto"/>
              <w:right w:val="dotted" w:sz="4" w:space="0" w:color="auto"/>
            </w:tcBorders>
            <w:shd w:val="clear" w:color="auto" w:fill="auto"/>
            <w:vAlign w:val="center"/>
          </w:tcPr>
          <w:p w14:paraId="6708EEA6" w14:textId="55608EE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2.90</w:t>
            </w:r>
          </w:p>
        </w:tc>
        <w:tc>
          <w:tcPr>
            <w:tcW w:w="970" w:type="dxa"/>
            <w:tcBorders>
              <w:top w:val="dotted" w:sz="4" w:space="0" w:color="auto"/>
              <w:left w:val="dotted" w:sz="4" w:space="0" w:color="auto"/>
              <w:bottom w:val="dotted" w:sz="4" w:space="0" w:color="auto"/>
            </w:tcBorders>
            <w:shd w:val="clear" w:color="auto" w:fill="auto"/>
            <w:vAlign w:val="center"/>
          </w:tcPr>
          <w:p w14:paraId="5CB83563" w14:textId="7456B4BD"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b/>
                <w:sz w:val="14"/>
                <w:szCs w:val="14"/>
              </w:rPr>
              <w:t>0.007</w:t>
            </w:r>
          </w:p>
        </w:tc>
      </w:tr>
      <w:tr w:rsidR="006B2955" w:rsidRPr="000300C6" w14:paraId="0914B806"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auto"/>
          </w:tcPr>
          <w:p w14:paraId="69D99F45"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ashSmallGap" w:sz="4" w:space="0" w:color="auto"/>
              <w:right w:val="dotted" w:sz="4" w:space="0" w:color="auto"/>
            </w:tcBorders>
            <w:shd w:val="clear" w:color="auto" w:fill="auto"/>
            <w:vAlign w:val="center"/>
          </w:tcPr>
          <w:p w14:paraId="5CC00284" w14:textId="4AD42793"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ashSmallGap" w:sz="4" w:space="0" w:color="auto"/>
              <w:right w:val="dotted" w:sz="4" w:space="0" w:color="auto"/>
            </w:tcBorders>
            <w:shd w:val="clear" w:color="auto" w:fill="auto"/>
            <w:vAlign w:val="center"/>
          </w:tcPr>
          <w:p w14:paraId="4D2D63BC" w14:textId="42512E3D"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-0.04</w:t>
            </w:r>
          </w:p>
        </w:tc>
        <w:tc>
          <w:tcPr>
            <w:tcW w:w="1307" w:type="dxa"/>
            <w:tcBorders>
              <w:top w:val="dotted" w:sz="4" w:space="0" w:color="auto"/>
              <w:left w:val="dotted" w:sz="4" w:space="0" w:color="auto"/>
              <w:bottom w:val="dashSmallGap" w:sz="4" w:space="0" w:color="auto"/>
              <w:right w:val="dotted" w:sz="4" w:space="0" w:color="auto"/>
            </w:tcBorders>
            <w:shd w:val="clear" w:color="auto" w:fill="auto"/>
            <w:vAlign w:val="center"/>
          </w:tcPr>
          <w:p w14:paraId="6157FEB5" w14:textId="3F679F3F"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298" w:type="dxa"/>
            <w:tcBorders>
              <w:top w:val="dotted" w:sz="4" w:space="0" w:color="auto"/>
              <w:left w:val="dotted" w:sz="4" w:space="0" w:color="auto"/>
              <w:bottom w:val="dashSmallGap" w:sz="4" w:space="0" w:color="auto"/>
              <w:right w:val="dotted" w:sz="4" w:space="0" w:color="auto"/>
            </w:tcBorders>
            <w:shd w:val="clear" w:color="auto" w:fill="auto"/>
            <w:vAlign w:val="center"/>
          </w:tcPr>
          <w:p w14:paraId="07D356AD" w14:textId="0554F980"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116.60</w:t>
            </w:r>
          </w:p>
        </w:tc>
        <w:tc>
          <w:tcPr>
            <w:tcW w:w="1238" w:type="dxa"/>
            <w:tcBorders>
              <w:top w:val="dotted" w:sz="4" w:space="0" w:color="auto"/>
              <w:left w:val="dotted" w:sz="4" w:space="0" w:color="auto"/>
              <w:bottom w:val="dashSmallGap" w:sz="4" w:space="0" w:color="auto"/>
              <w:right w:val="dotted" w:sz="4" w:space="0" w:color="auto"/>
            </w:tcBorders>
            <w:shd w:val="clear" w:color="auto" w:fill="auto"/>
            <w:vAlign w:val="center"/>
          </w:tcPr>
          <w:p w14:paraId="51B0D40F" w14:textId="27F44D29"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-1.62</w:t>
            </w:r>
          </w:p>
        </w:tc>
        <w:tc>
          <w:tcPr>
            <w:tcW w:w="970" w:type="dxa"/>
            <w:tcBorders>
              <w:top w:val="dotted" w:sz="4" w:space="0" w:color="auto"/>
              <w:left w:val="dotted" w:sz="4" w:space="0" w:color="auto"/>
              <w:bottom w:val="dashSmallGap" w:sz="4" w:space="0" w:color="auto"/>
            </w:tcBorders>
            <w:shd w:val="clear" w:color="auto" w:fill="auto"/>
            <w:vAlign w:val="center"/>
          </w:tcPr>
          <w:p w14:paraId="07C4198C" w14:textId="6240F76F"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0.11</w:t>
            </w:r>
          </w:p>
        </w:tc>
      </w:tr>
      <w:tr w:rsidR="006B2955" w:rsidRPr="000300C6" w14:paraId="2DD127DA"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right w:val="dotted" w:sz="4" w:space="0" w:color="auto"/>
            </w:tcBorders>
            <w:shd w:val="clear" w:color="auto" w:fill="F2F2F2" w:themeFill="background1" w:themeFillShade="F2"/>
          </w:tcPr>
          <w:p w14:paraId="7AE47F70" w14:textId="77777777" w:rsidR="006B2955" w:rsidRPr="000300C6" w:rsidRDefault="006B2955" w:rsidP="006B2955">
            <w:pPr>
              <w:spacing w:after="0"/>
              <w:rPr>
                <w:b w:val="0"/>
                <w:sz w:val="14"/>
                <w:szCs w:val="14"/>
              </w:rPr>
            </w:pPr>
            <w:r w:rsidRPr="000300C6">
              <w:rPr>
                <w:sz w:val="14"/>
                <w:szCs w:val="14"/>
              </w:rPr>
              <w:t>Roseburia</w:t>
            </w:r>
          </w:p>
        </w:tc>
        <w:tc>
          <w:tcPr>
            <w:tcW w:w="1985"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2AF9F3E9" w14:textId="12D30A41"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520EEDD0" w14:textId="453D13B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0.02</w:t>
            </w:r>
          </w:p>
        </w:tc>
        <w:tc>
          <w:tcPr>
            <w:tcW w:w="1307"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21C618EF" w14:textId="532929FE"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0.07</w:t>
            </w:r>
          </w:p>
        </w:tc>
        <w:tc>
          <w:tcPr>
            <w:tcW w:w="129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47B75088" w14:textId="6D3CD40E"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28.70</w:t>
            </w:r>
          </w:p>
        </w:tc>
        <w:tc>
          <w:tcPr>
            <w:tcW w:w="123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5E9944BA" w14:textId="51A014AC"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0.27</w:t>
            </w:r>
          </w:p>
        </w:tc>
        <w:tc>
          <w:tcPr>
            <w:tcW w:w="970" w:type="dxa"/>
            <w:tcBorders>
              <w:top w:val="dashSmallGap" w:sz="4" w:space="0" w:color="auto"/>
              <w:left w:val="dotted" w:sz="4" w:space="0" w:color="auto"/>
              <w:bottom w:val="dotted" w:sz="4" w:space="0" w:color="auto"/>
            </w:tcBorders>
            <w:shd w:val="clear" w:color="auto" w:fill="F2F2F2" w:themeFill="background1" w:themeFillShade="F2"/>
            <w:vAlign w:val="center"/>
          </w:tcPr>
          <w:p w14:paraId="38EE6CD0" w14:textId="0545E06E"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0.80</w:t>
            </w:r>
          </w:p>
        </w:tc>
      </w:tr>
      <w:tr w:rsidR="006B2955" w:rsidRPr="000300C6" w14:paraId="7E2B1F07"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right w:val="dotted" w:sz="4" w:space="0" w:color="auto"/>
            </w:tcBorders>
          </w:tcPr>
          <w:p w14:paraId="4BF2AA31"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vAlign w:val="center"/>
          </w:tcPr>
          <w:p w14:paraId="3777E508" w14:textId="2B94A046" w:rsidR="006B2955" w:rsidRPr="000300C6" w:rsidRDefault="001D121C"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vAlign w:val="center"/>
          </w:tcPr>
          <w:p w14:paraId="0D9A2579" w14:textId="25E596B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0.37</w:t>
            </w:r>
          </w:p>
        </w:tc>
        <w:tc>
          <w:tcPr>
            <w:tcW w:w="1307" w:type="dxa"/>
            <w:tcBorders>
              <w:top w:val="dotted" w:sz="4" w:space="0" w:color="auto"/>
              <w:left w:val="dotted" w:sz="4" w:space="0" w:color="auto"/>
              <w:bottom w:val="dotted" w:sz="4" w:space="0" w:color="auto"/>
              <w:right w:val="dotted" w:sz="4" w:space="0" w:color="auto"/>
            </w:tcBorders>
            <w:vAlign w:val="center"/>
          </w:tcPr>
          <w:p w14:paraId="6D9C43F5" w14:textId="73D43EAD"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0.21</w:t>
            </w:r>
          </w:p>
        </w:tc>
        <w:tc>
          <w:tcPr>
            <w:tcW w:w="1298" w:type="dxa"/>
            <w:tcBorders>
              <w:top w:val="dotted" w:sz="4" w:space="0" w:color="auto"/>
              <w:left w:val="dotted" w:sz="4" w:space="0" w:color="auto"/>
              <w:bottom w:val="dotted" w:sz="4" w:space="0" w:color="auto"/>
              <w:right w:val="dotted" w:sz="4" w:space="0" w:color="auto"/>
            </w:tcBorders>
            <w:vAlign w:val="center"/>
          </w:tcPr>
          <w:p w14:paraId="1EE80644" w14:textId="30755C46"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28.23</w:t>
            </w:r>
          </w:p>
        </w:tc>
        <w:tc>
          <w:tcPr>
            <w:tcW w:w="1238" w:type="dxa"/>
            <w:tcBorders>
              <w:top w:val="dotted" w:sz="4" w:space="0" w:color="auto"/>
              <w:left w:val="dotted" w:sz="4" w:space="0" w:color="auto"/>
              <w:bottom w:val="dotted" w:sz="4" w:space="0" w:color="auto"/>
              <w:right w:val="dotted" w:sz="4" w:space="0" w:color="auto"/>
            </w:tcBorders>
            <w:vAlign w:val="center"/>
          </w:tcPr>
          <w:p w14:paraId="464526B6" w14:textId="2161B2C9"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1.79</w:t>
            </w:r>
          </w:p>
        </w:tc>
        <w:tc>
          <w:tcPr>
            <w:tcW w:w="970" w:type="dxa"/>
            <w:tcBorders>
              <w:top w:val="dotted" w:sz="4" w:space="0" w:color="auto"/>
              <w:left w:val="dotted" w:sz="4" w:space="0" w:color="auto"/>
              <w:bottom w:val="dotted" w:sz="4" w:space="0" w:color="auto"/>
            </w:tcBorders>
            <w:vAlign w:val="center"/>
          </w:tcPr>
          <w:p w14:paraId="65EADCF2" w14:textId="3C149C31"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b/>
                <w:sz w:val="14"/>
                <w:szCs w:val="14"/>
              </w:rPr>
              <w:t>0.08</w:t>
            </w:r>
          </w:p>
        </w:tc>
      </w:tr>
      <w:tr w:rsidR="006B2955" w:rsidRPr="000300C6" w14:paraId="57A82DD8"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right w:val="dotted" w:sz="4" w:space="0" w:color="auto"/>
            </w:tcBorders>
            <w:shd w:val="clear" w:color="auto" w:fill="F2F2F2" w:themeFill="background1" w:themeFillShade="F2"/>
          </w:tcPr>
          <w:p w14:paraId="57525E0E"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DEF2B83" w14:textId="1EF87306"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B64EDB3" w14:textId="35EE0757"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-0.07</w:t>
            </w:r>
          </w:p>
        </w:tc>
        <w:tc>
          <w:tcPr>
            <w:tcW w:w="13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9FFACD7" w14:textId="079C67DB"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0.06</w:t>
            </w:r>
          </w:p>
        </w:tc>
        <w:tc>
          <w:tcPr>
            <w:tcW w:w="12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0969284" w14:textId="1648E878"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29.86</w:t>
            </w:r>
          </w:p>
        </w:tc>
        <w:tc>
          <w:tcPr>
            <w:tcW w:w="12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B7FA6B2" w14:textId="060B0802"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-1.22</w:t>
            </w:r>
          </w:p>
        </w:tc>
        <w:tc>
          <w:tcPr>
            <w:tcW w:w="970" w:type="dxa"/>
            <w:tcBorders>
              <w:top w:val="dotted" w:sz="4" w:space="0" w:color="auto"/>
              <w:left w:val="dotted" w:sz="4" w:space="0" w:color="auto"/>
              <w:bottom w:val="dotted" w:sz="4" w:space="0" w:color="auto"/>
            </w:tcBorders>
            <w:shd w:val="clear" w:color="auto" w:fill="F2F2F2" w:themeFill="background1" w:themeFillShade="F2"/>
            <w:vAlign w:val="center"/>
          </w:tcPr>
          <w:p w14:paraId="1B2AE537" w14:textId="703EE1FB"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b/>
                <w:sz w:val="14"/>
                <w:szCs w:val="14"/>
              </w:rPr>
            </w:pPr>
            <w:r w:rsidRPr="000300C6">
              <w:rPr>
                <w:sz w:val="14"/>
                <w:szCs w:val="14"/>
              </w:rPr>
              <w:t>0.23</w:t>
            </w:r>
          </w:p>
        </w:tc>
      </w:tr>
      <w:tr w:rsidR="006B2955" w:rsidRPr="000300C6" w14:paraId="4304A759"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bottom w:val="dashSmallGap" w:sz="4" w:space="0" w:color="auto"/>
              <w:right w:val="dotted" w:sz="4" w:space="0" w:color="auto"/>
            </w:tcBorders>
          </w:tcPr>
          <w:p w14:paraId="79F50824" w14:textId="77777777" w:rsidR="006B2955" w:rsidRPr="000300C6" w:rsidRDefault="006B2955" w:rsidP="006B2955">
            <w:pPr>
              <w:spacing w:after="0"/>
              <w:rPr>
                <w:sz w:val="14"/>
                <w:szCs w:val="14"/>
              </w:rPr>
            </w:pPr>
            <w:r w:rsidRPr="000300C6">
              <w:rPr>
                <w:sz w:val="14"/>
                <w:szCs w:val="14"/>
              </w:rPr>
              <w:t>Phascolarctobacterium</w:t>
            </w:r>
          </w:p>
        </w:tc>
        <w:tc>
          <w:tcPr>
            <w:tcW w:w="1985" w:type="dxa"/>
            <w:tcBorders>
              <w:top w:val="dashSmallGap" w:sz="4" w:space="0" w:color="auto"/>
              <w:left w:val="dotted" w:sz="4" w:space="0" w:color="auto"/>
              <w:bottom w:val="dotted" w:sz="4" w:space="0" w:color="auto"/>
              <w:right w:val="dotted" w:sz="4" w:space="0" w:color="auto"/>
            </w:tcBorders>
            <w:shd w:val="clear" w:color="auto" w:fill="auto"/>
            <w:vAlign w:val="center"/>
          </w:tcPr>
          <w:p w14:paraId="484634A1" w14:textId="4F1E62BA"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auto"/>
            <w:vAlign w:val="center"/>
          </w:tcPr>
          <w:p w14:paraId="485DDF87" w14:textId="5BBE4A0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0.00</w:t>
            </w:r>
          </w:p>
        </w:tc>
        <w:tc>
          <w:tcPr>
            <w:tcW w:w="1307" w:type="dxa"/>
            <w:tcBorders>
              <w:top w:val="dashSmallGap" w:sz="4" w:space="0" w:color="auto"/>
              <w:left w:val="dotted" w:sz="4" w:space="0" w:color="auto"/>
              <w:bottom w:val="dotted" w:sz="4" w:space="0" w:color="auto"/>
              <w:right w:val="dotted" w:sz="4" w:space="0" w:color="auto"/>
            </w:tcBorders>
            <w:shd w:val="clear" w:color="auto" w:fill="auto"/>
            <w:vAlign w:val="center"/>
          </w:tcPr>
          <w:p w14:paraId="54550C1E" w14:textId="2E2B64FC"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0.05</w:t>
            </w:r>
          </w:p>
        </w:tc>
        <w:tc>
          <w:tcPr>
            <w:tcW w:w="1298" w:type="dxa"/>
            <w:tcBorders>
              <w:top w:val="dashSmallGap" w:sz="4" w:space="0" w:color="auto"/>
              <w:left w:val="dotted" w:sz="4" w:space="0" w:color="auto"/>
              <w:bottom w:val="dotted" w:sz="4" w:space="0" w:color="auto"/>
              <w:right w:val="dotted" w:sz="4" w:space="0" w:color="auto"/>
            </w:tcBorders>
            <w:shd w:val="clear" w:color="auto" w:fill="auto"/>
            <w:vAlign w:val="center"/>
          </w:tcPr>
          <w:p w14:paraId="5DBEBF13" w14:textId="51CDDAF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25.31</w:t>
            </w:r>
          </w:p>
        </w:tc>
        <w:tc>
          <w:tcPr>
            <w:tcW w:w="1238" w:type="dxa"/>
            <w:tcBorders>
              <w:top w:val="dashSmallGap" w:sz="4" w:space="0" w:color="auto"/>
              <w:left w:val="dotted" w:sz="4" w:space="0" w:color="auto"/>
              <w:bottom w:val="dotted" w:sz="4" w:space="0" w:color="auto"/>
              <w:right w:val="dotted" w:sz="4" w:space="0" w:color="auto"/>
            </w:tcBorders>
            <w:shd w:val="clear" w:color="auto" w:fill="auto"/>
            <w:vAlign w:val="center"/>
          </w:tcPr>
          <w:p w14:paraId="79B5367B" w14:textId="6156BB4E"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0.08</w:t>
            </w:r>
          </w:p>
        </w:tc>
        <w:tc>
          <w:tcPr>
            <w:tcW w:w="970" w:type="dxa"/>
            <w:tcBorders>
              <w:top w:val="dashSmallGap" w:sz="4" w:space="0" w:color="auto"/>
              <w:left w:val="dotted" w:sz="4" w:space="0" w:color="auto"/>
              <w:bottom w:val="dotted" w:sz="4" w:space="0" w:color="auto"/>
            </w:tcBorders>
            <w:shd w:val="clear" w:color="auto" w:fill="auto"/>
            <w:vAlign w:val="center"/>
          </w:tcPr>
          <w:p w14:paraId="37F8132E" w14:textId="575C7D4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0.94</w:t>
            </w:r>
          </w:p>
        </w:tc>
      </w:tr>
      <w:tr w:rsidR="006B2955" w:rsidRPr="000300C6" w14:paraId="6963451E"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tcPr>
          <w:p w14:paraId="2494E0CB"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7E808EF4" w14:textId="6D4ACDBC" w:rsidR="006B2955" w:rsidRPr="000300C6" w:rsidRDefault="001D121C"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auto"/>
            <w:vAlign w:val="center"/>
          </w:tcPr>
          <w:p w14:paraId="24F92439" w14:textId="2D99AA32"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-0.03</w:t>
            </w:r>
          </w:p>
        </w:tc>
        <w:tc>
          <w:tcPr>
            <w:tcW w:w="1307" w:type="dxa"/>
            <w:tcBorders>
              <w:top w:val="dotted" w:sz="4" w:space="0" w:color="auto"/>
              <w:left w:val="dotted" w:sz="4" w:space="0" w:color="auto"/>
              <w:bottom w:val="dotted" w:sz="4" w:space="0" w:color="auto"/>
              <w:right w:val="dotted" w:sz="4" w:space="0" w:color="auto"/>
            </w:tcBorders>
            <w:shd w:val="clear" w:color="auto" w:fill="auto"/>
            <w:vAlign w:val="center"/>
          </w:tcPr>
          <w:p w14:paraId="04EF62AC" w14:textId="7B22FCA1"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0.18</w:t>
            </w:r>
          </w:p>
        </w:tc>
        <w:tc>
          <w:tcPr>
            <w:tcW w:w="1298" w:type="dxa"/>
            <w:tcBorders>
              <w:top w:val="dotted" w:sz="4" w:space="0" w:color="auto"/>
              <w:left w:val="dotted" w:sz="4" w:space="0" w:color="auto"/>
              <w:bottom w:val="dotted" w:sz="4" w:space="0" w:color="auto"/>
              <w:right w:val="dotted" w:sz="4" w:space="0" w:color="auto"/>
            </w:tcBorders>
            <w:shd w:val="clear" w:color="auto" w:fill="auto"/>
            <w:vAlign w:val="center"/>
          </w:tcPr>
          <w:p w14:paraId="6EA90A4B" w14:textId="08429CBC"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31.21</w:t>
            </w:r>
          </w:p>
        </w:tc>
        <w:tc>
          <w:tcPr>
            <w:tcW w:w="1238" w:type="dxa"/>
            <w:tcBorders>
              <w:top w:val="dotted" w:sz="4" w:space="0" w:color="auto"/>
              <w:left w:val="dotted" w:sz="4" w:space="0" w:color="auto"/>
              <w:bottom w:val="dotted" w:sz="4" w:space="0" w:color="auto"/>
              <w:right w:val="dotted" w:sz="4" w:space="0" w:color="auto"/>
            </w:tcBorders>
            <w:shd w:val="clear" w:color="auto" w:fill="auto"/>
            <w:vAlign w:val="center"/>
          </w:tcPr>
          <w:p w14:paraId="65FCC6B8" w14:textId="7E838FAA"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-0.18</w:t>
            </w:r>
          </w:p>
        </w:tc>
        <w:tc>
          <w:tcPr>
            <w:tcW w:w="970" w:type="dxa"/>
            <w:tcBorders>
              <w:top w:val="dotted" w:sz="4" w:space="0" w:color="auto"/>
              <w:left w:val="dotted" w:sz="4" w:space="0" w:color="auto"/>
              <w:bottom w:val="dotted" w:sz="4" w:space="0" w:color="auto"/>
            </w:tcBorders>
            <w:shd w:val="clear" w:color="auto" w:fill="auto"/>
            <w:vAlign w:val="center"/>
          </w:tcPr>
          <w:p w14:paraId="2D607B34" w14:textId="182B75E1"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0.86</w:t>
            </w:r>
          </w:p>
        </w:tc>
      </w:tr>
      <w:tr w:rsidR="006B2955" w:rsidRPr="000300C6" w14:paraId="24AE947F"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tcPr>
          <w:p w14:paraId="205F77D4"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0984B106" w14:textId="02BF70ED"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otted" w:sz="4" w:space="0" w:color="auto"/>
              <w:right w:val="dotted" w:sz="4" w:space="0" w:color="auto"/>
            </w:tcBorders>
            <w:shd w:val="clear" w:color="auto" w:fill="auto"/>
            <w:vAlign w:val="center"/>
          </w:tcPr>
          <w:p w14:paraId="4287DEB7" w14:textId="3BA9B0C1"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307" w:type="dxa"/>
            <w:tcBorders>
              <w:top w:val="dotted" w:sz="4" w:space="0" w:color="auto"/>
              <w:left w:val="dotted" w:sz="4" w:space="0" w:color="auto"/>
              <w:bottom w:val="dotted" w:sz="4" w:space="0" w:color="auto"/>
              <w:right w:val="dotted" w:sz="4" w:space="0" w:color="auto"/>
            </w:tcBorders>
            <w:shd w:val="clear" w:color="auto" w:fill="auto"/>
            <w:vAlign w:val="center"/>
          </w:tcPr>
          <w:p w14:paraId="7177DA69" w14:textId="77EEA850"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0.04</w:t>
            </w:r>
          </w:p>
        </w:tc>
        <w:tc>
          <w:tcPr>
            <w:tcW w:w="1298" w:type="dxa"/>
            <w:tcBorders>
              <w:top w:val="dotted" w:sz="4" w:space="0" w:color="auto"/>
              <w:left w:val="dotted" w:sz="4" w:space="0" w:color="auto"/>
              <w:bottom w:val="dotted" w:sz="4" w:space="0" w:color="auto"/>
              <w:right w:val="dotted" w:sz="4" w:space="0" w:color="auto"/>
            </w:tcBorders>
            <w:shd w:val="clear" w:color="auto" w:fill="auto"/>
            <w:vAlign w:val="center"/>
          </w:tcPr>
          <w:p w14:paraId="1E02D65F" w14:textId="19BBFADA"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25.90</w:t>
            </w:r>
          </w:p>
        </w:tc>
        <w:tc>
          <w:tcPr>
            <w:tcW w:w="1238" w:type="dxa"/>
            <w:tcBorders>
              <w:top w:val="dotted" w:sz="4" w:space="0" w:color="auto"/>
              <w:left w:val="dotted" w:sz="4" w:space="0" w:color="auto"/>
              <w:bottom w:val="dotted" w:sz="4" w:space="0" w:color="auto"/>
              <w:right w:val="dotted" w:sz="4" w:space="0" w:color="auto"/>
            </w:tcBorders>
            <w:shd w:val="clear" w:color="auto" w:fill="auto"/>
            <w:vAlign w:val="center"/>
          </w:tcPr>
          <w:p w14:paraId="6DE6C776" w14:textId="5B93455A"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0.85</w:t>
            </w:r>
          </w:p>
        </w:tc>
        <w:tc>
          <w:tcPr>
            <w:tcW w:w="970" w:type="dxa"/>
            <w:tcBorders>
              <w:top w:val="dotted" w:sz="4" w:space="0" w:color="auto"/>
              <w:left w:val="dotted" w:sz="4" w:space="0" w:color="auto"/>
              <w:bottom w:val="dotted" w:sz="4" w:space="0" w:color="auto"/>
            </w:tcBorders>
            <w:shd w:val="clear" w:color="auto" w:fill="auto"/>
            <w:vAlign w:val="center"/>
          </w:tcPr>
          <w:p w14:paraId="497EE89C" w14:textId="3BD86476"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0.40</w:t>
            </w:r>
          </w:p>
        </w:tc>
      </w:tr>
      <w:tr w:rsidR="006B2955" w:rsidRPr="000300C6" w14:paraId="32B51493"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bottom w:val="single" w:sz="4" w:space="0" w:color="auto"/>
              <w:right w:val="dotted" w:sz="4" w:space="0" w:color="auto"/>
            </w:tcBorders>
            <w:shd w:val="clear" w:color="auto" w:fill="F2F2F2" w:themeFill="background1" w:themeFillShade="F2"/>
          </w:tcPr>
          <w:p w14:paraId="7BC288BC" w14:textId="333137A0" w:rsidR="006B2955" w:rsidRPr="000300C6" w:rsidRDefault="006B2955" w:rsidP="006B2955">
            <w:pPr>
              <w:spacing w:after="0"/>
              <w:rPr>
                <w:sz w:val="14"/>
                <w:szCs w:val="14"/>
              </w:rPr>
            </w:pPr>
            <w:r w:rsidRPr="000300C6">
              <w:rPr>
                <w:sz w:val="14"/>
                <w:szCs w:val="14"/>
              </w:rPr>
              <w:t>Sutterella</w:t>
            </w:r>
          </w:p>
        </w:tc>
        <w:tc>
          <w:tcPr>
            <w:tcW w:w="1985"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71049D0A" w14:textId="35521E21"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59097581" w14:textId="2A5AB3A1"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-0.01</w:t>
            </w:r>
          </w:p>
        </w:tc>
        <w:tc>
          <w:tcPr>
            <w:tcW w:w="1307"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5AEDACDB" w14:textId="74A9E095"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0.05</w:t>
            </w:r>
          </w:p>
        </w:tc>
        <w:tc>
          <w:tcPr>
            <w:tcW w:w="129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6B0D22F9" w14:textId="34199DB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26.61</w:t>
            </w:r>
          </w:p>
        </w:tc>
        <w:tc>
          <w:tcPr>
            <w:tcW w:w="123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7203AD5B" w14:textId="55C3D9AE"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-0.30</w:t>
            </w:r>
          </w:p>
        </w:tc>
        <w:tc>
          <w:tcPr>
            <w:tcW w:w="970" w:type="dxa"/>
            <w:tcBorders>
              <w:top w:val="dashSmallGap" w:sz="4" w:space="0" w:color="auto"/>
              <w:left w:val="dotted" w:sz="4" w:space="0" w:color="auto"/>
              <w:bottom w:val="dotted" w:sz="4" w:space="0" w:color="auto"/>
            </w:tcBorders>
            <w:shd w:val="clear" w:color="auto" w:fill="F2F2F2" w:themeFill="background1" w:themeFillShade="F2"/>
            <w:vAlign w:val="center"/>
          </w:tcPr>
          <w:p w14:paraId="121E627D" w14:textId="5582D98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0.78</w:t>
            </w:r>
          </w:p>
        </w:tc>
      </w:tr>
      <w:tr w:rsidR="006B2955" w:rsidRPr="000300C6" w14:paraId="7DEBEBA5"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single" w:sz="4" w:space="0" w:color="auto"/>
              <w:right w:val="dotted" w:sz="4" w:space="0" w:color="auto"/>
            </w:tcBorders>
          </w:tcPr>
          <w:p w14:paraId="67E329F6"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vAlign w:val="center"/>
          </w:tcPr>
          <w:p w14:paraId="10CDA50D" w14:textId="0A371183" w:rsidR="006B2955" w:rsidRPr="000300C6" w:rsidRDefault="001D121C"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vAlign w:val="center"/>
          </w:tcPr>
          <w:p w14:paraId="3C419FAA" w14:textId="5F8CF9D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0.19</w:t>
            </w:r>
          </w:p>
        </w:tc>
        <w:tc>
          <w:tcPr>
            <w:tcW w:w="1307" w:type="dxa"/>
            <w:tcBorders>
              <w:top w:val="dotted" w:sz="4" w:space="0" w:color="auto"/>
              <w:left w:val="dotted" w:sz="4" w:space="0" w:color="auto"/>
              <w:bottom w:val="dotted" w:sz="4" w:space="0" w:color="auto"/>
              <w:right w:val="dotted" w:sz="4" w:space="0" w:color="auto"/>
            </w:tcBorders>
            <w:vAlign w:val="center"/>
          </w:tcPr>
          <w:p w14:paraId="3C972296" w14:textId="3E5A3D52"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0.18</w:t>
            </w:r>
          </w:p>
        </w:tc>
        <w:tc>
          <w:tcPr>
            <w:tcW w:w="1298" w:type="dxa"/>
            <w:tcBorders>
              <w:top w:val="dotted" w:sz="4" w:space="0" w:color="auto"/>
              <w:left w:val="dotted" w:sz="4" w:space="0" w:color="auto"/>
              <w:bottom w:val="dotted" w:sz="4" w:space="0" w:color="auto"/>
              <w:right w:val="dotted" w:sz="4" w:space="0" w:color="auto"/>
            </w:tcBorders>
            <w:vAlign w:val="center"/>
          </w:tcPr>
          <w:p w14:paraId="0D16A891" w14:textId="26EF48CF"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29.07</w:t>
            </w:r>
          </w:p>
        </w:tc>
        <w:tc>
          <w:tcPr>
            <w:tcW w:w="1238" w:type="dxa"/>
            <w:tcBorders>
              <w:top w:val="dotted" w:sz="4" w:space="0" w:color="auto"/>
              <w:left w:val="dotted" w:sz="4" w:space="0" w:color="auto"/>
              <w:bottom w:val="dotted" w:sz="4" w:space="0" w:color="auto"/>
              <w:right w:val="dotted" w:sz="4" w:space="0" w:color="auto"/>
            </w:tcBorders>
            <w:vAlign w:val="center"/>
          </w:tcPr>
          <w:p w14:paraId="394D6E82" w14:textId="44C8F4C1"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1.03</w:t>
            </w:r>
          </w:p>
        </w:tc>
        <w:tc>
          <w:tcPr>
            <w:tcW w:w="970" w:type="dxa"/>
            <w:tcBorders>
              <w:top w:val="dotted" w:sz="4" w:space="0" w:color="auto"/>
              <w:left w:val="dotted" w:sz="4" w:space="0" w:color="auto"/>
              <w:bottom w:val="dotted" w:sz="4" w:space="0" w:color="auto"/>
            </w:tcBorders>
            <w:vAlign w:val="center"/>
          </w:tcPr>
          <w:p w14:paraId="6A955507" w14:textId="6C627BDC"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0.31</w:t>
            </w:r>
          </w:p>
        </w:tc>
      </w:tr>
      <w:tr w:rsidR="006B2955" w:rsidRPr="000300C6" w14:paraId="2E3A5209"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single" w:sz="4" w:space="0" w:color="auto"/>
              <w:right w:val="dotted" w:sz="4" w:space="0" w:color="auto"/>
            </w:tcBorders>
            <w:shd w:val="clear" w:color="auto" w:fill="F2F2F2" w:themeFill="background1" w:themeFillShade="F2"/>
          </w:tcPr>
          <w:p w14:paraId="5EBC0DAE"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F65A60C" w14:textId="319646AA"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9A01265" w14:textId="5C1BBD65"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0.02</w:t>
            </w:r>
          </w:p>
        </w:tc>
        <w:tc>
          <w:tcPr>
            <w:tcW w:w="13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CEE863A" w14:textId="2F3DADB3"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0.04</w:t>
            </w:r>
          </w:p>
        </w:tc>
        <w:tc>
          <w:tcPr>
            <w:tcW w:w="12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5A06198" w14:textId="6C3D75FB"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27.35</w:t>
            </w:r>
          </w:p>
        </w:tc>
        <w:tc>
          <w:tcPr>
            <w:tcW w:w="12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4CCEE3E" w14:textId="0CE402BE"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0.64</w:t>
            </w:r>
          </w:p>
        </w:tc>
        <w:tc>
          <w:tcPr>
            <w:tcW w:w="970" w:type="dxa"/>
            <w:tcBorders>
              <w:top w:val="dotted" w:sz="4" w:space="0" w:color="auto"/>
              <w:left w:val="dotted" w:sz="4" w:space="0" w:color="auto"/>
              <w:bottom w:val="dotted" w:sz="4" w:space="0" w:color="auto"/>
            </w:tcBorders>
            <w:shd w:val="clear" w:color="auto" w:fill="F2F2F2" w:themeFill="background1" w:themeFillShade="F2"/>
            <w:vAlign w:val="center"/>
          </w:tcPr>
          <w:p w14:paraId="54DC9B30" w14:textId="2249DD83"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0.53</w:t>
            </w:r>
          </w:p>
        </w:tc>
      </w:tr>
      <w:tr w:rsidR="006B2955" w:rsidRPr="000300C6" w14:paraId="79EACBB6" w14:textId="77777777" w:rsidTr="00277BA4">
        <w:trPr>
          <w:trHeight w:val="58"/>
          <w:jc w:val="center"/>
        </w:trPr>
        <w:tc>
          <w:tcPr>
            <w:cnfStyle w:val="001000000000" w:firstRow="0" w:lastRow="0" w:firstColumn="1" w:lastColumn="0" w:oddVBand="0" w:evenVBand="0" w:oddHBand="0" w:evenHBand="0" w:firstRowFirstColumn="0" w:firstRowLastColumn="0" w:lastRowFirstColumn="0" w:lastRowLastColumn="0"/>
            <w:tcW w:w="9730" w:type="dxa"/>
            <w:gridSpan w:val="7"/>
            <w:tcBorders>
              <w:top w:val="single" w:sz="4" w:space="0" w:color="auto"/>
              <w:bottom w:val="single" w:sz="4" w:space="0" w:color="auto"/>
            </w:tcBorders>
            <w:vAlign w:val="center"/>
          </w:tcPr>
          <w:p w14:paraId="3507739B" w14:textId="7BB27779" w:rsidR="006B2955" w:rsidRPr="000300C6" w:rsidRDefault="006B2955" w:rsidP="006B2955">
            <w:pPr>
              <w:spacing w:after="0"/>
              <w:jc w:val="center"/>
              <w:rPr>
                <w:sz w:val="14"/>
                <w:szCs w:val="14"/>
              </w:rPr>
            </w:pPr>
            <w:r w:rsidRPr="000300C6">
              <w:rPr>
                <w:sz w:val="16"/>
                <w:szCs w:val="16"/>
              </w:rPr>
              <w:t>CRO-stratified groups</w:t>
            </w:r>
          </w:p>
        </w:tc>
      </w:tr>
      <w:tr w:rsidR="006B2955" w:rsidRPr="000300C6" w14:paraId="6993AF71"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dashSmallGap" w:sz="4" w:space="0" w:color="auto"/>
              <w:right w:val="dotted" w:sz="4" w:space="0" w:color="auto"/>
            </w:tcBorders>
            <w:shd w:val="clear" w:color="auto" w:fill="F2F2F2" w:themeFill="background1" w:themeFillShade="F2"/>
          </w:tcPr>
          <w:p w14:paraId="6311B50C" w14:textId="13DA5717" w:rsidR="006B2955" w:rsidRPr="000300C6" w:rsidRDefault="006B2955" w:rsidP="006B2955">
            <w:pPr>
              <w:spacing w:after="0"/>
              <w:rPr>
                <w:sz w:val="14"/>
                <w:szCs w:val="14"/>
              </w:rPr>
            </w:pPr>
            <w:r w:rsidRPr="000300C6">
              <w:rPr>
                <w:sz w:val="14"/>
                <w:szCs w:val="14"/>
              </w:rPr>
              <w:t>Clostridium IV</w:t>
            </w:r>
          </w:p>
        </w:tc>
        <w:tc>
          <w:tcPr>
            <w:tcW w:w="1985"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395B7848" w14:textId="644BEC08"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Timepoint</w:t>
            </w:r>
          </w:p>
        </w:tc>
        <w:tc>
          <w:tcPr>
            <w:tcW w:w="1236"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052243B8" w14:textId="4FAAD8B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-0.00</w:t>
            </w:r>
          </w:p>
        </w:tc>
        <w:tc>
          <w:tcPr>
            <w:tcW w:w="1307"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0E8C89FE" w14:textId="68485D83"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0.03</w:t>
            </w:r>
          </w:p>
        </w:tc>
        <w:tc>
          <w:tcPr>
            <w:tcW w:w="1298"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409685D4" w14:textId="3B38488D"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94.30</w:t>
            </w:r>
          </w:p>
        </w:tc>
        <w:tc>
          <w:tcPr>
            <w:tcW w:w="1238"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6998E477" w14:textId="79441A8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-0.13</w:t>
            </w:r>
          </w:p>
        </w:tc>
        <w:tc>
          <w:tcPr>
            <w:tcW w:w="970" w:type="dxa"/>
            <w:tcBorders>
              <w:top w:val="single" w:sz="4" w:space="0" w:color="auto"/>
              <w:left w:val="dotted" w:sz="4" w:space="0" w:color="auto"/>
              <w:bottom w:val="dotted" w:sz="4" w:space="0" w:color="auto"/>
            </w:tcBorders>
            <w:shd w:val="clear" w:color="auto" w:fill="F2F2F2" w:themeFill="background1" w:themeFillShade="F2"/>
            <w:vAlign w:val="center"/>
          </w:tcPr>
          <w:p w14:paraId="298189E4" w14:textId="44BA3D3A"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0.90</w:t>
            </w:r>
          </w:p>
        </w:tc>
      </w:tr>
      <w:tr w:rsidR="006B2955" w:rsidRPr="000300C6" w14:paraId="0895B3BB"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F2F2F2" w:themeFill="background1" w:themeFillShade="F2"/>
          </w:tcPr>
          <w:p w14:paraId="61BE640E"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0115D67" w14:textId="356F8768" w:rsidR="006B2955" w:rsidRPr="000300C6" w:rsidRDefault="001D121C"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5391CFA" w14:textId="1E1AB3CD"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0.17</w:t>
            </w:r>
          </w:p>
        </w:tc>
        <w:tc>
          <w:tcPr>
            <w:tcW w:w="13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B194D28" w14:textId="017076B3"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0.13</w:t>
            </w:r>
          </w:p>
        </w:tc>
        <w:tc>
          <w:tcPr>
            <w:tcW w:w="12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4B1C310" w14:textId="52865F7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31.01</w:t>
            </w:r>
          </w:p>
        </w:tc>
        <w:tc>
          <w:tcPr>
            <w:tcW w:w="12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294F3E2" w14:textId="0809E33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1.32</w:t>
            </w:r>
          </w:p>
        </w:tc>
        <w:tc>
          <w:tcPr>
            <w:tcW w:w="970" w:type="dxa"/>
            <w:tcBorders>
              <w:top w:val="dotted" w:sz="4" w:space="0" w:color="auto"/>
              <w:left w:val="dotted" w:sz="4" w:space="0" w:color="auto"/>
              <w:bottom w:val="dotted" w:sz="4" w:space="0" w:color="auto"/>
            </w:tcBorders>
            <w:shd w:val="clear" w:color="auto" w:fill="F2F2F2" w:themeFill="background1" w:themeFillShade="F2"/>
            <w:vAlign w:val="center"/>
          </w:tcPr>
          <w:p w14:paraId="375D1259" w14:textId="7E5E07F2"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0.20</w:t>
            </w:r>
          </w:p>
        </w:tc>
      </w:tr>
      <w:tr w:rsidR="006B2955" w:rsidRPr="000300C6" w14:paraId="4FC70A64"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F2F2F2" w:themeFill="background1" w:themeFillShade="F2"/>
          </w:tcPr>
          <w:p w14:paraId="721CC6C7"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ashSmallGap" w:sz="4" w:space="0" w:color="auto"/>
              <w:right w:val="dotted" w:sz="4" w:space="0" w:color="auto"/>
            </w:tcBorders>
            <w:shd w:val="clear" w:color="auto" w:fill="F2F2F2" w:themeFill="background1" w:themeFillShade="F2"/>
            <w:vAlign w:val="center"/>
          </w:tcPr>
          <w:p w14:paraId="5502A2D3" w14:textId="418871BD"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ashSmallGap" w:sz="4" w:space="0" w:color="auto"/>
              <w:right w:val="dotted" w:sz="4" w:space="0" w:color="auto"/>
            </w:tcBorders>
            <w:shd w:val="clear" w:color="auto" w:fill="F2F2F2" w:themeFill="background1" w:themeFillShade="F2"/>
            <w:vAlign w:val="center"/>
          </w:tcPr>
          <w:p w14:paraId="612D4D18" w14:textId="27192EB7"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-0.01</w:t>
            </w:r>
          </w:p>
        </w:tc>
        <w:tc>
          <w:tcPr>
            <w:tcW w:w="1307" w:type="dxa"/>
            <w:tcBorders>
              <w:top w:val="dotted" w:sz="4" w:space="0" w:color="auto"/>
              <w:left w:val="dotted" w:sz="4" w:space="0" w:color="auto"/>
              <w:bottom w:val="dashSmallGap" w:sz="4" w:space="0" w:color="auto"/>
              <w:right w:val="dotted" w:sz="4" w:space="0" w:color="auto"/>
            </w:tcBorders>
            <w:shd w:val="clear" w:color="auto" w:fill="F2F2F2" w:themeFill="background1" w:themeFillShade="F2"/>
            <w:vAlign w:val="center"/>
          </w:tcPr>
          <w:p w14:paraId="21F386C2" w14:textId="0C21E88B"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0.02</w:t>
            </w:r>
          </w:p>
        </w:tc>
        <w:tc>
          <w:tcPr>
            <w:tcW w:w="1298" w:type="dxa"/>
            <w:tcBorders>
              <w:top w:val="dotted" w:sz="4" w:space="0" w:color="auto"/>
              <w:left w:val="dotted" w:sz="4" w:space="0" w:color="auto"/>
              <w:bottom w:val="dashSmallGap" w:sz="4" w:space="0" w:color="auto"/>
              <w:right w:val="dotted" w:sz="4" w:space="0" w:color="auto"/>
            </w:tcBorders>
            <w:shd w:val="clear" w:color="auto" w:fill="F2F2F2" w:themeFill="background1" w:themeFillShade="F2"/>
            <w:vAlign w:val="center"/>
          </w:tcPr>
          <w:p w14:paraId="16858FAE" w14:textId="0BE2C99B"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90.29</w:t>
            </w:r>
          </w:p>
        </w:tc>
        <w:tc>
          <w:tcPr>
            <w:tcW w:w="1238" w:type="dxa"/>
            <w:tcBorders>
              <w:top w:val="dotted" w:sz="4" w:space="0" w:color="auto"/>
              <w:left w:val="dotted" w:sz="4" w:space="0" w:color="auto"/>
              <w:bottom w:val="dashSmallGap" w:sz="4" w:space="0" w:color="auto"/>
              <w:right w:val="dotted" w:sz="4" w:space="0" w:color="auto"/>
            </w:tcBorders>
            <w:shd w:val="clear" w:color="auto" w:fill="F2F2F2" w:themeFill="background1" w:themeFillShade="F2"/>
            <w:vAlign w:val="center"/>
          </w:tcPr>
          <w:p w14:paraId="1CE5B977" w14:textId="165D002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-0.31</w:t>
            </w:r>
          </w:p>
        </w:tc>
        <w:tc>
          <w:tcPr>
            <w:tcW w:w="970" w:type="dxa"/>
            <w:tcBorders>
              <w:top w:val="dotted" w:sz="4" w:space="0" w:color="auto"/>
              <w:left w:val="dotted" w:sz="4" w:space="0" w:color="auto"/>
              <w:bottom w:val="dashSmallGap" w:sz="4" w:space="0" w:color="auto"/>
            </w:tcBorders>
            <w:shd w:val="clear" w:color="auto" w:fill="F2F2F2" w:themeFill="background1" w:themeFillShade="F2"/>
            <w:vAlign w:val="center"/>
          </w:tcPr>
          <w:p w14:paraId="3408C700" w14:textId="08DA83AD"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0.76</w:t>
            </w:r>
          </w:p>
        </w:tc>
      </w:tr>
      <w:tr w:rsidR="006B2955" w:rsidRPr="000300C6" w14:paraId="1CC4A49C"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bottom w:val="dashSmallGap" w:sz="4" w:space="0" w:color="auto"/>
              <w:right w:val="dotted" w:sz="4" w:space="0" w:color="auto"/>
            </w:tcBorders>
            <w:shd w:val="clear" w:color="auto" w:fill="FFFFFF" w:themeFill="background1"/>
          </w:tcPr>
          <w:p w14:paraId="06EF560B" w14:textId="3F086219" w:rsidR="006B2955" w:rsidRPr="000300C6" w:rsidRDefault="006B2955" w:rsidP="006B2955">
            <w:pPr>
              <w:spacing w:after="0"/>
              <w:rPr>
                <w:sz w:val="14"/>
                <w:szCs w:val="14"/>
              </w:rPr>
            </w:pPr>
            <w:r w:rsidRPr="000300C6">
              <w:rPr>
                <w:sz w:val="14"/>
                <w:szCs w:val="14"/>
              </w:rPr>
              <w:t>Roseburia</w:t>
            </w:r>
          </w:p>
        </w:tc>
        <w:tc>
          <w:tcPr>
            <w:tcW w:w="198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26C49839" w14:textId="01DDF401"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5F108D56" w14:textId="3AE67346"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-0.07</w:t>
            </w:r>
          </w:p>
        </w:tc>
        <w:tc>
          <w:tcPr>
            <w:tcW w:w="1307"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190AF2C9" w14:textId="35E1250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0.08</w:t>
            </w:r>
          </w:p>
        </w:tc>
        <w:tc>
          <w:tcPr>
            <w:tcW w:w="129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5410DAFD" w14:textId="1955DA1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27.98</w:t>
            </w:r>
          </w:p>
        </w:tc>
        <w:tc>
          <w:tcPr>
            <w:tcW w:w="123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25AE112D" w14:textId="0D9CF482"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-0.93</w:t>
            </w:r>
          </w:p>
        </w:tc>
        <w:tc>
          <w:tcPr>
            <w:tcW w:w="970" w:type="dxa"/>
            <w:tcBorders>
              <w:top w:val="dashSmallGap" w:sz="4" w:space="0" w:color="auto"/>
              <w:left w:val="dotted" w:sz="4" w:space="0" w:color="auto"/>
              <w:bottom w:val="dotted" w:sz="4" w:space="0" w:color="auto"/>
            </w:tcBorders>
            <w:shd w:val="clear" w:color="auto" w:fill="FFFFFF" w:themeFill="background1"/>
            <w:vAlign w:val="center"/>
          </w:tcPr>
          <w:p w14:paraId="21D5A917" w14:textId="595CE9A1"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0.36</w:t>
            </w:r>
          </w:p>
        </w:tc>
      </w:tr>
      <w:tr w:rsidR="006B2955" w:rsidRPr="000300C6" w14:paraId="26AB96D6"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FFFFFF" w:themeFill="background1"/>
          </w:tcPr>
          <w:p w14:paraId="3EEBB290"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2E197F" w14:textId="65AEC069" w:rsidR="006B2955" w:rsidRPr="000300C6" w:rsidRDefault="001D121C"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951F83" w14:textId="0FBB72C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0.42</w:t>
            </w:r>
          </w:p>
        </w:tc>
        <w:tc>
          <w:tcPr>
            <w:tcW w:w="130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E6C087" w14:textId="252DD72A"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0.18</w:t>
            </w:r>
          </w:p>
        </w:tc>
        <w:tc>
          <w:tcPr>
            <w:tcW w:w="129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074D004" w14:textId="6AA42E9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26.44</w:t>
            </w:r>
          </w:p>
        </w:tc>
        <w:tc>
          <w:tcPr>
            <w:tcW w:w="123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C5CDC2D" w14:textId="379B2F0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0.23</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4177A96D" w14:textId="57678B16"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0.82</w:t>
            </w:r>
          </w:p>
        </w:tc>
      </w:tr>
      <w:tr w:rsidR="006B2955" w:rsidRPr="000300C6" w14:paraId="3BBE5865"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ashSmallGap" w:sz="4" w:space="0" w:color="auto"/>
              <w:bottom w:val="dashSmallGap" w:sz="4" w:space="0" w:color="auto"/>
              <w:right w:val="dotted" w:sz="4" w:space="0" w:color="auto"/>
            </w:tcBorders>
            <w:shd w:val="clear" w:color="auto" w:fill="FFFFFF" w:themeFill="background1"/>
          </w:tcPr>
          <w:p w14:paraId="1FC65A39"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7800551" w14:textId="1452F35D"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558A847" w14:textId="1ED1D5C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0.01</w:t>
            </w:r>
          </w:p>
        </w:tc>
        <w:tc>
          <w:tcPr>
            <w:tcW w:w="130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3C79F1" w14:textId="7302800A"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0.05</w:t>
            </w:r>
          </w:p>
        </w:tc>
        <w:tc>
          <w:tcPr>
            <w:tcW w:w="129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C1EFDB4" w14:textId="41F6F68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24.76</w:t>
            </w:r>
          </w:p>
        </w:tc>
        <w:tc>
          <w:tcPr>
            <w:tcW w:w="123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F78C21" w14:textId="3A5D1687"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0.18</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02C78823" w14:textId="2035FF5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0.86</w:t>
            </w:r>
          </w:p>
        </w:tc>
      </w:tr>
      <w:tr w:rsidR="006B2955" w:rsidRPr="000300C6" w14:paraId="204FD0E0"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bottom w:val="dotted" w:sz="4" w:space="0" w:color="auto"/>
              <w:right w:val="dotted" w:sz="4" w:space="0" w:color="auto"/>
            </w:tcBorders>
            <w:shd w:val="clear" w:color="auto" w:fill="F2F2F2" w:themeFill="background1" w:themeFillShade="F2"/>
          </w:tcPr>
          <w:p w14:paraId="74AC8A74" w14:textId="59080CDB" w:rsidR="006B2955" w:rsidRPr="000300C6" w:rsidRDefault="006B2955" w:rsidP="006B2955">
            <w:pPr>
              <w:spacing w:after="0"/>
              <w:rPr>
                <w:sz w:val="14"/>
                <w:szCs w:val="14"/>
              </w:rPr>
            </w:pPr>
            <w:r w:rsidRPr="000300C6">
              <w:rPr>
                <w:sz w:val="14"/>
                <w:szCs w:val="14"/>
              </w:rPr>
              <w:t>Phascolarctobacterium</w:t>
            </w:r>
          </w:p>
        </w:tc>
        <w:tc>
          <w:tcPr>
            <w:tcW w:w="1985"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1A48719D" w14:textId="7EF881B4"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683B560B" w14:textId="1E94C882"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0.05</w:t>
            </w:r>
          </w:p>
        </w:tc>
        <w:tc>
          <w:tcPr>
            <w:tcW w:w="1307"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4760E52C" w14:textId="4CDCEF47"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0.05</w:t>
            </w:r>
          </w:p>
        </w:tc>
        <w:tc>
          <w:tcPr>
            <w:tcW w:w="129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6B44A884" w14:textId="52D45EA5"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25.11</w:t>
            </w:r>
          </w:p>
        </w:tc>
        <w:tc>
          <w:tcPr>
            <w:tcW w:w="1238" w:type="dxa"/>
            <w:tcBorders>
              <w:top w:val="dashSmallGap" w:sz="4" w:space="0" w:color="auto"/>
              <w:left w:val="dotted" w:sz="4" w:space="0" w:color="auto"/>
              <w:bottom w:val="dotted" w:sz="4" w:space="0" w:color="auto"/>
              <w:right w:val="dotted" w:sz="4" w:space="0" w:color="auto"/>
            </w:tcBorders>
            <w:shd w:val="clear" w:color="auto" w:fill="F2F2F2" w:themeFill="background1" w:themeFillShade="F2"/>
            <w:vAlign w:val="center"/>
          </w:tcPr>
          <w:p w14:paraId="4401C07F" w14:textId="383FB057"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1.05</w:t>
            </w:r>
          </w:p>
        </w:tc>
        <w:tc>
          <w:tcPr>
            <w:tcW w:w="970" w:type="dxa"/>
            <w:tcBorders>
              <w:top w:val="dashSmallGap" w:sz="4" w:space="0" w:color="auto"/>
              <w:left w:val="dotted" w:sz="4" w:space="0" w:color="auto"/>
              <w:bottom w:val="dotted" w:sz="4" w:space="0" w:color="auto"/>
            </w:tcBorders>
            <w:shd w:val="clear" w:color="auto" w:fill="F2F2F2" w:themeFill="background1" w:themeFillShade="F2"/>
            <w:vAlign w:val="center"/>
          </w:tcPr>
          <w:p w14:paraId="12429B63" w14:textId="7E5CCF9F"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0.31</w:t>
            </w:r>
          </w:p>
        </w:tc>
      </w:tr>
      <w:tr w:rsidR="006B2955" w:rsidRPr="000300C6" w14:paraId="708391E8"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otted" w:sz="4" w:space="0" w:color="auto"/>
              <w:bottom w:val="dotted" w:sz="4" w:space="0" w:color="auto"/>
              <w:right w:val="dotted" w:sz="4" w:space="0" w:color="auto"/>
            </w:tcBorders>
            <w:shd w:val="clear" w:color="auto" w:fill="F2F2F2" w:themeFill="background1" w:themeFillShade="F2"/>
          </w:tcPr>
          <w:p w14:paraId="310CE5C9"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6D823A3" w14:textId="6896F886" w:rsidR="006B2955" w:rsidRPr="000300C6" w:rsidRDefault="001D121C"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CDC1954" w14:textId="18D8A309"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0.26</w:t>
            </w:r>
          </w:p>
        </w:tc>
        <w:tc>
          <w:tcPr>
            <w:tcW w:w="13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2C481AE" w14:textId="49F3525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0.14</w:t>
            </w:r>
          </w:p>
        </w:tc>
        <w:tc>
          <w:tcPr>
            <w:tcW w:w="12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7AFEC12" w14:textId="16AB4ED8"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30.22</w:t>
            </w:r>
          </w:p>
        </w:tc>
        <w:tc>
          <w:tcPr>
            <w:tcW w:w="12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3002BAF" w14:textId="44FC6985"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1.77</w:t>
            </w:r>
          </w:p>
        </w:tc>
        <w:tc>
          <w:tcPr>
            <w:tcW w:w="970" w:type="dxa"/>
            <w:tcBorders>
              <w:top w:val="dotted" w:sz="4" w:space="0" w:color="auto"/>
              <w:left w:val="dotted" w:sz="4" w:space="0" w:color="auto"/>
              <w:bottom w:val="dotted" w:sz="4" w:space="0" w:color="auto"/>
            </w:tcBorders>
            <w:shd w:val="clear" w:color="auto" w:fill="F2F2F2" w:themeFill="background1" w:themeFillShade="F2"/>
            <w:vAlign w:val="center"/>
          </w:tcPr>
          <w:p w14:paraId="58989471" w14:textId="2268DDDF"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b/>
                <w:sz w:val="14"/>
                <w:szCs w:val="14"/>
              </w:rPr>
              <w:t>0.09</w:t>
            </w:r>
          </w:p>
        </w:tc>
      </w:tr>
      <w:tr w:rsidR="006B2955" w:rsidRPr="000300C6" w14:paraId="1F3D0369"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otted" w:sz="4" w:space="0" w:color="auto"/>
              <w:bottom w:val="dotted" w:sz="4" w:space="0" w:color="auto"/>
              <w:right w:val="dotted" w:sz="4" w:space="0" w:color="auto"/>
            </w:tcBorders>
            <w:shd w:val="clear" w:color="auto" w:fill="F2F2F2" w:themeFill="background1" w:themeFillShade="F2"/>
          </w:tcPr>
          <w:p w14:paraId="02816FD7"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AAC36A4" w14:textId="6A46BDF0" w:rsidR="006B2955" w:rsidRPr="000300C6" w:rsidRDefault="006B2955"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BB8F982" w14:textId="2A08E796"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-0.01</w:t>
            </w:r>
          </w:p>
        </w:tc>
        <w:tc>
          <w:tcPr>
            <w:tcW w:w="13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248EF75" w14:textId="32A93405"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0.03</w:t>
            </w:r>
          </w:p>
        </w:tc>
        <w:tc>
          <w:tcPr>
            <w:tcW w:w="129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3171F77" w14:textId="203D6515"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23.11</w:t>
            </w:r>
          </w:p>
        </w:tc>
        <w:tc>
          <w:tcPr>
            <w:tcW w:w="123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91EE867" w14:textId="6E5B921F"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-0.28</w:t>
            </w:r>
          </w:p>
        </w:tc>
        <w:tc>
          <w:tcPr>
            <w:tcW w:w="970" w:type="dxa"/>
            <w:tcBorders>
              <w:top w:val="dotted" w:sz="4" w:space="0" w:color="auto"/>
              <w:left w:val="dotted" w:sz="4" w:space="0" w:color="auto"/>
              <w:bottom w:val="dotted" w:sz="4" w:space="0" w:color="auto"/>
            </w:tcBorders>
            <w:shd w:val="clear" w:color="auto" w:fill="F2F2F2" w:themeFill="background1" w:themeFillShade="F2"/>
            <w:vAlign w:val="center"/>
          </w:tcPr>
          <w:p w14:paraId="61C6B5E5" w14:textId="4A0191A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0.78</w:t>
            </w:r>
          </w:p>
        </w:tc>
      </w:tr>
      <w:tr w:rsidR="006B2955" w:rsidRPr="000300C6" w14:paraId="750D7CB1"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dashSmallGap" w:sz="4" w:space="0" w:color="auto"/>
              <w:bottom w:val="dotted" w:sz="4" w:space="0" w:color="auto"/>
              <w:right w:val="dotted" w:sz="4" w:space="0" w:color="auto"/>
            </w:tcBorders>
            <w:shd w:val="clear" w:color="auto" w:fill="FFFFFF" w:themeFill="background1"/>
          </w:tcPr>
          <w:p w14:paraId="66312FAA" w14:textId="6EABB7ED" w:rsidR="006B2955" w:rsidRPr="000300C6" w:rsidRDefault="006B2955" w:rsidP="006B2955">
            <w:pPr>
              <w:spacing w:after="0"/>
              <w:rPr>
                <w:sz w:val="14"/>
                <w:szCs w:val="14"/>
              </w:rPr>
            </w:pPr>
            <w:r w:rsidRPr="000300C6">
              <w:rPr>
                <w:sz w:val="14"/>
                <w:szCs w:val="14"/>
              </w:rPr>
              <w:t>Sutterella</w:t>
            </w:r>
          </w:p>
        </w:tc>
        <w:tc>
          <w:tcPr>
            <w:tcW w:w="198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07FE75E3" w14:textId="4053A2D4"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Timepoint</w:t>
            </w:r>
          </w:p>
        </w:tc>
        <w:tc>
          <w:tcPr>
            <w:tcW w:w="1236"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47FD32DF" w14:textId="639A728F"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307"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579571B2" w14:textId="3729C618"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0.05</w:t>
            </w:r>
          </w:p>
        </w:tc>
        <w:tc>
          <w:tcPr>
            <w:tcW w:w="129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1B37ADF5" w14:textId="58A16102"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25.57</w:t>
            </w:r>
          </w:p>
        </w:tc>
        <w:tc>
          <w:tcPr>
            <w:tcW w:w="123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42193FE2" w14:textId="42135ED8"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-0.77</w:t>
            </w:r>
          </w:p>
        </w:tc>
        <w:tc>
          <w:tcPr>
            <w:tcW w:w="970" w:type="dxa"/>
            <w:tcBorders>
              <w:top w:val="dashSmallGap" w:sz="4" w:space="0" w:color="auto"/>
              <w:left w:val="dotted" w:sz="4" w:space="0" w:color="auto"/>
              <w:bottom w:val="dotted" w:sz="4" w:space="0" w:color="auto"/>
            </w:tcBorders>
            <w:shd w:val="clear" w:color="auto" w:fill="FFFFFF" w:themeFill="background1"/>
            <w:vAlign w:val="center"/>
          </w:tcPr>
          <w:p w14:paraId="5DB49D90" w14:textId="7C2A6B7E"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0.45</w:t>
            </w:r>
          </w:p>
        </w:tc>
      </w:tr>
      <w:tr w:rsidR="006B2955" w:rsidRPr="000300C6" w14:paraId="1877E8DD"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otted" w:sz="4" w:space="0" w:color="auto"/>
              <w:bottom w:val="dotted" w:sz="4" w:space="0" w:color="auto"/>
              <w:right w:val="dotted" w:sz="4" w:space="0" w:color="auto"/>
            </w:tcBorders>
            <w:shd w:val="clear" w:color="auto" w:fill="FFFFFF" w:themeFill="background1"/>
          </w:tcPr>
          <w:p w14:paraId="21759B46"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7D28168" w14:textId="17001265" w:rsidR="006B2955" w:rsidRPr="000300C6" w:rsidRDefault="001D121C" w:rsidP="006B2955">
            <w:pPr>
              <w:spacing w:after="0"/>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Symptom group*</w:t>
            </w:r>
            <w:r w:rsidR="006B2955" w:rsidRPr="000300C6">
              <w:rPr>
                <w:sz w:val="14"/>
                <w:szCs w:val="14"/>
              </w:rPr>
              <w:t xml:space="preserve"> </w:t>
            </w:r>
          </w:p>
        </w:tc>
        <w:tc>
          <w:tcPr>
            <w:tcW w:w="123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1BB365E" w14:textId="5312B8CF"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-0.07</w:t>
            </w:r>
          </w:p>
        </w:tc>
        <w:tc>
          <w:tcPr>
            <w:tcW w:w="130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62187D8" w14:textId="1048AE94"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0.16</w:t>
            </w:r>
          </w:p>
        </w:tc>
        <w:tc>
          <w:tcPr>
            <w:tcW w:w="129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653F2F" w14:textId="4F5E11EC"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28.29</w:t>
            </w:r>
          </w:p>
        </w:tc>
        <w:tc>
          <w:tcPr>
            <w:tcW w:w="123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A35E67D" w14:textId="66E26060"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-0.46</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20D7F8FE" w14:textId="15983452" w:rsidR="006B2955" w:rsidRPr="000300C6" w:rsidRDefault="006B2955" w:rsidP="006B2955">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0300C6">
              <w:rPr>
                <w:sz w:val="14"/>
                <w:szCs w:val="14"/>
              </w:rPr>
              <w:t>0.65</w:t>
            </w:r>
          </w:p>
        </w:tc>
      </w:tr>
      <w:tr w:rsidR="006B2955" w:rsidRPr="000300C6" w14:paraId="40170ECB"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dotted" w:sz="4" w:space="0" w:color="auto"/>
              <w:bottom w:val="single" w:sz="4" w:space="0" w:color="auto"/>
              <w:right w:val="dotted" w:sz="4" w:space="0" w:color="auto"/>
            </w:tcBorders>
            <w:shd w:val="clear" w:color="auto" w:fill="FFFFFF" w:themeFill="background1"/>
          </w:tcPr>
          <w:p w14:paraId="4B2D2FCA" w14:textId="77777777" w:rsidR="006B2955" w:rsidRPr="000300C6" w:rsidRDefault="006B2955" w:rsidP="006B2955">
            <w:pPr>
              <w:spacing w:after="0"/>
              <w:rPr>
                <w:sz w:val="14"/>
                <w:szCs w:val="14"/>
              </w:rPr>
            </w:pPr>
          </w:p>
        </w:tc>
        <w:tc>
          <w:tcPr>
            <w:tcW w:w="1985"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F8F397E" w14:textId="6AE2D931" w:rsidR="006B2955" w:rsidRPr="000300C6" w:rsidRDefault="006B2955" w:rsidP="006B2955">
            <w:pPr>
              <w:spacing w:after="0"/>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 xml:space="preserve">Timepoint </w:t>
            </w:r>
            <w:r w:rsidR="001D121C" w:rsidRPr="000300C6">
              <w:rPr>
                <w:sz w:val="14"/>
                <w:szCs w:val="14"/>
              </w:rPr>
              <w:t>by symptom group</w:t>
            </w:r>
          </w:p>
        </w:tc>
        <w:tc>
          <w:tcPr>
            <w:tcW w:w="1236"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49D59D5" w14:textId="47A37F1E"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307"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338C3006" w14:textId="6650730B"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0.03</w:t>
            </w:r>
          </w:p>
        </w:tc>
        <w:tc>
          <w:tcPr>
            <w:tcW w:w="1298"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241B2262" w14:textId="375A6256"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23.01</w:t>
            </w:r>
          </w:p>
        </w:tc>
        <w:tc>
          <w:tcPr>
            <w:tcW w:w="1238"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4002D907" w14:textId="217B41F4"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0300C6">
              <w:rPr>
                <w:sz w:val="14"/>
                <w:szCs w:val="14"/>
              </w:rPr>
              <w:t>1.16</w:t>
            </w:r>
          </w:p>
        </w:tc>
        <w:tc>
          <w:tcPr>
            <w:tcW w:w="970" w:type="dxa"/>
            <w:tcBorders>
              <w:top w:val="dotted" w:sz="4" w:space="0" w:color="auto"/>
              <w:left w:val="dotted" w:sz="4" w:space="0" w:color="auto"/>
              <w:bottom w:val="single" w:sz="4" w:space="0" w:color="auto"/>
            </w:tcBorders>
            <w:shd w:val="clear" w:color="auto" w:fill="FFFFFF" w:themeFill="background1"/>
            <w:vAlign w:val="center"/>
          </w:tcPr>
          <w:p w14:paraId="484CA9B3" w14:textId="109DF6C6" w:rsidR="006B2955" w:rsidRPr="000300C6" w:rsidRDefault="006B2955" w:rsidP="006B2955">
            <w:pPr>
              <w:spacing w:after="0"/>
              <w:jc w:val="center"/>
              <w:cnfStyle w:val="000000000000" w:firstRow="0" w:lastRow="0" w:firstColumn="0" w:lastColumn="0" w:oddVBand="0" w:evenVBand="0" w:oddHBand="0" w:evenHBand="0" w:firstRowFirstColumn="0" w:firstRowLastColumn="0" w:lastRowFirstColumn="0" w:lastRowLastColumn="0"/>
              <w:rPr>
                <w:b/>
                <w:sz w:val="14"/>
                <w:szCs w:val="14"/>
              </w:rPr>
            </w:pPr>
            <w:r w:rsidRPr="000300C6">
              <w:rPr>
                <w:sz w:val="14"/>
                <w:szCs w:val="14"/>
              </w:rPr>
              <w:t>0.26</w:t>
            </w:r>
          </w:p>
        </w:tc>
      </w:tr>
    </w:tbl>
    <w:bookmarkEnd w:id="15"/>
    <w:p w14:paraId="5B803FE8" w14:textId="2BCA5EF7" w:rsidR="002615AD" w:rsidRPr="000300C6" w:rsidRDefault="001D121C">
      <w:pPr>
        <w:spacing w:after="160" w:line="259" w:lineRule="auto"/>
        <w:rPr>
          <w:rFonts w:asciiTheme="minorHAnsi" w:eastAsiaTheme="minorHAnsi" w:hAnsiTheme="minorHAnsi" w:cstheme="minorBidi"/>
          <w:bCs/>
          <w:i/>
          <w:iCs/>
          <w:color w:val="000000" w:themeColor="text1"/>
          <w:sz w:val="14"/>
          <w:szCs w:val="14"/>
          <w:lang w:val="en-GB"/>
        </w:rPr>
      </w:pPr>
      <w:r w:rsidRPr="000300C6">
        <w:rPr>
          <w:rFonts w:asciiTheme="minorHAnsi" w:eastAsiaTheme="minorHAnsi" w:hAnsiTheme="minorHAnsi" w:cstheme="minorBidi"/>
          <w:bCs/>
          <w:i/>
          <w:iCs/>
          <w:color w:val="000000" w:themeColor="text1"/>
          <w:sz w:val="14"/>
          <w:szCs w:val="14"/>
          <w:lang w:val="en-GB"/>
        </w:rPr>
        <w:t xml:space="preserve">*: Symptom group was coded as 0 = </w:t>
      </w:r>
      <w:r w:rsidRPr="000300C6">
        <w:rPr>
          <w:rFonts w:asciiTheme="minorHAnsi" w:eastAsiaTheme="minorHAnsi" w:hAnsiTheme="minorHAnsi" w:cstheme="minorBidi"/>
          <w:b/>
          <w:bCs/>
          <w:i/>
          <w:iCs/>
          <w:color w:val="000000" w:themeColor="text1"/>
          <w:sz w:val="14"/>
          <w:szCs w:val="14"/>
          <w:lang w:val="en-GB"/>
        </w:rPr>
        <w:t>no</w:t>
      </w:r>
      <w:r w:rsidRPr="000300C6">
        <w:rPr>
          <w:rFonts w:asciiTheme="minorHAnsi" w:eastAsiaTheme="minorHAnsi" w:hAnsiTheme="minorHAnsi" w:cstheme="minorBidi"/>
          <w:bCs/>
          <w:i/>
          <w:iCs/>
          <w:color w:val="000000" w:themeColor="text1"/>
          <w:sz w:val="14"/>
          <w:szCs w:val="14"/>
          <w:lang w:val="en-GB"/>
        </w:rPr>
        <w:t xml:space="preserve"> symptoms at either 4/5 weeks or 6 months; 1 = symptoms at </w:t>
      </w:r>
      <w:r w:rsidRPr="000300C6">
        <w:rPr>
          <w:rFonts w:asciiTheme="minorHAnsi" w:eastAsiaTheme="minorHAnsi" w:hAnsiTheme="minorHAnsi" w:cstheme="minorBidi"/>
          <w:b/>
          <w:bCs/>
          <w:i/>
          <w:iCs/>
          <w:color w:val="000000" w:themeColor="text1"/>
          <w:sz w:val="14"/>
          <w:szCs w:val="14"/>
          <w:lang w:val="en-GB"/>
        </w:rPr>
        <w:t>either</w:t>
      </w:r>
      <w:r w:rsidRPr="000300C6">
        <w:rPr>
          <w:rFonts w:asciiTheme="minorHAnsi" w:eastAsiaTheme="minorHAnsi" w:hAnsiTheme="minorHAnsi" w:cstheme="minorBidi"/>
          <w:bCs/>
          <w:i/>
          <w:iCs/>
          <w:color w:val="000000" w:themeColor="text1"/>
          <w:sz w:val="14"/>
          <w:szCs w:val="14"/>
          <w:lang w:val="en-GB"/>
        </w:rPr>
        <w:t xml:space="preserve"> 4/5 weeks </w:t>
      </w:r>
      <w:r w:rsidRPr="000300C6">
        <w:rPr>
          <w:rFonts w:asciiTheme="minorHAnsi" w:eastAsiaTheme="minorHAnsi" w:hAnsiTheme="minorHAnsi" w:cstheme="minorBidi"/>
          <w:b/>
          <w:bCs/>
          <w:i/>
          <w:iCs/>
          <w:color w:val="000000" w:themeColor="text1"/>
          <w:sz w:val="14"/>
          <w:szCs w:val="14"/>
          <w:lang w:val="en-GB"/>
        </w:rPr>
        <w:t>or</w:t>
      </w:r>
      <w:r w:rsidRPr="000300C6">
        <w:rPr>
          <w:rFonts w:asciiTheme="minorHAnsi" w:eastAsiaTheme="minorHAnsi" w:hAnsiTheme="minorHAnsi" w:cstheme="minorBidi"/>
          <w:bCs/>
          <w:i/>
          <w:iCs/>
          <w:color w:val="000000" w:themeColor="text1"/>
          <w:sz w:val="14"/>
          <w:szCs w:val="14"/>
          <w:lang w:val="en-GB"/>
        </w:rPr>
        <w:t xml:space="preserve"> 6 months; 2 = symptoms at 4/5 weeks </w:t>
      </w:r>
      <w:r w:rsidRPr="000300C6">
        <w:rPr>
          <w:rFonts w:asciiTheme="minorHAnsi" w:eastAsiaTheme="minorHAnsi" w:hAnsiTheme="minorHAnsi" w:cstheme="minorBidi"/>
          <w:b/>
          <w:bCs/>
          <w:i/>
          <w:iCs/>
          <w:color w:val="000000" w:themeColor="text1"/>
          <w:sz w:val="14"/>
          <w:szCs w:val="14"/>
          <w:lang w:val="en-GB"/>
        </w:rPr>
        <w:t>and</w:t>
      </w:r>
      <w:r w:rsidRPr="000300C6">
        <w:rPr>
          <w:rFonts w:asciiTheme="minorHAnsi" w:eastAsiaTheme="minorHAnsi" w:hAnsiTheme="minorHAnsi" w:cstheme="minorBidi"/>
          <w:bCs/>
          <w:i/>
          <w:iCs/>
          <w:color w:val="000000" w:themeColor="text1"/>
          <w:sz w:val="14"/>
          <w:szCs w:val="14"/>
          <w:lang w:val="en-GB"/>
        </w:rPr>
        <w:t xml:space="preserve"> 6 months. Therefore a positive effect indicates rising counts of the feature with rising symptoms.</w:t>
      </w:r>
    </w:p>
    <w:p w14:paraId="6D351015" w14:textId="77777777" w:rsidR="001D121C" w:rsidRPr="000300C6" w:rsidRDefault="001D121C">
      <w:pPr>
        <w:spacing w:after="160" w:line="259" w:lineRule="auto"/>
        <w:rPr>
          <w:rFonts w:asciiTheme="minorHAnsi" w:eastAsiaTheme="minorHAnsi" w:hAnsiTheme="minorHAnsi" w:cstheme="minorBidi"/>
          <w:bCs/>
          <w:iCs/>
          <w:color w:val="000000" w:themeColor="text1"/>
          <w:sz w:val="18"/>
          <w:szCs w:val="18"/>
          <w:lang w:val="en-GB"/>
        </w:rPr>
      </w:pPr>
    </w:p>
    <w:p w14:paraId="60C7FA50" w14:textId="072BDEDE" w:rsidR="00DB7C8F" w:rsidRPr="000300C6" w:rsidRDefault="00DB7C8F" w:rsidP="00052955">
      <w:pPr>
        <w:spacing w:after="0"/>
        <w:jc w:val="center"/>
        <w:rPr>
          <w:lang w:val="en-US"/>
        </w:rPr>
      </w:pPr>
      <w:bookmarkStart w:id="16" w:name="_Toc501542576"/>
      <w:r w:rsidRPr="000300C6">
        <w:rPr>
          <w:b/>
          <w:sz w:val="18"/>
          <w:szCs w:val="18"/>
          <w:lang w:val="en-US"/>
        </w:rPr>
        <w:t>Table SUPP-</w:t>
      </w:r>
      <w:r w:rsidR="00277C1F" w:rsidRPr="000300C6">
        <w:rPr>
          <w:b/>
          <w:sz w:val="18"/>
          <w:szCs w:val="18"/>
          <w:lang w:val="en-US"/>
        </w:rPr>
        <w:t>12</w:t>
      </w:r>
      <w:r w:rsidRPr="000300C6">
        <w:rPr>
          <w:b/>
          <w:sz w:val="18"/>
          <w:szCs w:val="18"/>
          <w:lang w:val="en-US"/>
        </w:rPr>
        <w:t>:</w:t>
      </w:r>
      <w:r w:rsidRPr="000300C6">
        <w:rPr>
          <w:sz w:val="18"/>
          <w:szCs w:val="18"/>
          <w:lang w:val="en-US"/>
        </w:rPr>
        <w:t xml:space="preserve"> </w:t>
      </w:r>
      <w:r w:rsidR="00BC2AB8" w:rsidRPr="000300C6">
        <w:rPr>
          <w:sz w:val="18"/>
          <w:szCs w:val="18"/>
          <w:lang w:val="en-US"/>
        </w:rPr>
        <w:t>D</w:t>
      </w:r>
      <w:r w:rsidRPr="000300C6">
        <w:rPr>
          <w:sz w:val="18"/>
          <w:szCs w:val="18"/>
          <w:lang w:val="en-US"/>
        </w:rPr>
        <w:t xml:space="preserve">ifferences in </w:t>
      </w:r>
      <w:r w:rsidR="00BC2AB8" w:rsidRPr="000300C6">
        <w:rPr>
          <w:sz w:val="18"/>
          <w:szCs w:val="18"/>
          <w:lang w:val="en-US"/>
        </w:rPr>
        <w:t xml:space="preserve">proportions of </w:t>
      </w:r>
      <w:proofErr w:type="spellStart"/>
      <w:r w:rsidR="00BC2AB8" w:rsidRPr="000300C6">
        <w:rPr>
          <w:i/>
          <w:sz w:val="18"/>
          <w:szCs w:val="18"/>
          <w:lang w:val="en-US"/>
        </w:rPr>
        <w:t>Roseburia</w:t>
      </w:r>
      <w:proofErr w:type="spellEnd"/>
      <w:r w:rsidR="00052955" w:rsidRPr="000300C6">
        <w:rPr>
          <w:sz w:val="18"/>
          <w:szCs w:val="18"/>
          <w:lang w:val="en-US"/>
        </w:rPr>
        <w:t xml:space="preserve"> </w:t>
      </w:r>
      <w:r w:rsidRPr="000300C6">
        <w:rPr>
          <w:sz w:val="18"/>
          <w:szCs w:val="18"/>
          <w:lang w:val="en-US"/>
        </w:rPr>
        <w:t xml:space="preserve">between patients with and without </w:t>
      </w:r>
      <w:r w:rsidR="00052955" w:rsidRPr="000300C6">
        <w:rPr>
          <w:sz w:val="18"/>
          <w:szCs w:val="18"/>
          <w:lang w:val="en-US"/>
        </w:rPr>
        <w:t>RE in the late cohort</w:t>
      </w:r>
      <w:r w:rsidRPr="000300C6">
        <w:rPr>
          <w:sz w:val="18"/>
          <w:szCs w:val="18"/>
          <w:lang w:val="en-US"/>
        </w:rPr>
        <w:t>.*</w:t>
      </w:r>
    </w:p>
    <w:tbl>
      <w:tblPr>
        <w:tblStyle w:val="PlainTable4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81"/>
        <w:gridCol w:w="2454"/>
        <w:gridCol w:w="2454"/>
        <w:gridCol w:w="1065"/>
        <w:gridCol w:w="1130"/>
      </w:tblGrid>
      <w:tr w:rsidR="00DB7C8F" w:rsidRPr="000300C6" w14:paraId="5C67B15C"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double" w:sz="4" w:space="0" w:color="auto"/>
              <w:right w:val="dotted" w:sz="4" w:space="0" w:color="auto"/>
            </w:tcBorders>
            <w:vAlign w:val="center"/>
          </w:tcPr>
          <w:p w14:paraId="72DABF61" w14:textId="77777777" w:rsidR="00DB7C8F" w:rsidRPr="000300C6" w:rsidRDefault="00DB7C8F" w:rsidP="00052955">
            <w:pPr>
              <w:spacing w:after="0"/>
              <w:jc w:val="center"/>
              <w:rPr>
                <w:sz w:val="16"/>
                <w:szCs w:val="16"/>
              </w:rPr>
            </w:pPr>
            <w:r w:rsidRPr="000300C6">
              <w:rPr>
                <w:sz w:val="16"/>
                <w:szCs w:val="16"/>
              </w:rPr>
              <w:t>Microbial feature</w:t>
            </w:r>
          </w:p>
        </w:tc>
        <w:tc>
          <w:tcPr>
            <w:tcW w:w="2454" w:type="dxa"/>
            <w:tcBorders>
              <w:top w:val="single" w:sz="4" w:space="0" w:color="auto"/>
              <w:left w:val="dotted" w:sz="4" w:space="0" w:color="auto"/>
              <w:bottom w:val="double" w:sz="4" w:space="0" w:color="auto"/>
              <w:right w:val="dotted" w:sz="4" w:space="0" w:color="auto"/>
            </w:tcBorders>
            <w:vAlign w:val="center"/>
          </w:tcPr>
          <w:p w14:paraId="4CECD0CB"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 xml:space="preserve">Mean </w:t>
            </w:r>
          </w:p>
          <w:p w14:paraId="3412CC98"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b w:val="0"/>
                <w:sz w:val="16"/>
                <w:szCs w:val="16"/>
              </w:rPr>
              <w:t>(Grade 0/1/2/3)</w:t>
            </w:r>
          </w:p>
        </w:tc>
        <w:tc>
          <w:tcPr>
            <w:tcW w:w="2454" w:type="dxa"/>
            <w:tcBorders>
              <w:top w:val="single" w:sz="4" w:space="0" w:color="auto"/>
              <w:left w:val="dotted" w:sz="4" w:space="0" w:color="auto"/>
              <w:bottom w:val="double" w:sz="4" w:space="0" w:color="auto"/>
              <w:right w:val="dotted" w:sz="4" w:space="0" w:color="auto"/>
            </w:tcBorders>
            <w:vAlign w:val="center"/>
          </w:tcPr>
          <w:p w14:paraId="503FBCAF"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sz w:val="16"/>
                <w:szCs w:val="16"/>
              </w:rPr>
              <w:t xml:space="preserve">SD </w:t>
            </w:r>
          </w:p>
          <w:p w14:paraId="38365AC5"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b w:val="0"/>
                <w:sz w:val="16"/>
                <w:szCs w:val="16"/>
              </w:rPr>
              <w:t>(Grade 0/1/2/3)</w:t>
            </w:r>
          </w:p>
        </w:tc>
        <w:tc>
          <w:tcPr>
            <w:tcW w:w="1065" w:type="dxa"/>
            <w:tcBorders>
              <w:top w:val="single" w:sz="4" w:space="0" w:color="auto"/>
              <w:left w:val="dotted" w:sz="4" w:space="0" w:color="auto"/>
              <w:bottom w:val="double" w:sz="4" w:space="0" w:color="auto"/>
              <w:right w:val="dotted" w:sz="4" w:space="0" w:color="auto"/>
            </w:tcBorders>
            <w:vAlign w:val="center"/>
          </w:tcPr>
          <w:p w14:paraId="1844FF33"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Eta-squared</w:t>
            </w:r>
          </w:p>
        </w:tc>
        <w:tc>
          <w:tcPr>
            <w:tcW w:w="1130" w:type="dxa"/>
            <w:tcBorders>
              <w:top w:val="single" w:sz="4" w:space="0" w:color="auto"/>
              <w:left w:val="dotted" w:sz="4" w:space="0" w:color="auto"/>
              <w:bottom w:val="double" w:sz="4" w:space="0" w:color="auto"/>
            </w:tcBorders>
            <w:vAlign w:val="center"/>
          </w:tcPr>
          <w:p w14:paraId="29FF13E2"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p w14:paraId="39AA7C1A"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tc>
      </w:tr>
      <w:tr w:rsidR="00DB7C8F" w:rsidRPr="000300C6" w14:paraId="223BDAB6" w14:textId="77777777" w:rsidTr="00355AA7">
        <w:trPr>
          <w:cnfStyle w:val="100000000000" w:firstRow="1" w:lastRow="0" w:firstColumn="0" w:lastColumn="0" w:oddVBand="0" w:evenVBand="0" w:oddHBand="0" w:evenHBand="0" w:firstRowFirstColumn="0" w:firstRowLastColumn="0" w:lastRowFirstColumn="0" w:lastRowLastColumn="0"/>
          <w:cantSplit/>
          <w:trHeight w:val="393"/>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double" w:sz="4" w:space="0" w:color="auto"/>
              <w:bottom w:val="single" w:sz="4" w:space="0" w:color="auto"/>
            </w:tcBorders>
            <w:vAlign w:val="center"/>
          </w:tcPr>
          <w:p w14:paraId="2546A530" w14:textId="4F398675" w:rsidR="00DB7C8F" w:rsidRPr="000300C6" w:rsidRDefault="00DB7C8F" w:rsidP="00052955">
            <w:pPr>
              <w:spacing w:after="0"/>
              <w:jc w:val="center"/>
              <w:rPr>
                <w:caps/>
                <w:sz w:val="16"/>
                <w:szCs w:val="16"/>
              </w:rPr>
            </w:pPr>
            <w:r w:rsidRPr="000300C6">
              <w:rPr>
                <w:caps/>
                <w:sz w:val="16"/>
                <w:szCs w:val="16"/>
              </w:rPr>
              <w:t>Actual toxicity</w:t>
            </w:r>
            <w:r w:rsidR="00355AA7" w:rsidRPr="000300C6">
              <w:rPr>
                <w:caps/>
                <w:sz w:val="16"/>
                <w:szCs w:val="16"/>
              </w:rPr>
              <w:t>*</w:t>
            </w:r>
          </w:p>
        </w:tc>
      </w:tr>
      <w:tr w:rsidR="00DB7C8F" w:rsidRPr="000300C6" w14:paraId="11B3F006"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bottom w:val="single" w:sz="4" w:space="0" w:color="auto"/>
            </w:tcBorders>
            <w:vAlign w:val="center"/>
          </w:tcPr>
          <w:p w14:paraId="110BEDF1" w14:textId="30E0DF84" w:rsidR="00DB7C8F" w:rsidRPr="000300C6" w:rsidRDefault="00355AA7" w:rsidP="00052955">
            <w:pPr>
              <w:spacing w:after="0"/>
              <w:jc w:val="center"/>
              <w:rPr>
                <w:sz w:val="16"/>
                <w:szCs w:val="16"/>
              </w:rPr>
            </w:pPr>
            <w:r w:rsidRPr="000300C6">
              <w:rPr>
                <w:sz w:val="16"/>
                <w:szCs w:val="16"/>
              </w:rPr>
              <w:t>CRO</w:t>
            </w:r>
            <w:r w:rsidR="00DB7C8F" w:rsidRPr="000300C6">
              <w:rPr>
                <w:sz w:val="16"/>
                <w:szCs w:val="16"/>
              </w:rPr>
              <w:t xml:space="preserve"> maximum toxicity</w:t>
            </w:r>
          </w:p>
        </w:tc>
      </w:tr>
      <w:tr w:rsidR="00DB7C8F" w:rsidRPr="000300C6" w14:paraId="1A8118E7"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3DB4B40B" w14:textId="77777777" w:rsidR="00DB7C8F" w:rsidRPr="000300C6" w:rsidRDefault="00DB7C8F" w:rsidP="00052955">
            <w:pPr>
              <w:spacing w:after="0"/>
              <w:rPr>
                <w:b w:val="0"/>
                <w:i/>
                <w:sz w:val="16"/>
                <w:szCs w:val="16"/>
              </w:rPr>
            </w:pPr>
            <w:r w:rsidRPr="000300C6">
              <w:rPr>
                <w:b w:val="0"/>
                <w:i/>
                <w:sz w:val="16"/>
                <w:szCs w:val="16"/>
              </w:rPr>
              <w:t>Roseburia</w:t>
            </w:r>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586BDF43"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0.78%/1.11%/1.51%/9.65%</w:t>
            </w:r>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3D61024E"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1.08/2.13/2.18/8.79</w:t>
            </w:r>
          </w:p>
        </w:tc>
        <w:tc>
          <w:tcPr>
            <w:tcW w:w="1065"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4DA23291"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0.30</w:t>
            </w:r>
          </w:p>
        </w:tc>
        <w:tc>
          <w:tcPr>
            <w:tcW w:w="1130" w:type="dxa"/>
            <w:tcBorders>
              <w:top w:val="dotted" w:sz="4" w:space="0" w:color="auto"/>
              <w:left w:val="dotted" w:sz="4" w:space="0" w:color="auto"/>
              <w:bottom w:val="single" w:sz="4" w:space="0" w:color="auto"/>
            </w:tcBorders>
            <w:shd w:val="clear" w:color="auto" w:fill="F2F2F2" w:themeFill="background1" w:themeFillShade="F2"/>
            <w:vAlign w:val="center"/>
          </w:tcPr>
          <w:p w14:paraId="627AC269" w14:textId="77777777" w:rsidR="00DB7C8F" w:rsidRPr="000300C6" w:rsidRDefault="00DB7C8F"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&lt;0.0001 (&lt;0.0001)</w:t>
            </w:r>
          </w:p>
        </w:tc>
      </w:tr>
      <w:tr w:rsidR="00052955" w:rsidRPr="000300C6" w14:paraId="09B65EBA"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FFFFFF" w:themeFill="background1"/>
            <w:vAlign w:val="center"/>
          </w:tcPr>
          <w:p w14:paraId="65A518D4" w14:textId="2B9A4F8C" w:rsidR="00052955" w:rsidRPr="000300C6" w:rsidRDefault="00355AA7" w:rsidP="00052955">
            <w:pPr>
              <w:spacing w:after="0"/>
              <w:jc w:val="center"/>
              <w:rPr>
                <w:sz w:val="16"/>
                <w:szCs w:val="16"/>
              </w:rPr>
            </w:pPr>
            <w:r w:rsidRPr="000300C6">
              <w:rPr>
                <w:sz w:val="16"/>
                <w:szCs w:val="16"/>
              </w:rPr>
              <w:t>CRO</w:t>
            </w:r>
            <w:r w:rsidR="00052955" w:rsidRPr="000300C6">
              <w:rPr>
                <w:sz w:val="16"/>
                <w:szCs w:val="16"/>
              </w:rPr>
              <w:t xml:space="preserve"> diarrhoea</w:t>
            </w:r>
          </w:p>
        </w:tc>
      </w:tr>
      <w:tr w:rsidR="00052955" w:rsidRPr="000300C6" w14:paraId="647D43EC"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single" w:sz="4" w:space="0" w:color="auto"/>
              <w:right w:val="dotted" w:sz="4" w:space="0" w:color="auto"/>
            </w:tcBorders>
            <w:shd w:val="clear" w:color="auto" w:fill="F2F2F2" w:themeFill="background1" w:themeFillShade="F2"/>
            <w:vAlign w:val="center"/>
          </w:tcPr>
          <w:p w14:paraId="345CB3A7" w14:textId="50A097EC" w:rsidR="00052955" w:rsidRPr="000300C6" w:rsidRDefault="00052955" w:rsidP="00052955">
            <w:pPr>
              <w:spacing w:after="0"/>
              <w:rPr>
                <w:b w:val="0"/>
                <w:sz w:val="16"/>
                <w:szCs w:val="16"/>
              </w:rPr>
            </w:pPr>
            <w:r w:rsidRPr="000300C6">
              <w:rPr>
                <w:b w:val="0"/>
                <w:i/>
                <w:sz w:val="16"/>
                <w:szCs w:val="16"/>
              </w:rPr>
              <w:t>Roseburia</w:t>
            </w:r>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6364DC57" w14:textId="3BF1254F"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0.83%/0.67%/3.17%/9.65%</w:t>
            </w:r>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2F65EB2B" w14:textId="2D310E35"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1.30%/0.76%/3.07%/8.79%</w:t>
            </w:r>
          </w:p>
        </w:tc>
        <w:tc>
          <w:tcPr>
            <w:tcW w:w="1065"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73FBAA3C" w14:textId="4DFADE2C"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0.34</w:t>
            </w:r>
          </w:p>
        </w:tc>
        <w:tc>
          <w:tcPr>
            <w:tcW w:w="1130" w:type="dxa"/>
            <w:tcBorders>
              <w:top w:val="single" w:sz="4" w:space="0" w:color="auto"/>
              <w:left w:val="dotted" w:sz="4" w:space="0" w:color="auto"/>
              <w:bottom w:val="single" w:sz="4" w:space="0" w:color="auto"/>
            </w:tcBorders>
            <w:shd w:val="clear" w:color="auto" w:fill="F2F2F2" w:themeFill="background1" w:themeFillShade="F2"/>
            <w:vAlign w:val="center"/>
          </w:tcPr>
          <w:p w14:paraId="18BEA2EE" w14:textId="2C2A0C70"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sz w:val="16"/>
                <w:szCs w:val="16"/>
              </w:rPr>
              <w:t>&lt;0.0001 (&lt;0.0001)</w:t>
            </w:r>
          </w:p>
        </w:tc>
      </w:tr>
      <w:tr w:rsidR="00052955" w:rsidRPr="000300C6" w14:paraId="0683D6D2"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auto"/>
            <w:vAlign w:val="center"/>
          </w:tcPr>
          <w:p w14:paraId="34A3AF2B" w14:textId="447F65D2" w:rsidR="00052955" w:rsidRPr="000300C6" w:rsidRDefault="00355AA7" w:rsidP="00052955">
            <w:pPr>
              <w:spacing w:after="0"/>
              <w:jc w:val="center"/>
              <w:rPr>
                <w:sz w:val="16"/>
                <w:szCs w:val="16"/>
              </w:rPr>
            </w:pPr>
            <w:r w:rsidRPr="000300C6">
              <w:rPr>
                <w:sz w:val="16"/>
                <w:szCs w:val="16"/>
              </w:rPr>
              <w:t>CRO</w:t>
            </w:r>
            <w:r w:rsidR="00052955" w:rsidRPr="000300C6">
              <w:rPr>
                <w:sz w:val="16"/>
                <w:szCs w:val="16"/>
              </w:rPr>
              <w:t xml:space="preserve"> proctitis</w:t>
            </w:r>
          </w:p>
        </w:tc>
      </w:tr>
      <w:tr w:rsidR="00052955" w:rsidRPr="000300C6" w14:paraId="46B986B6"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uble" w:sz="4" w:space="0" w:color="auto"/>
              <w:right w:val="dotted" w:sz="4" w:space="0" w:color="auto"/>
            </w:tcBorders>
            <w:shd w:val="clear" w:color="auto" w:fill="F2F2F2" w:themeFill="background1" w:themeFillShade="F2"/>
            <w:vAlign w:val="center"/>
          </w:tcPr>
          <w:p w14:paraId="0A37DB17" w14:textId="154353D2" w:rsidR="00052955" w:rsidRPr="000300C6" w:rsidRDefault="00052955" w:rsidP="00052955">
            <w:pPr>
              <w:spacing w:after="0"/>
              <w:rPr>
                <w:b w:val="0"/>
                <w:i/>
                <w:sz w:val="16"/>
                <w:szCs w:val="16"/>
              </w:rPr>
            </w:pPr>
            <w:r w:rsidRPr="000300C6">
              <w:rPr>
                <w:b w:val="0"/>
                <w:sz w:val="16"/>
                <w:szCs w:val="16"/>
              </w:rPr>
              <w:t>NA (see main text)</w:t>
            </w:r>
          </w:p>
        </w:tc>
        <w:tc>
          <w:tcPr>
            <w:tcW w:w="2454" w:type="dxa"/>
            <w:tcBorders>
              <w:top w:val="dotted" w:sz="4" w:space="0" w:color="auto"/>
              <w:left w:val="dotted" w:sz="4" w:space="0" w:color="auto"/>
              <w:bottom w:val="double" w:sz="4" w:space="0" w:color="auto"/>
              <w:right w:val="dotted" w:sz="4" w:space="0" w:color="auto"/>
            </w:tcBorders>
            <w:shd w:val="clear" w:color="auto" w:fill="F2F2F2" w:themeFill="background1" w:themeFillShade="F2"/>
            <w:vAlign w:val="center"/>
          </w:tcPr>
          <w:p w14:paraId="1BDCA540" w14:textId="52F36ECA"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c>
          <w:tcPr>
            <w:tcW w:w="2454" w:type="dxa"/>
            <w:tcBorders>
              <w:top w:val="dotted" w:sz="4" w:space="0" w:color="auto"/>
              <w:left w:val="dotted" w:sz="4" w:space="0" w:color="auto"/>
              <w:bottom w:val="double" w:sz="4" w:space="0" w:color="auto"/>
              <w:right w:val="dotted" w:sz="4" w:space="0" w:color="auto"/>
            </w:tcBorders>
            <w:shd w:val="clear" w:color="auto" w:fill="F2F2F2" w:themeFill="background1" w:themeFillShade="F2"/>
            <w:vAlign w:val="center"/>
          </w:tcPr>
          <w:p w14:paraId="7ABC3BF3" w14:textId="5FEE0A81"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c>
          <w:tcPr>
            <w:tcW w:w="1065" w:type="dxa"/>
            <w:tcBorders>
              <w:top w:val="dotted" w:sz="4" w:space="0" w:color="auto"/>
              <w:left w:val="dotted" w:sz="4" w:space="0" w:color="auto"/>
              <w:bottom w:val="double" w:sz="4" w:space="0" w:color="auto"/>
              <w:right w:val="dotted" w:sz="4" w:space="0" w:color="auto"/>
            </w:tcBorders>
            <w:shd w:val="clear" w:color="auto" w:fill="F2F2F2" w:themeFill="background1" w:themeFillShade="F2"/>
            <w:vAlign w:val="center"/>
          </w:tcPr>
          <w:p w14:paraId="2254BFDB" w14:textId="4A15EFDF"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b w:val="0"/>
                <w:sz w:val="16"/>
                <w:szCs w:val="16"/>
              </w:rPr>
              <w:t>-</w:t>
            </w:r>
          </w:p>
        </w:tc>
        <w:tc>
          <w:tcPr>
            <w:tcW w:w="1130" w:type="dxa"/>
            <w:tcBorders>
              <w:top w:val="dotted" w:sz="4" w:space="0" w:color="auto"/>
              <w:left w:val="dotted" w:sz="4" w:space="0" w:color="auto"/>
              <w:bottom w:val="double" w:sz="4" w:space="0" w:color="auto"/>
            </w:tcBorders>
            <w:shd w:val="clear" w:color="auto" w:fill="F2F2F2" w:themeFill="background1" w:themeFillShade="F2"/>
            <w:vAlign w:val="center"/>
          </w:tcPr>
          <w:p w14:paraId="285101A9" w14:textId="46A02543"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b w:val="0"/>
                <w:sz w:val="16"/>
                <w:szCs w:val="16"/>
              </w:rPr>
              <w:t>-</w:t>
            </w:r>
          </w:p>
        </w:tc>
      </w:tr>
      <w:tr w:rsidR="00052955" w:rsidRPr="000300C6" w14:paraId="6D2C0631" w14:textId="77777777" w:rsidTr="00355AA7">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double" w:sz="4" w:space="0" w:color="auto"/>
              <w:left w:val="single" w:sz="4" w:space="0" w:color="auto"/>
              <w:bottom w:val="single" w:sz="4" w:space="0" w:color="auto"/>
            </w:tcBorders>
            <w:shd w:val="clear" w:color="auto" w:fill="FFFFFF" w:themeFill="background1"/>
            <w:vAlign w:val="center"/>
          </w:tcPr>
          <w:p w14:paraId="18F43F45" w14:textId="68CE1199" w:rsidR="00052955" w:rsidRPr="000300C6" w:rsidRDefault="00052955" w:rsidP="00052955">
            <w:pPr>
              <w:spacing w:after="0"/>
              <w:jc w:val="center"/>
              <w:rPr>
                <w:sz w:val="16"/>
                <w:szCs w:val="16"/>
              </w:rPr>
            </w:pPr>
            <w:r w:rsidRPr="000300C6">
              <w:rPr>
                <w:caps/>
                <w:sz w:val="16"/>
                <w:szCs w:val="16"/>
              </w:rPr>
              <w:t>HISTORICAL toxicity</w:t>
            </w:r>
          </w:p>
        </w:tc>
      </w:tr>
      <w:tr w:rsidR="00052955" w:rsidRPr="000300C6" w14:paraId="70AC7CA3"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FFFFFF" w:themeFill="background1"/>
            <w:vAlign w:val="center"/>
          </w:tcPr>
          <w:p w14:paraId="1092F422" w14:textId="4C6DFFC7" w:rsidR="00052955" w:rsidRPr="000300C6" w:rsidRDefault="00355AA7" w:rsidP="00052955">
            <w:pPr>
              <w:spacing w:after="0"/>
              <w:jc w:val="center"/>
              <w:rPr>
                <w:sz w:val="16"/>
                <w:szCs w:val="16"/>
              </w:rPr>
            </w:pPr>
            <w:r w:rsidRPr="000300C6">
              <w:rPr>
                <w:sz w:val="16"/>
                <w:szCs w:val="16"/>
              </w:rPr>
              <w:t>CRO</w:t>
            </w:r>
            <w:r w:rsidR="00052955" w:rsidRPr="000300C6">
              <w:rPr>
                <w:sz w:val="16"/>
                <w:szCs w:val="16"/>
              </w:rPr>
              <w:t xml:space="preserve"> maximum toxicity</w:t>
            </w:r>
          </w:p>
        </w:tc>
      </w:tr>
      <w:tr w:rsidR="00052955" w:rsidRPr="000300C6" w14:paraId="67A0F501"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single" w:sz="4" w:space="0" w:color="auto"/>
              <w:right w:val="dotted" w:sz="4" w:space="0" w:color="auto"/>
            </w:tcBorders>
            <w:shd w:val="clear" w:color="auto" w:fill="F2F2F2" w:themeFill="background1" w:themeFillShade="F2"/>
            <w:vAlign w:val="center"/>
          </w:tcPr>
          <w:p w14:paraId="4CF6749F" w14:textId="5A25753D" w:rsidR="00052955" w:rsidRPr="000300C6" w:rsidRDefault="00052955" w:rsidP="00052955">
            <w:pPr>
              <w:spacing w:after="0"/>
              <w:rPr>
                <w:i/>
                <w:sz w:val="16"/>
                <w:szCs w:val="16"/>
              </w:rPr>
            </w:pPr>
            <w:proofErr w:type="spellStart"/>
            <w:r w:rsidRPr="000300C6">
              <w:rPr>
                <w:rFonts w:asciiTheme="minorHAnsi" w:eastAsiaTheme="minorHAnsi" w:hAnsiTheme="minorHAnsi" w:cstheme="minorBidi"/>
                <w:b w:val="0"/>
                <w:i/>
                <w:sz w:val="16"/>
                <w:szCs w:val="16"/>
                <w:lang w:val="en-GB"/>
              </w:rPr>
              <w:t>Roseburia</w:t>
            </w:r>
            <w:proofErr w:type="spellEnd"/>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25E4C41E" w14:textId="6A0F9E04"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0.55%/0.92%/1.67%/4.90%</w:t>
            </w:r>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544469E5" w14:textId="742DFF21"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0.80%/1.55%/2.19%/7.00%</w:t>
            </w:r>
          </w:p>
        </w:tc>
        <w:tc>
          <w:tcPr>
            <w:tcW w:w="1065"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5F9F5C78" w14:textId="23A1829C"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0.17</w:t>
            </w:r>
          </w:p>
        </w:tc>
        <w:tc>
          <w:tcPr>
            <w:tcW w:w="1130" w:type="dxa"/>
            <w:tcBorders>
              <w:top w:val="single" w:sz="4" w:space="0" w:color="auto"/>
              <w:left w:val="dotted" w:sz="4" w:space="0" w:color="auto"/>
              <w:bottom w:val="single" w:sz="4" w:space="0" w:color="auto"/>
            </w:tcBorders>
            <w:shd w:val="clear" w:color="auto" w:fill="F2F2F2" w:themeFill="background1" w:themeFillShade="F2"/>
            <w:vAlign w:val="center"/>
          </w:tcPr>
          <w:p w14:paraId="7FAB3F1B" w14:textId="061C6AA0" w:rsidR="00052955" w:rsidRPr="000300C6" w:rsidRDefault="00052955" w:rsidP="00052955">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sz w:val="16"/>
                <w:szCs w:val="16"/>
                <w:lang w:val="en-GB"/>
              </w:rPr>
              <w:t>0.001 (0.06)</w:t>
            </w:r>
          </w:p>
        </w:tc>
      </w:tr>
      <w:tr w:rsidR="00355AA7" w:rsidRPr="000300C6" w14:paraId="5C2E1ECD"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FFFFFF" w:themeFill="background1"/>
            <w:vAlign w:val="center"/>
          </w:tcPr>
          <w:p w14:paraId="5A7F2EAA" w14:textId="23E0C57F" w:rsidR="00355AA7" w:rsidRPr="000300C6" w:rsidRDefault="00355AA7" w:rsidP="00355AA7">
            <w:pPr>
              <w:spacing w:after="0"/>
              <w:jc w:val="center"/>
              <w:rPr>
                <w:sz w:val="16"/>
                <w:szCs w:val="16"/>
              </w:rPr>
            </w:pPr>
            <w:r w:rsidRPr="000300C6">
              <w:rPr>
                <w:sz w:val="16"/>
                <w:szCs w:val="16"/>
              </w:rPr>
              <w:t>CRO diarrhoea</w:t>
            </w:r>
          </w:p>
        </w:tc>
      </w:tr>
      <w:tr w:rsidR="00355AA7" w:rsidRPr="000300C6" w14:paraId="0C8BB3E7"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single" w:sz="4" w:space="0" w:color="auto"/>
              <w:right w:val="dotted" w:sz="4" w:space="0" w:color="auto"/>
            </w:tcBorders>
            <w:shd w:val="clear" w:color="auto" w:fill="F2F2F2" w:themeFill="background1" w:themeFillShade="F2"/>
            <w:vAlign w:val="center"/>
          </w:tcPr>
          <w:p w14:paraId="70607FA7" w14:textId="23D3EFFD" w:rsidR="00355AA7" w:rsidRPr="000300C6" w:rsidRDefault="00355AA7" w:rsidP="00355AA7">
            <w:pPr>
              <w:spacing w:after="0"/>
              <w:rPr>
                <w:i/>
                <w:sz w:val="16"/>
                <w:szCs w:val="16"/>
              </w:rPr>
            </w:pPr>
            <w:proofErr w:type="spellStart"/>
            <w:r w:rsidRPr="000300C6">
              <w:rPr>
                <w:rFonts w:asciiTheme="minorHAnsi" w:eastAsiaTheme="minorHAnsi" w:hAnsiTheme="minorHAnsi" w:cstheme="minorBidi"/>
                <w:b w:val="0"/>
                <w:i/>
                <w:sz w:val="16"/>
                <w:szCs w:val="16"/>
                <w:lang w:val="en-GB"/>
              </w:rPr>
              <w:t>Roseburia</w:t>
            </w:r>
            <w:proofErr w:type="spellEnd"/>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410E1A10" w14:textId="14AA79C1"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0.59%/1.15%/2.36%/9.22%</w:t>
            </w:r>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550A9CF8" w14:textId="6B0DA778"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0.77%/2.06%/2.45%/9.22%</w:t>
            </w:r>
          </w:p>
        </w:tc>
        <w:tc>
          <w:tcPr>
            <w:tcW w:w="1065"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1334C909" w14:textId="05DE95F1"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0.33</w:t>
            </w:r>
          </w:p>
        </w:tc>
        <w:tc>
          <w:tcPr>
            <w:tcW w:w="1130" w:type="dxa"/>
            <w:tcBorders>
              <w:top w:val="single" w:sz="4" w:space="0" w:color="auto"/>
              <w:left w:val="dotted" w:sz="4" w:space="0" w:color="auto"/>
              <w:bottom w:val="single" w:sz="4" w:space="0" w:color="auto"/>
            </w:tcBorders>
            <w:shd w:val="clear" w:color="auto" w:fill="F2F2F2" w:themeFill="background1" w:themeFillShade="F2"/>
            <w:vAlign w:val="center"/>
          </w:tcPr>
          <w:p w14:paraId="6B112A2B" w14:textId="472AEF07"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sz w:val="16"/>
                <w:szCs w:val="16"/>
                <w:lang w:val="en-GB"/>
              </w:rPr>
              <w:t>&lt;0.001 (&lt;0.001)</w:t>
            </w:r>
          </w:p>
        </w:tc>
      </w:tr>
      <w:tr w:rsidR="00355AA7" w:rsidRPr="000300C6" w14:paraId="7346C801"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FFFFFF" w:themeFill="background1"/>
            <w:vAlign w:val="center"/>
          </w:tcPr>
          <w:p w14:paraId="2790A641" w14:textId="23DA3721" w:rsidR="00355AA7" w:rsidRPr="000300C6" w:rsidRDefault="00355AA7" w:rsidP="00355AA7">
            <w:pPr>
              <w:spacing w:after="0"/>
              <w:jc w:val="center"/>
              <w:rPr>
                <w:sz w:val="16"/>
                <w:szCs w:val="16"/>
              </w:rPr>
            </w:pPr>
            <w:r w:rsidRPr="000300C6">
              <w:rPr>
                <w:sz w:val="16"/>
                <w:szCs w:val="16"/>
              </w:rPr>
              <w:t>CRO proctitis</w:t>
            </w:r>
          </w:p>
        </w:tc>
      </w:tr>
      <w:tr w:rsidR="00355AA7" w:rsidRPr="000300C6" w14:paraId="4483DB72"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single" w:sz="4" w:space="0" w:color="auto"/>
              <w:right w:val="dotted" w:sz="4" w:space="0" w:color="auto"/>
            </w:tcBorders>
            <w:shd w:val="clear" w:color="auto" w:fill="F2F2F2" w:themeFill="background1" w:themeFillShade="F2"/>
            <w:vAlign w:val="center"/>
          </w:tcPr>
          <w:p w14:paraId="7D73B7A2" w14:textId="7C9C5439" w:rsidR="00355AA7" w:rsidRPr="000300C6" w:rsidRDefault="00355AA7" w:rsidP="00355AA7">
            <w:pPr>
              <w:spacing w:after="0"/>
              <w:rPr>
                <w:i/>
                <w:sz w:val="16"/>
                <w:szCs w:val="16"/>
              </w:rPr>
            </w:pPr>
            <w:proofErr w:type="spellStart"/>
            <w:r w:rsidRPr="000300C6">
              <w:rPr>
                <w:rFonts w:asciiTheme="minorHAnsi" w:eastAsiaTheme="minorHAnsi" w:hAnsiTheme="minorHAnsi" w:cstheme="minorBidi"/>
                <w:b w:val="0"/>
                <w:i/>
                <w:sz w:val="16"/>
                <w:szCs w:val="16"/>
                <w:lang w:val="en-GB"/>
              </w:rPr>
              <w:t>Roseburia</w:t>
            </w:r>
            <w:proofErr w:type="spellEnd"/>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5B58C9FF" w14:textId="14580373"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0.66%/1.30%/2.67%/0.38%</w:t>
            </w:r>
          </w:p>
        </w:tc>
        <w:tc>
          <w:tcPr>
            <w:tcW w:w="2454"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784A171F" w14:textId="0F890642"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1.11%/2.00%/5.01%/0.36%</w:t>
            </w:r>
          </w:p>
        </w:tc>
        <w:tc>
          <w:tcPr>
            <w:tcW w:w="1065"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4D65F826" w14:textId="16C1BD4A"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0.07</w:t>
            </w:r>
          </w:p>
        </w:tc>
        <w:tc>
          <w:tcPr>
            <w:tcW w:w="1130" w:type="dxa"/>
            <w:tcBorders>
              <w:top w:val="single" w:sz="4" w:space="0" w:color="auto"/>
              <w:left w:val="dotted" w:sz="4" w:space="0" w:color="auto"/>
              <w:bottom w:val="single" w:sz="4" w:space="0" w:color="auto"/>
            </w:tcBorders>
            <w:shd w:val="clear" w:color="auto" w:fill="F2F2F2" w:themeFill="background1" w:themeFillShade="F2"/>
            <w:vAlign w:val="center"/>
          </w:tcPr>
          <w:p w14:paraId="5BED9542" w14:textId="218772E9"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sz w:val="16"/>
                <w:szCs w:val="16"/>
                <w:lang w:val="en-GB"/>
              </w:rPr>
              <w:t>0.09 (&gt;0.1)</w:t>
            </w:r>
          </w:p>
        </w:tc>
      </w:tr>
      <w:tr w:rsidR="00355AA7" w:rsidRPr="000300C6" w14:paraId="0ECFB30A"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884" w:type="dxa"/>
            <w:gridSpan w:val="5"/>
            <w:tcBorders>
              <w:top w:val="single" w:sz="4" w:space="0" w:color="auto"/>
              <w:left w:val="single" w:sz="4" w:space="0" w:color="auto"/>
              <w:bottom w:val="single" w:sz="4" w:space="0" w:color="auto"/>
            </w:tcBorders>
            <w:shd w:val="clear" w:color="auto" w:fill="FFFFFF" w:themeFill="background1"/>
            <w:vAlign w:val="center"/>
          </w:tcPr>
          <w:p w14:paraId="457E0697" w14:textId="545D563F" w:rsidR="00355AA7" w:rsidRPr="000300C6" w:rsidRDefault="00355AA7" w:rsidP="00355AA7">
            <w:pPr>
              <w:spacing w:after="0"/>
              <w:jc w:val="center"/>
              <w:rPr>
                <w:sz w:val="16"/>
                <w:szCs w:val="16"/>
              </w:rPr>
            </w:pPr>
            <w:r w:rsidRPr="000300C6">
              <w:rPr>
                <w:sz w:val="16"/>
                <w:szCs w:val="16"/>
              </w:rPr>
              <w:t>PRO</w:t>
            </w:r>
          </w:p>
        </w:tc>
      </w:tr>
      <w:tr w:rsidR="00355AA7" w:rsidRPr="000300C6" w14:paraId="3A4E71D8" w14:textId="77777777" w:rsidTr="00355A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367DF92E" w14:textId="20E48C4B" w:rsidR="00355AA7" w:rsidRPr="000300C6" w:rsidRDefault="00355AA7" w:rsidP="00355AA7">
            <w:pPr>
              <w:spacing w:after="0"/>
              <w:rPr>
                <w:i/>
                <w:sz w:val="16"/>
                <w:szCs w:val="16"/>
              </w:rPr>
            </w:pPr>
            <w:proofErr w:type="spellStart"/>
            <w:r w:rsidRPr="000300C6">
              <w:rPr>
                <w:rFonts w:asciiTheme="minorHAnsi" w:eastAsiaTheme="minorHAnsi" w:hAnsiTheme="minorHAnsi" w:cstheme="minorBidi"/>
                <w:b w:val="0"/>
                <w:i/>
                <w:sz w:val="16"/>
                <w:szCs w:val="16"/>
                <w:lang w:val="en-GB"/>
              </w:rPr>
              <w:t>Roseburia</w:t>
            </w:r>
            <w:proofErr w:type="spellEnd"/>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19CD3AE5" w14:textId="7AE6D63C"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0.29%/0.71%/1.19%/1.75%/3.10%</w:t>
            </w:r>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71592D38" w14:textId="04B5B675"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0.38%/0.90%/1.94%/2.53%/5.85%</w:t>
            </w:r>
          </w:p>
        </w:tc>
        <w:tc>
          <w:tcPr>
            <w:tcW w:w="1065"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0528A8DF" w14:textId="4A256751"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0.09</w:t>
            </w:r>
          </w:p>
        </w:tc>
        <w:tc>
          <w:tcPr>
            <w:tcW w:w="1130" w:type="dxa"/>
            <w:tcBorders>
              <w:top w:val="dotted" w:sz="4" w:space="0" w:color="auto"/>
              <w:left w:val="dotted" w:sz="4" w:space="0" w:color="auto"/>
              <w:bottom w:val="single" w:sz="4" w:space="0" w:color="auto"/>
            </w:tcBorders>
            <w:shd w:val="clear" w:color="auto" w:fill="F2F2F2" w:themeFill="background1" w:themeFillShade="F2"/>
            <w:vAlign w:val="center"/>
          </w:tcPr>
          <w:p w14:paraId="03E3194E" w14:textId="17F96CD7" w:rsidR="00355AA7" w:rsidRPr="000300C6" w:rsidRDefault="00355AA7" w:rsidP="00355A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rFonts w:asciiTheme="minorHAnsi" w:eastAsiaTheme="minorHAnsi" w:hAnsiTheme="minorHAnsi" w:cstheme="minorBidi"/>
                <w:b w:val="0"/>
                <w:sz w:val="16"/>
                <w:szCs w:val="16"/>
                <w:lang w:val="en-GB"/>
              </w:rPr>
              <w:t>0.11 (&gt;0.1)</w:t>
            </w:r>
          </w:p>
        </w:tc>
      </w:tr>
    </w:tbl>
    <w:p w14:paraId="78EC6DFB" w14:textId="77777777" w:rsidR="00BC2AB8" w:rsidRPr="000300C6" w:rsidRDefault="00DB7C8F" w:rsidP="00DB7C8F">
      <w:pPr>
        <w:spacing w:after="0"/>
        <w:jc w:val="center"/>
        <w:rPr>
          <w:i/>
          <w:sz w:val="18"/>
          <w:szCs w:val="18"/>
          <w:lang w:val="en-US"/>
        </w:rPr>
      </w:pPr>
      <w:r w:rsidRPr="000300C6">
        <w:rPr>
          <w:i/>
          <w:sz w:val="18"/>
          <w:szCs w:val="18"/>
          <w:lang w:val="en-US"/>
        </w:rPr>
        <w:t>*: No significant or relevant differences with actual PRO-based symptom grouping were found.</w:t>
      </w:r>
    </w:p>
    <w:p w14:paraId="5671D78C" w14:textId="71162092" w:rsidR="00DB7C8F" w:rsidRPr="000300C6" w:rsidRDefault="00BC2AB8" w:rsidP="00DB7C8F">
      <w:pPr>
        <w:spacing w:after="0"/>
        <w:jc w:val="center"/>
        <w:rPr>
          <w:i/>
          <w:sz w:val="18"/>
          <w:szCs w:val="18"/>
          <w:lang w:val="en-US"/>
        </w:rPr>
      </w:pPr>
      <w:r w:rsidRPr="000300C6">
        <w:rPr>
          <w:i/>
          <w:sz w:val="18"/>
          <w:szCs w:val="18"/>
          <w:lang w:val="en-US"/>
        </w:rPr>
        <w:t xml:space="preserve"> p* represents the p-value prior to correction for multiple testing.</w:t>
      </w:r>
    </w:p>
    <w:p w14:paraId="503D153E" w14:textId="7B9BAFC8" w:rsidR="00DB7C8F" w:rsidRPr="000300C6" w:rsidRDefault="00DB7C8F" w:rsidP="007B53B7">
      <w:pPr>
        <w:pStyle w:val="Caption"/>
        <w:rPr>
          <w:lang w:val="en-US"/>
        </w:rPr>
      </w:pPr>
    </w:p>
    <w:p w14:paraId="1EB383C5" w14:textId="67D2D6A2" w:rsidR="001D121C" w:rsidRPr="000300C6" w:rsidRDefault="001D121C" w:rsidP="001D121C">
      <w:pPr>
        <w:rPr>
          <w:lang w:val="en-US"/>
        </w:rPr>
      </w:pPr>
    </w:p>
    <w:p w14:paraId="0B4E9D27" w14:textId="7539744B" w:rsidR="001D121C" w:rsidRPr="000300C6" w:rsidRDefault="001D121C" w:rsidP="001D121C">
      <w:pPr>
        <w:spacing w:after="0"/>
        <w:ind w:right="-613"/>
        <w:jc w:val="center"/>
        <w:rPr>
          <w:sz w:val="18"/>
          <w:szCs w:val="18"/>
        </w:rPr>
      </w:pPr>
      <w:r w:rsidRPr="000300C6">
        <w:rPr>
          <w:b/>
          <w:sz w:val="18"/>
          <w:szCs w:val="18"/>
        </w:rPr>
        <w:t>Table SUPP-1</w:t>
      </w:r>
      <w:r w:rsidR="00277C1F" w:rsidRPr="000300C6">
        <w:rPr>
          <w:b/>
          <w:sz w:val="18"/>
          <w:szCs w:val="18"/>
        </w:rPr>
        <w:t>3</w:t>
      </w:r>
      <w:r w:rsidRPr="000300C6">
        <w:rPr>
          <w:b/>
          <w:sz w:val="18"/>
          <w:szCs w:val="18"/>
        </w:rPr>
        <w:t>:</w:t>
      </w:r>
      <w:r w:rsidRPr="000300C6">
        <w:rPr>
          <w:sz w:val="18"/>
          <w:szCs w:val="18"/>
        </w:rPr>
        <w:t xml:space="preserve"> Results of linear mixed model regression analysis for exploring associations </w:t>
      </w:r>
    </w:p>
    <w:p w14:paraId="1E80FC4A" w14:textId="55BFC99B" w:rsidR="001D121C" w:rsidRPr="000300C6" w:rsidRDefault="001D121C" w:rsidP="001D121C">
      <w:pPr>
        <w:spacing w:after="120"/>
        <w:ind w:right="-613"/>
        <w:jc w:val="center"/>
        <w:rPr>
          <w:i/>
          <w:sz w:val="18"/>
          <w:szCs w:val="18"/>
        </w:rPr>
      </w:pPr>
      <w:r w:rsidRPr="000300C6">
        <w:rPr>
          <w:sz w:val="18"/>
          <w:szCs w:val="18"/>
        </w:rPr>
        <w:t>between metagenomic SCFA-related metabolic pathways and longitudinal symptom group over time in the early cohort</w:t>
      </w:r>
      <w:r w:rsidRPr="000300C6">
        <w:rPr>
          <w:i/>
          <w:sz w:val="18"/>
          <w:szCs w:val="18"/>
        </w:rPr>
        <w:t>.</w:t>
      </w:r>
    </w:p>
    <w:tbl>
      <w:tblPr>
        <w:tblStyle w:val="PlainTable42"/>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1985"/>
        <w:gridCol w:w="1275"/>
        <w:gridCol w:w="1134"/>
        <w:gridCol w:w="993"/>
        <w:gridCol w:w="968"/>
        <w:gridCol w:w="970"/>
      </w:tblGrid>
      <w:tr w:rsidR="001D121C" w:rsidRPr="000300C6" w14:paraId="235B8838" w14:textId="77777777" w:rsidTr="001D12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vAlign w:val="center"/>
          </w:tcPr>
          <w:p w14:paraId="7FDD02E2" w14:textId="36C5616C" w:rsidR="001D121C" w:rsidRPr="000300C6" w:rsidRDefault="001D121C" w:rsidP="001D121C">
            <w:pPr>
              <w:spacing w:after="0" w:line="240" w:lineRule="auto"/>
              <w:jc w:val="center"/>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Pathway and KEGG identifier</w:t>
            </w:r>
          </w:p>
        </w:tc>
        <w:tc>
          <w:tcPr>
            <w:tcW w:w="1985" w:type="dxa"/>
            <w:tcBorders>
              <w:top w:val="single" w:sz="4" w:space="0" w:color="auto"/>
              <w:bottom w:val="single" w:sz="4" w:space="0" w:color="auto"/>
            </w:tcBorders>
            <w:vAlign w:val="center"/>
          </w:tcPr>
          <w:p w14:paraId="5CC49CE0"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Effect</w:t>
            </w:r>
          </w:p>
        </w:tc>
        <w:tc>
          <w:tcPr>
            <w:tcW w:w="1275" w:type="dxa"/>
            <w:tcBorders>
              <w:top w:val="single" w:sz="4" w:space="0" w:color="auto"/>
              <w:bottom w:val="single" w:sz="4" w:space="0" w:color="auto"/>
            </w:tcBorders>
            <w:vAlign w:val="center"/>
          </w:tcPr>
          <w:p w14:paraId="7DC31FE7"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Estimate</w:t>
            </w:r>
          </w:p>
        </w:tc>
        <w:tc>
          <w:tcPr>
            <w:tcW w:w="1134" w:type="dxa"/>
            <w:tcBorders>
              <w:top w:val="single" w:sz="4" w:space="0" w:color="auto"/>
              <w:bottom w:val="single" w:sz="4" w:space="0" w:color="auto"/>
            </w:tcBorders>
            <w:vAlign w:val="center"/>
          </w:tcPr>
          <w:p w14:paraId="41ABDBA7"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Standard error</w:t>
            </w:r>
          </w:p>
        </w:tc>
        <w:tc>
          <w:tcPr>
            <w:tcW w:w="993" w:type="dxa"/>
            <w:tcBorders>
              <w:top w:val="single" w:sz="4" w:space="0" w:color="auto"/>
              <w:bottom w:val="single" w:sz="4" w:space="0" w:color="auto"/>
            </w:tcBorders>
            <w:vAlign w:val="center"/>
          </w:tcPr>
          <w:p w14:paraId="79165D85"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Degrees of freedom</w:t>
            </w:r>
          </w:p>
        </w:tc>
        <w:tc>
          <w:tcPr>
            <w:tcW w:w="968" w:type="dxa"/>
            <w:tcBorders>
              <w:top w:val="single" w:sz="4" w:space="0" w:color="auto"/>
              <w:bottom w:val="single" w:sz="4" w:space="0" w:color="auto"/>
            </w:tcBorders>
            <w:vAlign w:val="center"/>
          </w:tcPr>
          <w:p w14:paraId="6A0EBEEF"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t-value</w:t>
            </w:r>
          </w:p>
        </w:tc>
        <w:tc>
          <w:tcPr>
            <w:tcW w:w="970" w:type="dxa"/>
            <w:tcBorders>
              <w:top w:val="single" w:sz="4" w:space="0" w:color="auto"/>
              <w:bottom w:val="single" w:sz="4" w:space="0" w:color="auto"/>
            </w:tcBorders>
            <w:vAlign w:val="center"/>
          </w:tcPr>
          <w:p w14:paraId="52BFCE56" w14:textId="77777777" w:rsidR="001D121C" w:rsidRPr="000300C6" w:rsidRDefault="001D121C" w:rsidP="001D1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GB"/>
              </w:rPr>
            </w:pPr>
            <w:r w:rsidRPr="000300C6">
              <w:rPr>
                <w:rFonts w:asciiTheme="minorHAnsi" w:eastAsiaTheme="minorHAnsi" w:hAnsiTheme="minorHAnsi" w:cstheme="minorBidi"/>
                <w:sz w:val="16"/>
                <w:szCs w:val="16"/>
                <w:lang w:val="en-GB"/>
              </w:rPr>
              <w:t>p-value</w:t>
            </w:r>
          </w:p>
        </w:tc>
      </w:tr>
      <w:tr w:rsidR="001D121C" w:rsidRPr="000300C6" w14:paraId="641A8F37" w14:textId="77777777" w:rsidTr="001D121C">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9730" w:type="dxa"/>
            <w:gridSpan w:val="7"/>
            <w:tcBorders>
              <w:top w:val="single" w:sz="4" w:space="0" w:color="auto"/>
              <w:bottom w:val="single" w:sz="4" w:space="0" w:color="auto"/>
            </w:tcBorders>
            <w:vAlign w:val="center"/>
          </w:tcPr>
          <w:p w14:paraId="0985910F" w14:textId="77777777" w:rsidR="001D121C" w:rsidRPr="000300C6" w:rsidRDefault="001D121C" w:rsidP="001D121C">
            <w:pPr>
              <w:spacing w:after="0" w:line="240" w:lineRule="auto"/>
              <w:jc w:val="center"/>
              <w:rPr>
                <w:rFonts w:asciiTheme="minorHAnsi" w:eastAsiaTheme="minorHAnsi" w:hAnsiTheme="minorHAnsi" w:cstheme="minorBidi"/>
                <w:b w:val="0"/>
                <w:sz w:val="16"/>
                <w:szCs w:val="16"/>
                <w:lang w:val="en-GB"/>
              </w:rPr>
            </w:pPr>
            <w:r w:rsidRPr="000300C6">
              <w:rPr>
                <w:rFonts w:asciiTheme="minorHAnsi" w:eastAsiaTheme="minorHAnsi" w:hAnsiTheme="minorHAnsi" w:cstheme="minorBidi"/>
                <w:sz w:val="16"/>
                <w:szCs w:val="16"/>
                <w:lang w:val="en-GB"/>
              </w:rPr>
              <w:t>PRO-stratified groups</w:t>
            </w:r>
          </w:p>
        </w:tc>
      </w:tr>
      <w:tr w:rsidR="001D121C" w:rsidRPr="000300C6" w14:paraId="7FF14849"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bottom w:val="dashSmallGap" w:sz="4" w:space="0" w:color="auto"/>
              <w:right w:val="dotted" w:sz="4" w:space="0" w:color="auto"/>
            </w:tcBorders>
            <w:shd w:val="clear" w:color="auto" w:fill="auto"/>
          </w:tcPr>
          <w:p w14:paraId="69F5159B"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Butanoate metabolism</w:t>
            </w:r>
          </w:p>
          <w:p w14:paraId="7A4AD956"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ko00650</w:t>
            </w:r>
          </w:p>
        </w:tc>
        <w:tc>
          <w:tcPr>
            <w:tcW w:w="1985" w:type="dxa"/>
            <w:tcBorders>
              <w:top w:val="single" w:sz="4" w:space="0" w:color="auto"/>
              <w:left w:val="dotted" w:sz="4" w:space="0" w:color="auto"/>
              <w:bottom w:val="dotted" w:sz="4" w:space="0" w:color="auto"/>
              <w:right w:val="dotted" w:sz="4" w:space="0" w:color="auto"/>
            </w:tcBorders>
            <w:shd w:val="clear" w:color="auto" w:fill="auto"/>
            <w:vAlign w:val="center"/>
          </w:tcPr>
          <w:p w14:paraId="2480A604"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single" w:sz="4" w:space="0" w:color="auto"/>
              <w:left w:val="dotted" w:sz="4" w:space="0" w:color="auto"/>
              <w:bottom w:val="dotted" w:sz="4" w:space="0" w:color="auto"/>
              <w:right w:val="dotted" w:sz="4" w:space="0" w:color="auto"/>
            </w:tcBorders>
            <w:shd w:val="clear" w:color="auto" w:fill="auto"/>
            <w:vAlign w:val="bottom"/>
          </w:tcPr>
          <w:p w14:paraId="766D9EF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0.20</w:t>
            </w:r>
          </w:p>
        </w:tc>
        <w:tc>
          <w:tcPr>
            <w:tcW w:w="1134" w:type="dxa"/>
            <w:tcBorders>
              <w:top w:val="single" w:sz="4" w:space="0" w:color="auto"/>
              <w:left w:val="dotted" w:sz="4" w:space="0" w:color="auto"/>
              <w:bottom w:val="dotted" w:sz="4" w:space="0" w:color="auto"/>
              <w:right w:val="dotted" w:sz="4" w:space="0" w:color="auto"/>
            </w:tcBorders>
            <w:shd w:val="clear" w:color="auto" w:fill="auto"/>
            <w:vAlign w:val="bottom"/>
          </w:tcPr>
          <w:p w14:paraId="6678A72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0.34</w:t>
            </w:r>
          </w:p>
        </w:tc>
        <w:tc>
          <w:tcPr>
            <w:tcW w:w="993" w:type="dxa"/>
            <w:tcBorders>
              <w:top w:val="single" w:sz="4" w:space="0" w:color="auto"/>
              <w:left w:val="dotted" w:sz="4" w:space="0" w:color="auto"/>
              <w:bottom w:val="dotted" w:sz="4" w:space="0" w:color="auto"/>
              <w:right w:val="dotted" w:sz="4" w:space="0" w:color="auto"/>
            </w:tcBorders>
            <w:shd w:val="clear" w:color="auto" w:fill="auto"/>
            <w:vAlign w:val="bottom"/>
          </w:tcPr>
          <w:p w14:paraId="3DB13DD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109.41</w:t>
            </w:r>
          </w:p>
        </w:tc>
        <w:tc>
          <w:tcPr>
            <w:tcW w:w="968" w:type="dxa"/>
            <w:tcBorders>
              <w:top w:val="single" w:sz="4" w:space="0" w:color="auto"/>
              <w:left w:val="dotted" w:sz="4" w:space="0" w:color="auto"/>
              <w:bottom w:val="dotted" w:sz="4" w:space="0" w:color="auto"/>
              <w:right w:val="dotted" w:sz="4" w:space="0" w:color="auto"/>
            </w:tcBorders>
            <w:shd w:val="clear" w:color="auto" w:fill="auto"/>
            <w:vAlign w:val="bottom"/>
          </w:tcPr>
          <w:p w14:paraId="539E1D32"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0.58</w:t>
            </w:r>
          </w:p>
        </w:tc>
        <w:tc>
          <w:tcPr>
            <w:tcW w:w="970" w:type="dxa"/>
            <w:tcBorders>
              <w:top w:val="single" w:sz="4" w:space="0" w:color="auto"/>
              <w:left w:val="dotted" w:sz="4" w:space="0" w:color="auto"/>
              <w:bottom w:val="dotted" w:sz="4" w:space="0" w:color="auto"/>
            </w:tcBorders>
            <w:shd w:val="clear" w:color="auto" w:fill="auto"/>
            <w:vAlign w:val="bottom"/>
          </w:tcPr>
          <w:p w14:paraId="73D2FAE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0.57</w:t>
            </w:r>
          </w:p>
        </w:tc>
      </w:tr>
      <w:tr w:rsidR="001D121C" w:rsidRPr="000300C6" w14:paraId="08A0E6D0"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shd w:val="clear" w:color="auto" w:fill="auto"/>
          </w:tcPr>
          <w:p w14:paraId="666F11D4"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4E0BCEDA" w14:textId="5DA3AC6C"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tcPr>
          <w:p w14:paraId="360B5D0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2.38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bottom"/>
          </w:tcPr>
          <w:p w14:paraId="6CFDD672"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1.92</w:t>
            </w:r>
          </w:p>
        </w:tc>
        <w:tc>
          <w:tcPr>
            <w:tcW w:w="993" w:type="dxa"/>
            <w:tcBorders>
              <w:top w:val="dotted" w:sz="4" w:space="0" w:color="auto"/>
              <w:left w:val="dotted" w:sz="4" w:space="0" w:color="auto"/>
              <w:bottom w:val="dotted" w:sz="4" w:space="0" w:color="auto"/>
              <w:right w:val="dotted" w:sz="4" w:space="0" w:color="auto"/>
            </w:tcBorders>
            <w:shd w:val="clear" w:color="auto" w:fill="auto"/>
            <w:vAlign w:val="bottom"/>
          </w:tcPr>
          <w:p w14:paraId="6118D6F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30.83</w:t>
            </w:r>
          </w:p>
        </w:tc>
        <w:tc>
          <w:tcPr>
            <w:tcW w:w="968" w:type="dxa"/>
            <w:tcBorders>
              <w:top w:val="dotted" w:sz="4" w:space="0" w:color="auto"/>
              <w:left w:val="dotted" w:sz="4" w:space="0" w:color="auto"/>
              <w:bottom w:val="dotted" w:sz="4" w:space="0" w:color="auto"/>
              <w:right w:val="dotted" w:sz="4" w:space="0" w:color="auto"/>
            </w:tcBorders>
            <w:shd w:val="clear" w:color="auto" w:fill="auto"/>
            <w:vAlign w:val="bottom"/>
          </w:tcPr>
          <w:p w14:paraId="10FC804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1.24</w:t>
            </w:r>
          </w:p>
        </w:tc>
        <w:tc>
          <w:tcPr>
            <w:tcW w:w="970" w:type="dxa"/>
            <w:tcBorders>
              <w:top w:val="dotted" w:sz="4" w:space="0" w:color="auto"/>
              <w:left w:val="dotted" w:sz="4" w:space="0" w:color="auto"/>
              <w:bottom w:val="dotted" w:sz="4" w:space="0" w:color="auto"/>
            </w:tcBorders>
            <w:shd w:val="clear" w:color="auto" w:fill="auto"/>
            <w:vAlign w:val="bottom"/>
          </w:tcPr>
          <w:p w14:paraId="41D0F702"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0.22</w:t>
            </w:r>
          </w:p>
        </w:tc>
      </w:tr>
      <w:tr w:rsidR="001D121C" w:rsidRPr="000300C6" w14:paraId="3D5DAE56"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shd w:val="clear" w:color="auto" w:fill="auto"/>
          </w:tcPr>
          <w:p w14:paraId="1FC3804C"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ashSmallGap" w:sz="4" w:space="0" w:color="auto"/>
              <w:right w:val="dotted" w:sz="4" w:space="0" w:color="auto"/>
            </w:tcBorders>
            <w:shd w:val="clear" w:color="auto" w:fill="auto"/>
            <w:vAlign w:val="center"/>
          </w:tcPr>
          <w:p w14:paraId="2A1DA912" w14:textId="30D46E01"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ashSmallGap" w:sz="4" w:space="0" w:color="auto"/>
              <w:right w:val="dotted" w:sz="4" w:space="0" w:color="auto"/>
            </w:tcBorders>
            <w:shd w:val="clear" w:color="auto" w:fill="auto"/>
            <w:vAlign w:val="bottom"/>
          </w:tcPr>
          <w:p w14:paraId="4EEBD9A0"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-0.02</w:t>
            </w:r>
          </w:p>
        </w:tc>
        <w:tc>
          <w:tcPr>
            <w:tcW w:w="1134" w:type="dxa"/>
            <w:tcBorders>
              <w:top w:val="dotted" w:sz="4" w:space="0" w:color="auto"/>
              <w:left w:val="dotted" w:sz="4" w:space="0" w:color="auto"/>
              <w:bottom w:val="dashSmallGap" w:sz="4" w:space="0" w:color="auto"/>
              <w:right w:val="dotted" w:sz="4" w:space="0" w:color="auto"/>
            </w:tcBorders>
            <w:shd w:val="clear" w:color="auto" w:fill="auto"/>
            <w:vAlign w:val="bottom"/>
          </w:tcPr>
          <w:p w14:paraId="4908B0E8"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0.27</w:t>
            </w:r>
          </w:p>
        </w:tc>
        <w:tc>
          <w:tcPr>
            <w:tcW w:w="993" w:type="dxa"/>
            <w:tcBorders>
              <w:top w:val="dotted" w:sz="4" w:space="0" w:color="auto"/>
              <w:left w:val="dotted" w:sz="4" w:space="0" w:color="auto"/>
              <w:bottom w:val="dashSmallGap" w:sz="4" w:space="0" w:color="auto"/>
              <w:right w:val="dotted" w:sz="4" w:space="0" w:color="auto"/>
            </w:tcBorders>
            <w:shd w:val="clear" w:color="auto" w:fill="auto"/>
            <w:vAlign w:val="bottom"/>
          </w:tcPr>
          <w:p w14:paraId="6D778FB1"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110.53</w:t>
            </w:r>
          </w:p>
        </w:tc>
        <w:tc>
          <w:tcPr>
            <w:tcW w:w="968" w:type="dxa"/>
            <w:tcBorders>
              <w:top w:val="dotted" w:sz="4" w:space="0" w:color="auto"/>
              <w:left w:val="dotted" w:sz="4" w:space="0" w:color="auto"/>
              <w:bottom w:val="dashSmallGap" w:sz="4" w:space="0" w:color="auto"/>
              <w:right w:val="dotted" w:sz="4" w:space="0" w:color="auto"/>
            </w:tcBorders>
            <w:shd w:val="clear" w:color="auto" w:fill="auto"/>
            <w:vAlign w:val="bottom"/>
          </w:tcPr>
          <w:p w14:paraId="1ED06A38"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-0.09</w:t>
            </w:r>
          </w:p>
        </w:tc>
        <w:tc>
          <w:tcPr>
            <w:tcW w:w="970" w:type="dxa"/>
            <w:tcBorders>
              <w:top w:val="dotted" w:sz="4" w:space="0" w:color="auto"/>
              <w:left w:val="dotted" w:sz="4" w:space="0" w:color="auto"/>
              <w:bottom w:val="dashSmallGap" w:sz="4" w:space="0" w:color="auto"/>
            </w:tcBorders>
            <w:shd w:val="clear" w:color="auto" w:fill="auto"/>
            <w:vAlign w:val="bottom"/>
          </w:tcPr>
          <w:p w14:paraId="3C87B5F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0.93</w:t>
            </w:r>
          </w:p>
        </w:tc>
      </w:tr>
      <w:tr w:rsidR="001D121C" w:rsidRPr="000300C6" w14:paraId="35C4B530"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right w:val="dotted" w:sz="4" w:space="0" w:color="auto"/>
            </w:tcBorders>
          </w:tcPr>
          <w:p w14:paraId="4DF5E3A5"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Propanoate metabolism</w:t>
            </w:r>
          </w:p>
          <w:p w14:paraId="6D2B18F0"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ko00640</w:t>
            </w:r>
          </w:p>
        </w:tc>
        <w:tc>
          <w:tcPr>
            <w:tcW w:w="1985" w:type="dxa"/>
            <w:tcBorders>
              <w:top w:val="dashSmallGap" w:sz="4" w:space="0" w:color="auto"/>
              <w:left w:val="dotted" w:sz="4" w:space="0" w:color="auto"/>
              <w:bottom w:val="dotted" w:sz="4" w:space="0" w:color="auto"/>
              <w:right w:val="dotted" w:sz="4" w:space="0" w:color="auto"/>
            </w:tcBorders>
            <w:vAlign w:val="center"/>
          </w:tcPr>
          <w:p w14:paraId="2968B3E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tcPr>
          <w:p w14:paraId="30C9D95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0.46</w:t>
            </w:r>
          </w:p>
        </w:tc>
        <w:tc>
          <w:tcPr>
            <w:tcW w:w="1134" w:type="dxa"/>
            <w:tcBorders>
              <w:top w:val="dashSmallGap" w:sz="4" w:space="0" w:color="auto"/>
              <w:left w:val="dotted" w:sz="4" w:space="0" w:color="auto"/>
              <w:bottom w:val="dotted" w:sz="4" w:space="0" w:color="auto"/>
              <w:right w:val="dotted" w:sz="4" w:space="0" w:color="auto"/>
            </w:tcBorders>
          </w:tcPr>
          <w:p w14:paraId="4AA2C7B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0.36</w:t>
            </w:r>
          </w:p>
        </w:tc>
        <w:tc>
          <w:tcPr>
            <w:tcW w:w="993" w:type="dxa"/>
            <w:tcBorders>
              <w:top w:val="dashSmallGap" w:sz="4" w:space="0" w:color="auto"/>
              <w:left w:val="dotted" w:sz="4" w:space="0" w:color="auto"/>
              <w:bottom w:val="dotted" w:sz="4" w:space="0" w:color="auto"/>
              <w:right w:val="dotted" w:sz="4" w:space="0" w:color="auto"/>
            </w:tcBorders>
          </w:tcPr>
          <w:p w14:paraId="61D3FE9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83.06</w:t>
            </w:r>
          </w:p>
        </w:tc>
        <w:tc>
          <w:tcPr>
            <w:tcW w:w="968" w:type="dxa"/>
            <w:tcBorders>
              <w:top w:val="dashSmallGap" w:sz="4" w:space="0" w:color="auto"/>
              <w:left w:val="dotted" w:sz="4" w:space="0" w:color="auto"/>
              <w:bottom w:val="dotted" w:sz="4" w:space="0" w:color="auto"/>
              <w:right w:val="dotted" w:sz="4" w:space="0" w:color="auto"/>
            </w:tcBorders>
          </w:tcPr>
          <w:p w14:paraId="1CDB85A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1.26</w:t>
            </w:r>
          </w:p>
        </w:tc>
        <w:tc>
          <w:tcPr>
            <w:tcW w:w="970" w:type="dxa"/>
            <w:tcBorders>
              <w:top w:val="dashSmallGap" w:sz="4" w:space="0" w:color="auto"/>
              <w:left w:val="dotted" w:sz="4" w:space="0" w:color="auto"/>
              <w:bottom w:val="dotted" w:sz="4" w:space="0" w:color="auto"/>
            </w:tcBorders>
          </w:tcPr>
          <w:p w14:paraId="2CA44A57"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0.21</w:t>
            </w:r>
          </w:p>
        </w:tc>
      </w:tr>
      <w:tr w:rsidR="001D121C" w:rsidRPr="000300C6" w14:paraId="114656FE"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right w:val="dotted" w:sz="4" w:space="0" w:color="auto"/>
            </w:tcBorders>
          </w:tcPr>
          <w:p w14:paraId="5667B426"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6376FB1B" w14:textId="1AECA1CE"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tcPr>
          <w:p w14:paraId="668C2AD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3.74</w:t>
            </w:r>
          </w:p>
        </w:tc>
        <w:tc>
          <w:tcPr>
            <w:tcW w:w="1134" w:type="dxa"/>
            <w:tcBorders>
              <w:top w:val="dotted" w:sz="4" w:space="0" w:color="auto"/>
              <w:left w:val="dotted" w:sz="4" w:space="0" w:color="auto"/>
              <w:bottom w:val="dotted" w:sz="4" w:space="0" w:color="auto"/>
              <w:right w:val="dotted" w:sz="4" w:space="0" w:color="auto"/>
            </w:tcBorders>
          </w:tcPr>
          <w:p w14:paraId="2A53CFB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2.00</w:t>
            </w:r>
          </w:p>
        </w:tc>
        <w:tc>
          <w:tcPr>
            <w:tcW w:w="993" w:type="dxa"/>
            <w:tcBorders>
              <w:top w:val="dotted" w:sz="4" w:space="0" w:color="auto"/>
              <w:left w:val="dotted" w:sz="4" w:space="0" w:color="auto"/>
              <w:bottom w:val="dotted" w:sz="4" w:space="0" w:color="auto"/>
              <w:right w:val="dotted" w:sz="4" w:space="0" w:color="auto"/>
            </w:tcBorders>
          </w:tcPr>
          <w:p w14:paraId="6C53C0D8"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30.95</w:t>
            </w:r>
          </w:p>
        </w:tc>
        <w:tc>
          <w:tcPr>
            <w:tcW w:w="968" w:type="dxa"/>
            <w:tcBorders>
              <w:top w:val="dotted" w:sz="4" w:space="0" w:color="auto"/>
              <w:left w:val="dotted" w:sz="4" w:space="0" w:color="auto"/>
              <w:bottom w:val="dotted" w:sz="4" w:space="0" w:color="auto"/>
              <w:right w:val="dotted" w:sz="4" w:space="0" w:color="auto"/>
            </w:tcBorders>
          </w:tcPr>
          <w:p w14:paraId="641A0ED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1.87</w:t>
            </w:r>
          </w:p>
        </w:tc>
        <w:tc>
          <w:tcPr>
            <w:tcW w:w="970" w:type="dxa"/>
            <w:tcBorders>
              <w:top w:val="dotted" w:sz="4" w:space="0" w:color="auto"/>
              <w:left w:val="dotted" w:sz="4" w:space="0" w:color="auto"/>
              <w:bottom w:val="dotted" w:sz="4" w:space="0" w:color="auto"/>
            </w:tcBorders>
          </w:tcPr>
          <w:p w14:paraId="56B8F971"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0.07</w:t>
            </w:r>
          </w:p>
        </w:tc>
      </w:tr>
      <w:tr w:rsidR="001D121C" w:rsidRPr="000300C6" w14:paraId="1144C717"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dotted" w:sz="4" w:space="0" w:color="auto"/>
            </w:tcBorders>
          </w:tcPr>
          <w:p w14:paraId="52841A2D"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30ED0A43" w14:textId="19190E39"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otted" w:sz="4" w:space="0" w:color="auto"/>
              <w:right w:val="dotted" w:sz="4" w:space="0" w:color="auto"/>
            </w:tcBorders>
          </w:tcPr>
          <w:p w14:paraId="10AF84F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-0.18</w:t>
            </w:r>
          </w:p>
        </w:tc>
        <w:tc>
          <w:tcPr>
            <w:tcW w:w="1134" w:type="dxa"/>
            <w:tcBorders>
              <w:top w:val="dotted" w:sz="4" w:space="0" w:color="auto"/>
              <w:left w:val="dotted" w:sz="4" w:space="0" w:color="auto"/>
              <w:bottom w:val="dotted" w:sz="4" w:space="0" w:color="auto"/>
              <w:right w:val="dotted" w:sz="4" w:space="0" w:color="auto"/>
            </w:tcBorders>
          </w:tcPr>
          <w:p w14:paraId="388D667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0.29</w:t>
            </w:r>
          </w:p>
        </w:tc>
        <w:tc>
          <w:tcPr>
            <w:tcW w:w="993" w:type="dxa"/>
            <w:tcBorders>
              <w:top w:val="dotted" w:sz="4" w:space="0" w:color="auto"/>
              <w:left w:val="dotted" w:sz="4" w:space="0" w:color="auto"/>
              <w:bottom w:val="dotted" w:sz="4" w:space="0" w:color="auto"/>
              <w:right w:val="dotted" w:sz="4" w:space="0" w:color="auto"/>
            </w:tcBorders>
          </w:tcPr>
          <w:p w14:paraId="23A03EBE"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84.40</w:t>
            </w:r>
          </w:p>
        </w:tc>
        <w:tc>
          <w:tcPr>
            <w:tcW w:w="968" w:type="dxa"/>
            <w:tcBorders>
              <w:top w:val="dotted" w:sz="4" w:space="0" w:color="auto"/>
              <w:left w:val="dotted" w:sz="4" w:space="0" w:color="auto"/>
              <w:bottom w:val="dotted" w:sz="4" w:space="0" w:color="auto"/>
              <w:right w:val="dotted" w:sz="4" w:space="0" w:color="auto"/>
            </w:tcBorders>
          </w:tcPr>
          <w:p w14:paraId="5593C74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-0.63</w:t>
            </w:r>
          </w:p>
        </w:tc>
        <w:tc>
          <w:tcPr>
            <w:tcW w:w="970" w:type="dxa"/>
            <w:tcBorders>
              <w:top w:val="dotted" w:sz="4" w:space="0" w:color="auto"/>
              <w:left w:val="dotted" w:sz="4" w:space="0" w:color="auto"/>
              <w:bottom w:val="dotted" w:sz="4" w:space="0" w:color="auto"/>
            </w:tcBorders>
          </w:tcPr>
          <w:p w14:paraId="214FE65A"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val="en-GB" w:eastAsia="en-GB"/>
              </w:rPr>
            </w:pPr>
            <w:r w:rsidRPr="000300C6">
              <w:rPr>
                <w:rFonts w:eastAsia="Times New Roman" w:cs="Calibri"/>
                <w:color w:val="000000"/>
                <w:sz w:val="14"/>
                <w:szCs w:val="14"/>
                <w:lang w:val="en-GB" w:eastAsia="en-GB"/>
              </w:rPr>
              <w:t>0.53</w:t>
            </w:r>
          </w:p>
        </w:tc>
      </w:tr>
      <w:tr w:rsidR="001D121C" w:rsidRPr="000300C6" w14:paraId="233C16D5"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bottom w:val="dashSmallGap" w:sz="4" w:space="0" w:color="auto"/>
              <w:right w:val="dotted" w:sz="4" w:space="0" w:color="auto"/>
            </w:tcBorders>
          </w:tcPr>
          <w:p w14:paraId="16968045"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degradation</w:t>
            </w:r>
          </w:p>
          <w:p w14:paraId="26C39269"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ko00071</w:t>
            </w:r>
          </w:p>
        </w:tc>
        <w:tc>
          <w:tcPr>
            <w:tcW w:w="1985" w:type="dxa"/>
            <w:tcBorders>
              <w:top w:val="dashSmallGap" w:sz="4" w:space="0" w:color="auto"/>
              <w:left w:val="dotted" w:sz="4" w:space="0" w:color="auto"/>
              <w:bottom w:val="dotted" w:sz="4" w:space="0" w:color="auto"/>
              <w:right w:val="dotted" w:sz="4" w:space="0" w:color="auto"/>
            </w:tcBorders>
            <w:shd w:val="clear" w:color="auto" w:fill="auto"/>
            <w:vAlign w:val="center"/>
          </w:tcPr>
          <w:p w14:paraId="37D49A97"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shd w:val="clear" w:color="auto" w:fill="auto"/>
            <w:vAlign w:val="center"/>
          </w:tcPr>
          <w:p w14:paraId="723B6187"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0.04</w:t>
            </w:r>
          </w:p>
        </w:tc>
        <w:tc>
          <w:tcPr>
            <w:tcW w:w="1134" w:type="dxa"/>
            <w:tcBorders>
              <w:top w:val="dashSmallGap" w:sz="4" w:space="0" w:color="auto"/>
              <w:left w:val="dotted" w:sz="4" w:space="0" w:color="auto"/>
              <w:bottom w:val="dotted" w:sz="4" w:space="0" w:color="auto"/>
              <w:right w:val="dotted" w:sz="4" w:space="0" w:color="auto"/>
            </w:tcBorders>
            <w:shd w:val="clear" w:color="auto" w:fill="auto"/>
            <w:vAlign w:val="center"/>
          </w:tcPr>
          <w:p w14:paraId="6B196D9A"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0.20</w:t>
            </w:r>
          </w:p>
        </w:tc>
        <w:tc>
          <w:tcPr>
            <w:tcW w:w="993" w:type="dxa"/>
            <w:tcBorders>
              <w:top w:val="dashSmallGap" w:sz="4" w:space="0" w:color="auto"/>
              <w:left w:val="dotted" w:sz="4" w:space="0" w:color="auto"/>
              <w:bottom w:val="dotted" w:sz="4" w:space="0" w:color="auto"/>
              <w:right w:val="dotted" w:sz="4" w:space="0" w:color="auto"/>
            </w:tcBorders>
            <w:shd w:val="clear" w:color="auto" w:fill="auto"/>
            <w:vAlign w:val="center"/>
          </w:tcPr>
          <w:p w14:paraId="498EACF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110.35</w:t>
            </w:r>
          </w:p>
        </w:tc>
        <w:tc>
          <w:tcPr>
            <w:tcW w:w="968" w:type="dxa"/>
            <w:tcBorders>
              <w:top w:val="dashSmallGap" w:sz="4" w:space="0" w:color="auto"/>
              <w:left w:val="dotted" w:sz="4" w:space="0" w:color="auto"/>
              <w:bottom w:val="dotted" w:sz="4" w:space="0" w:color="auto"/>
              <w:right w:val="dotted" w:sz="4" w:space="0" w:color="auto"/>
            </w:tcBorders>
            <w:shd w:val="clear" w:color="auto" w:fill="auto"/>
            <w:vAlign w:val="center"/>
          </w:tcPr>
          <w:p w14:paraId="018F9CD0"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0.20</w:t>
            </w:r>
          </w:p>
        </w:tc>
        <w:tc>
          <w:tcPr>
            <w:tcW w:w="970" w:type="dxa"/>
            <w:tcBorders>
              <w:top w:val="dashSmallGap" w:sz="4" w:space="0" w:color="auto"/>
              <w:left w:val="dotted" w:sz="4" w:space="0" w:color="auto"/>
              <w:bottom w:val="dotted" w:sz="4" w:space="0" w:color="auto"/>
            </w:tcBorders>
            <w:shd w:val="clear" w:color="auto" w:fill="auto"/>
            <w:vAlign w:val="center"/>
          </w:tcPr>
          <w:p w14:paraId="7D7F99C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0.84</w:t>
            </w:r>
          </w:p>
        </w:tc>
      </w:tr>
      <w:tr w:rsidR="001D121C" w:rsidRPr="000300C6" w14:paraId="23CC7F0F"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tcPr>
          <w:p w14:paraId="5344A1CD"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0B0006B3" w14:textId="7CE73D31"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1B0DB09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0.87</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73D1142"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1.04</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14:paraId="7CCC00D7"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31.13</w:t>
            </w:r>
          </w:p>
        </w:tc>
        <w:tc>
          <w:tcPr>
            <w:tcW w:w="968" w:type="dxa"/>
            <w:tcBorders>
              <w:top w:val="dotted" w:sz="4" w:space="0" w:color="auto"/>
              <w:left w:val="dotted" w:sz="4" w:space="0" w:color="auto"/>
              <w:bottom w:val="dotted" w:sz="4" w:space="0" w:color="auto"/>
              <w:right w:val="dotted" w:sz="4" w:space="0" w:color="auto"/>
            </w:tcBorders>
            <w:shd w:val="clear" w:color="auto" w:fill="auto"/>
            <w:vAlign w:val="center"/>
          </w:tcPr>
          <w:p w14:paraId="39493FA7"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0.84</w:t>
            </w:r>
          </w:p>
        </w:tc>
        <w:tc>
          <w:tcPr>
            <w:tcW w:w="970" w:type="dxa"/>
            <w:tcBorders>
              <w:top w:val="dotted" w:sz="4" w:space="0" w:color="auto"/>
              <w:left w:val="dotted" w:sz="4" w:space="0" w:color="auto"/>
              <w:bottom w:val="dotted" w:sz="4" w:space="0" w:color="auto"/>
            </w:tcBorders>
            <w:shd w:val="clear" w:color="auto" w:fill="auto"/>
            <w:vAlign w:val="center"/>
          </w:tcPr>
          <w:p w14:paraId="4A1BB3C6"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0.41</w:t>
            </w:r>
          </w:p>
        </w:tc>
      </w:tr>
      <w:tr w:rsidR="001D121C" w:rsidRPr="000300C6" w14:paraId="72F2B426"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tcPr>
          <w:p w14:paraId="77332AE7"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0101D290" w14:textId="40D30BCC"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3DF78E7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0.05</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D2249B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0.16</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14:paraId="0773FEC1"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111.51</w:t>
            </w:r>
          </w:p>
        </w:tc>
        <w:tc>
          <w:tcPr>
            <w:tcW w:w="968" w:type="dxa"/>
            <w:tcBorders>
              <w:top w:val="dotted" w:sz="4" w:space="0" w:color="auto"/>
              <w:left w:val="dotted" w:sz="4" w:space="0" w:color="auto"/>
              <w:bottom w:val="dotted" w:sz="4" w:space="0" w:color="auto"/>
              <w:right w:val="dotted" w:sz="4" w:space="0" w:color="auto"/>
            </w:tcBorders>
            <w:shd w:val="clear" w:color="auto" w:fill="auto"/>
            <w:vAlign w:val="center"/>
          </w:tcPr>
          <w:p w14:paraId="0800E7D7"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0.28</w:t>
            </w:r>
          </w:p>
        </w:tc>
        <w:tc>
          <w:tcPr>
            <w:tcW w:w="970" w:type="dxa"/>
            <w:tcBorders>
              <w:top w:val="dotted" w:sz="4" w:space="0" w:color="auto"/>
              <w:left w:val="dotted" w:sz="4" w:space="0" w:color="auto"/>
              <w:bottom w:val="dotted" w:sz="4" w:space="0" w:color="auto"/>
            </w:tcBorders>
            <w:shd w:val="clear" w:color="auto" w:fill="auto"/>
            <w:vAlign w:val="center"/>
          </w:tcPr>
          <w:p w14:paraId="25CADFA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0.78</w:t>
            </w:r>
          </w:p>
        </w:tc>
      </w:tr>
      <w:tr w:rsidR="001D121C" w:rsidRPr="000300C6" w14:paraId="002DAE5B"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bottom w:val="single" w:sz="4" w:space="0" w:color="auto"/>
              <w:right w:val="dotted" w:sz="4" w:space="0" w:color="auto"/>
            </w:tcBorders>
          </w:tcPr>
          <w:p w14:paraId="63F615A1"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metabolism</w:t>
            </w:r>
          </w:p>
          <w:p w14:paraId="72A8BD31"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ko01212</w:t>
            </w:r>
          </w:p>
        </w:tc>
        <w:tc>
          <w:tcPr>
            <w:tcW w:w="1985" w:type="dxa"/>
            <w:tcBorders>
              <w:top w:val="dashSmallGap" w:sz="4" w:space="0" w:color="auto"/>
              <w:left w:val="dotted" w:sz="4" w:space="0" w:color="auto"/>
              <w:bottom w:val="dotted" w:sz="4" w:space="0" w:color="auto"/>
              <w:right w:val="dotted" w:sz="4" w:space="0" w:color="auto"/>
            </w:tcBorders>
            <w:vAlign w:val="center"/>
          </w:tcPr>
          <w:p w14:paraId="4E6EFCBB"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vAlign w:val="center"/>
          </w:tcPr>
          <w:p w14:paraId="12E27C8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0.43</w:t>
            </w:r>
          </w:p>
        </w:tc>
        <w:tc>
          <w:tcPr>
            <w:tcW w:w="1134" w:type="dxa"/>
            <w:tcBorders>
              <w:top w:val="dashSmallGap" w:sz="4" w:space="0" w:color="auto"/>
              <w:left w:val="dotted" w:sz="4" w:space="0" w:color="auto"/>
              <w:bottom w:val="dotted" w:sz="4" w:space="0" w:color="auto"/>
              <w:right w:val="dotted" w:sz="4" w:space="0" w:color="auto"/>
            </w:tcBorders>
            <w:vAlign w:val="center"/>
          </w:tcPr>
          <w:p w14:paraId="15D13FA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0.35</w:t>
            </w:r>
          </w:p>
        </w:tc>
        <w:tc>
          <w:tcPr>
            <w:tcW w:w="993" w:type="dxa"/>
            <w:tcBorders>
              <w:top w:val="dashSmallGap" w:sz="4" w:space="0" w:color="auto"/>
              <w:left w:val="dotted" w:sz="4" w:space="0" w:color="auto"/>
              <w:bottom w:val="dotted" w:sz="4" w:space="0" w:color="auto"/>
              <w:right w:val="dotted" w:sz="4" w:space="0" w:color="auto"/>
            </w:tcBorders>
            <w:vAlign w:val="center"/>
          </w:tcPr>
          <w:p w14:paraId="178300D9"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101.27</w:t>
            </w:r>
          </w:p>
        </w:tc>
        <w:tc>
          <w:tcPr>
            <w:tcW w:w="968" w:type="dxa"/>
            <w:tcBorders>
              <w:top w:val="dashSmallGap" w:sz="4" w:space="0" w:color="auto"/>
              <w:left w:val="dotted" w:sz="4" w:space="0" w:color="auto"/>
              <w:bottom w:val="dotted" w:sz="4" w:space="0" w:color="auto"/>
              <w:right w:val="dotted" w:sz="4" w:space="0" w:color="auto"/>
            </w:tcBorders>
            <w:vAlign w:val="center"/>
          </w:tcPr>
          <w:p w14:paraId="17C433E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1.22</w:t>
            </w:r>
          </w:p>
        </w:tc>
        <w:tc>
          <w:tcPr>
            <w:tcW w:w="970" w:type="dxa"/>
            <w:tcBorders>
              <w:top w:val="dashSmallGap" w:sz="4" w:space="0" w:color="auto"/>
              <w:left w:val="dotted" w:sz="4" w:space="0" w:color="auto"/>
              <w:bottom w:val="dotted" w:sz="4" w:space="0" w:color="auto"/>
            </w:tcBorders>
            <w:vAlign w:val="center"/>
          </w:tcPr>
          <w:p w14:paraId="5D076800"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0.23</w:t>
            </w:r>
          </w:p>
        </w:tc>
      </w:tr>
      <w:tr w:rsidR="001D121C" w:rsidRPr="000300C6" w14:paraId="09560AFE"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single" w:sz="4" w:space="0" w:color="auto"/>
              <w:right w:val="dotted" w:sz="4" w:space="0" w:color="auto"/>
            </w:tcBorders>
          </w:tcPr>
          <w:p w14:paraId="7386912D"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0C7C6D6E" w14:textId="04FAC518"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vAlign w:val="center"/>
          </w:tcPr>
          <w:p w14:paraId="1C7EBD0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3.28</w:t>
            </w:r>
          </w:p>
        </w:tc>
        <w:tc>
          <w:tcPr>
            <w:tcW w:w="1134" w:type="dxa"/>
            <w:tcBorders>
              <w:top w:val="dotted" w:sz="4" w:space="0" w:color="auto"/>
              <w:left w:val="dotted" w:sz="4" w:space="0" w:color="auto"/>
              <w:bottom w:val="dotted" w:sz="4" w:space="0" w:color="auto"/>
              <w:right w:val="dotted" w:sz="4" w:space="0" w:color="auto"/>
            </w:tcBorders>
            <w:vAlign w:val="center"/>
          </w:tcPr>
          <w:p w14:paraId="45275604"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2.07</w:t>
            </w:r>
          </w:p>
        </w:tc>
        <w:tc>
          <w:tcPr>
            <w:tcW w:w="993" w:type="dxa"/>
            <w:tcBorders>
              <w:top w:val="dotted" w:sz="4" w:space="0" w:color="auto"/>
              <w:left w:val="dotted" w:sz="4" w:space="0" w:color="auto"/>
              <w:bottom w:val="dotted" w:sz="4" w:space="0" w:color="auto"/>
              <w:right w:val="dotted" w:sz="4" w:space="0" w:color="auto"/>
            </w:tcBorders>
            <w:vAlign w:val="center"/>
          </w:tcPr>
          <w:p w14:paraId="111BBD6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30.76</w:t>
            </w:r>
          </w:p>
        </w:tc>
        <w:tc>
          <w:tcPr>
            <w:tcW w:w="968" w:type="dxa"/>
            <w:tcBorders>
              <w:top w:val="dotted" w:sz="4" w:space="0" w:color="auto"/>
              <w:left w:val="dotted" w:sz="4" w:space="0" w:color="auto"/>
              <w:bottom w:val="dotted" w:sz="4" w:space="0" w:color="auto"/>
              <w:right w:val="dotted" w:sz="4" w:space="0" w:color="auto"/>
            </w:tcBorders>
            <w:vAlign w:val="center"/>
          </w:tcPr>
          <w:p w14:paraId="703F06F7"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1.58</w:t>
            </w:r>
          </w:p>
        </w:tc>
        <w:tc>
          <w:tcPr>
            <w:tcW w:w="970" w:type="dxa"/>
            <w:tcBorders>
              <w:top w:val="dotted" w:sz="4" w:space="0" w:color="auto"/>
              <w:left w:val="dotted" w:sz="4" w:space="0" w:color="auto"/>
              <w:bottom w:val="dotted" w:sz="4" w:space="0" w:color="auto"/>
            </w:tcBorders>
            <w:vAlign w:val="center"/>
          </w:tcPr>
          <w:p w14:paraId="3CFB220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0.12</w:t>
            </w:r>
          </w:p>
        </w:tc>
      </w:tr>
      <w:tr w:rsidR="001D121C" w:rsidRPr="000300C6" w14:paraId="2CD7E31D"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single" w:sz="4" w:space="0" w:color="auto"/>
              <w:right w:val="dotted" w:sz="4" w:space="0" w:color="auto"/>
            </w:tcBorders>
          </w:tcPr>
          <w:p w14:paraId="44F06394"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ashSmallGap" w:sz="4" w:space="0" w:color="auto"/>
              <w:right w:val="dotted" w:sz="4" w:space="0" w:color="auto"/>
            </w:tcBorders>
            <w:vAlign w:val="center"/>
          </w:tcPr>
          <w:p w14:paraId="5528EC2C" w14:textId="534A595E"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ashSmallGap" w:sz="4" w:space="0" w:color="auto"/>
              <w:right w:val="dotted" w:sz="4" w:space="0" w:color="auto"/>
            </w:tcBorders>
            <w:vAlign w:val="center"/>
          </w:tcPr>
          <w:p w14:paraId="1DF931C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-0.14</w:t>
            </w:r>
          </w:p>
        </w:tc>
        <w:tc>
          <w:tcPr>
            <w:tcW w:w="1134" w:type="dxa"/>
            <w:tcBorders>
              <w:top w:val="dotted" w:sz="4" w:space="0" w:color="auto"/>
              <w:left w:val="dotted" w:sz="4" w:space="0" w:color="auto"/>
              <w:bottom w:val="dashSmallGap" w:sz="4" w:space="0" w:color="auto"/>
              <w:right w:val="dotted" w:sz="4" w:space="0" w:color="auto"/>
            </w:tcBorders>
            <w:vAlign w:val="center"/>
          </w:tcPr>
          <w:p w14:paraId="7BF82277"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0.28</w:t>
            </w:r>
          </w:p>
        </w:tc>
        <w:tc>
          <w:tcPr>
            <w:tcW w:w="993" w:type="dxa"/>
            <w:tcBorders>
              <w:top w:val="dotted" w:sz="4" w:space="0" w:color="auto"/>
              <w:left w:val="dotted" w:sz="4" w:space="0" w:color="auto"/>
              <w:bottom w:val="dashSmallGap" w:sz="4" w:space="0" w:color="auto"/>
              <w:right w:val="dotted" w:sz="4" w:space="0" w:color="auto"/>
            </w:tcBorders>
            <w:vAlign w:val="center"/>
          </w:tcPr>
          <w:p w14:paraId="794F3ABE"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102.50</w:t>
            </w:r>
          </w:p>
        </w:tc>
        <w:tc>
          <w:tcPr>
            <w:tcW w:w="968" w:type="dxa"/>
            <w:tcBorders>
              <w:top w:val="dotted" w:sz="4" w:space="0" w:color="auto"/>
              <w:left w:val="dotted" w:sz="4" w:space="0" w:color="auto"/>
              <w:bottom w:val="dashSmallGap" w:sz="4" w:space="0" w:color="auto"/>
              <w:right w:val="dotted" w:sz="4" w:space="0" w:color="auto"/>
            </w:tcBorders>
            <w:vAlign w:val="center"/>
          </w:tcPr>
          <w:p w14:paraId="6F8D939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-0.50</w:t>
            </w:r>
          </w:p>
        </w:tc>
        <w:tc>
          <w:tcPr>
            <w:tcW w:w="970" w:type="dxa"/>
            <w:tcBorders>
              <w:top w:val="dotted" w:sz="4" w:space="0" w:color="auto"/>
              <w:left w:val="dotted" w:sz="4" w:space="0" w:color="auto"/>
              <w:bottom w:val="dashSmallGap" w:sz="4" w:space="0" w:color="auto"/>
            </w:tcBorders>
            <w:vAlign w:val="center"/>
          </w:tcPr>
          <w:p w14:paraId="2564F356"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0.62</w:t>
            </w:r>
          </w:p>
        </w:tc>
      </w:tr>
      <w:tr w:rsidR="001D121C" w:rsidRPr="000300C6" w14:paraId="615F5CCF"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right w:val="dotted" w:sz="4" w:space="0" w:color="auto"/>
            </w:tcBorders>
            <w:shd w:val="clear" w:color="auto" w:fill="auto"/>
          </w:tcPr>
          <w:p w14:paraId="7130A434"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Metabolic pathways</w:t>
            </w:r>
          </w:p>
          <w:p w14:paraId="72184278"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ko01100</w:t>
            </w:r>
          </w:p>
        </w:tc>
        <w:tc>
          <w:tcPr>
            <w:tcW w:w="1985" w:type="dxa"/>
            <w:tcBorders>
              <w:top w:val="dashSmallGap" w:sz="4" w:space="0" w:color="auto"/>
              <w:left w:val="dotted" w:sz="4" w:space="0" w:color="auto"/>
              <w:bottom w:val="dotted" w:sz="4" w:space="0" w:color="auto"/>
              <w:right w:val="dotted" w:sz="4" w:space="0" w:color="auto"/>
            </w:tcBorders>
            <w:shd w:val="clear" w:color="auto" w:fill="auto"/>
            <w:vAlign w:val="center"/>
          </w:tcPr>
          <w:p w14:paraId="27BADED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shd w:val="clear" w:color="auto" w:fill="auto"/>
            <w:vAlign w:val="center"/>
          </w:tcPr>
          <w:p w14:paraId="4704CC6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2.31</w:t>
            </w:r>
          </w:p>
        </w:tc>
        <w:tc>
          <w:tcPr>
            <w:tcW w:w="1134" w:type="dxa"/>
            <w:tcBorders>
              <w:top w:val="dashSmallGap" w:sz="4" w:space="0" w:color="auto"/>
              <w:left w:val="dotted" w:sz="4" w:space="0" w:color="auto"/>
              <w:bottom w:val="dotted" w:sz="4" w:space="0" w:color="auto"/>
              <w:right w:val="dotted" w:sz="4" w:space="0" w:color="auto"/>
            </w:tcBorders>
            <w:shd w:val="clear" w:color="auto" w:fill="auto"/>
            <w:vAlign w:val="center"/>
          </w:tcPr>
          <w:p w14:paraId="1E237360"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1.94</w:t>
            </w:r>
          </w:p>
        </w:tc>
        <w:tc>
          <w:tcPr>
            <w:tcW w:w="993" w:type="dxa"/>
            <w:tcBorders>
              <w:top w:val="dashSmallGap" w:sz="4" w:space="0" w:color="auto"/>
              <w:left w:val="dotted" w:sz="4" w:space="0" w:color="auto"/>
              <w:bottom w:val="dotted" w:sz="4" w:space="0" w:color="auto"/>
              <w:right w:val="dotted" w:sz="4" w:space="0" w:color="auto"/>
            </w:tcBorders>
            <w:shd w:val="clear" w:color="auto" w:fill="auto"/>
            <w:vAlign w:val="center"/>
          </w:tcPr>
          <w:p w14:paraId="510DF46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109.99</w:t>
            </w:r>
          </w:p>
        </w:tc>
        <w:tc>
          <w:tcPr>
            <w:tcW w:w="968" w:type="dxa"/>
            <w:tcBorders>
              <w:top w:val="dashSmallGap" w:sz="4" w:space="0" w:color="auto"/>
              <w:left w:val="dotted" w:sz="4" w:space="0" w:color="auto"/>
              <w:bottom w:val="dotted" w:sz="4" w:space="0" w:color="auto"/>
              <w:right w:val="dotted" w:sz="4" w:space="0" w:color="auto"/>
            </w:tcBorders>
            <w:shd w:val="clear" w:color="auto" w:fill="auto"/>
            <w:vAlign w:val="center"/>
          </w:tcPr>
          <w:p w14:paraId="1F66EF8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1.19</w:t>
            </w:r>
          </w:p>
        </w:tc>
        <w:tc>
          <w:tcPr>
            <w:tcW w:w="970" w:type="dxa"/>
            <w:tcBorders>
              <w:top w:val="dashSmallGap" w:sz="4" w:space="0" w:color="auto"/>
              <w:left w:val="dotted" w:sz="4" w:space="0" w:color="auto"/>
              <w:bottom w:val="dotted" w:sz="4" w:space="0" w:color="auto"/>
            </w:tcBorders>
            <w:shd w:val="clear" w:color="auto" w:fill="auto"/>
            <w:vAlign w:val="center"/>
          </w:tcPr>
          <w:p w14:paraId="4B0030D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0.24</w:t>
            </w:r>
          </w:p>
        </w:tc>
      </w:tr>
      <w:tr w:rsidR="001D121C" w:rsidRPr="000300C6" w14:paraId="65DB8C72"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right w:val="dotted" w:sz="4" w:space="0" w:color="auto"/>
            </w:tcBorders>
            <w:shd w:val="clear" w:color="auto" w:fill="auto"/>
          </w:tcPr>
          <w:p w14:paraId="227858D4"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14:paraId="7DF47881" w14:textId="2E8682DE"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26BFF59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17.80</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D3E282E"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11.31</w:t>
            </w:r>
          </w:p>
        </w:tc>
        <w:tc>
          <w:tcPr>
            <w:tcW w:w="993" w:type="dxa"/>
            <w:tcBorders>
              <w:top w:val="dotted" w:sz="4" w:space="0" w:color="auto"/>
              <w:left w:val="dotted" w:sz="4" w:space="0" w:color="auto"/>
              <w:bottom w:val="dotted" w:sz="4" w:space="0" w:color="auto"/>
              <w:right w:val="dotted" w:sz="4" w:space="0" w:color="auto"/>
            </w:tcBorders>
            <w:shd w:val="clear" w:color="auto" w:fill="auto"/>
            <w:vAlign w:val="center"/>
          </w:tcPr>
          <w:p w14:paraId="449843A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30.85</w:t>
            </w:r>
          </w:p>
        </w:tc>
        <w:tc>
          <w:tcPr>
            <w:tcW w:w="968" w:type="dxa"/>
            <w:tcBorders>
              <w:top w:val="dotted" w:sz="4" w:space="0" w:color="auto"/>
              <w:left w:val="dotted" w:sz="4" w:space="0" w:color="auto"/>
              <w:bottom w:val="dotted" w:sz="4" w:space="0" w:color="auto"/>
              <w:right w:val="dotted" w:sz="4" w:space="0" w:color="auto"/>
            </w:tcBorders>
            <w:shd w:val="clear" w:color="auto" w:fill="auto"/>
            <w:vAlign w:val="center"/>
          </w:tcPr>
          <w:p w14:paraId="206745F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1.57</w:t>
            </w:r>
          </w:p>
        </w:tc>
        <w:tc>
          <w:tcPr>
            <w:tcW w:w="970" w:type="dxa"/>
            <w:tcBorders>
              <w:top w:val="dotted" w:sz="4" w:space="0" w:color="auto"/>
              <w:left w:val="dotted" w:sz="4" w:space="0" w:color="auto"/>
              <w:bottom w:val="dotted" w:sz="4" w:space="0" w:color="auto"/>
            </w:tcBorders>
            <w:shd w:val="clear" w:color="auto" w:fill="auto"/>
            <w:vAlign w:val="center"/>
          </w:tcPr>
          <w:p w14:paraId="34F2E8D9"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0.13</w:t>
            </w:r>
          </w:p>
        </w:tc>
      </w:tr>
      <w:tr w:rsidR="001D121C" w:rsidRPr="000300C6" w14:paraId="55DE17F7"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auto"/>
              <w:right w:val="dotted" w:sz="4" w:space="0" w:color="auto"/>
            </w:tcBorders>
            <w:shd w:val="clear" w:color="auto" w:fill="auto"/>
          </w:tcPr>
          <w:p w14:paraId="32A7D36C"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single" w:sz="4" w:space="0" w:color="auto"/>
              <w:right w:val="dotted" w:sz="4" w:space="0" w:color="auto"/>
            </w:tcBorders>
            <w:shd w:val="clear" w:color="auto" w:fill="auto"/>
            <w:vAlign w:val="center"/>
          </w:tcPr>
          <w:p w14:paraId="6B66A030" w14:textId="22317F1A"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single" w:sz="4" w:space="0" w:color="auto"/>
              <w:right w:val="dotted" w:sz="4" w:space="0" w:color="auto"/>
            </w:tcBorders>
            <w:shd w:val="clear" w:color="auto" w:fill="auto"/>
            <w:vAlign w:val="center"/>
          </w:tcPr>
          <w:p w14:paraId="5B1C35F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-0.76</w:t>
            </w:r>
          </w:p>
        </w:tc>
        <w:tc>
          <w:tcPr>
            <w:tcW w:w="1134" w:type="dxa"/>
            <w:tcBorders>
              <w:top w:val="dotted" w:sz="4" w:space="0" w:color="auto"/>
              <w:left w:val="dotted" w:sz="4" w:space="0" w:color="auto"/>
              <w:bottom w:val="single" w:sz="4" w:space="0" w:color="auto"/>
              <w:right w:val="dotted" w:sz="4" w:space="0" w:color="auto"/>
            </w:tcBorders>
            <w:shd w:val="clear" w:color="auto" w:fill="auto"/>
            <w:vAlign w:val="center"/>
          </w:tcPr>
          <w:p w14:paraId="6450221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1.53</w:t>
            </w:r>
          </w:p>
        </w:tc>
        <w:tc>
          <w:tcPr>
            <w:tcW w:w="993" w:type="dxa"/>
            <w:tcBorders>
              <w:top w:val="dotted" w:sz="4" w:space="0" w:color="auto"/>
              <w:left w:val="dotted" w:sz="4" w:space="0" w:color="auto"/>
              <w:bottom w:val="single" w:sz="4" w:space="0" w:color="auto"/>
              <w:right w:val="dotted" w:sz="4" w:space="0" w:color="auto"/>
            </w:tcBorders>
            <w:shd w:val="clear" w:color="auto" w:fill="auto"/>
            <w:vAlign w:val="center"/>
          </w:tcPr>
          <w:p w14:paraId="7139D8B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111.08</w:t>
            </w:r>
          </w:p>
        </w:tc>
        <w:tc>
          <w:tcPr>
            <w:tcW w:w="968" w:type="dxa"/>
            <w:tcBorders>
              <w:top w:val="dotted" w:sz="4" w:space="0" w:color="auto"/>
              <w:left w:val="dotted" w:sz="4" w:space="0" w:color="auto"/>
              <w:bottom w:val="single" w:sz="4" w:space="0" w:color="auto"/>
              <w:right w:val="dotted" w:sz="4" w:space="0" w:color="auto"/>
            </w:tcBorders>
            <w:shd w:val="clear" w:color="auto" w:fill="auto"/>
            <w:vAlign w:val="center"/>
          </w:tcPr>
          <w:p w14:paraId="533C2CC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-0.50</w:t>
            </w:r>
          </w:p>
        </w:tc>
        <w:tc>
          <w:tcPr>
            <w:tcW w:w="970" w:type="dxa"/>
            <w:tcBorders>
              <w:top w:val="dotted" w:sz="4" w:space="0" w:color="auto"/>
              <w:left w:val="dotted" w:sz="4" w:space="0" w:color="auto"/>
              <w:bottom w:val="single" w:sz="4" w:space="0" w:color="auto"/>
            </w:tcBorders>
            <w:shd w:val="clear" w:color="auto" w:fill="auto"/>
            <w:vAlign w:val="center"/>
          </w:tcPr>
          <w:p w14:paraId="468E22E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0.62</w:t>
            </w:r>
          </w:p>
        </w:tc>
      </w:tr>
      <w:tr w:rsidR="001D121C" w:rsidRPr="000300C6" w14:paraId="6E520BBE" w14:textId="77777777" w:rsidTr="001D121C">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9730" w:type="dxa"/>
            <w:gridSpan w:val="7"/>
            <w:tcBorders>
              <w:top w:val="single" w:sz="4" w:space="0" w:color="auto"/>
              <w:bottom w:val="single" w:sz="4" w:space="0" w:color="auto"/>
            </w:tcBorders>
            <w:vAlign w:val="center"/>
          </w:tcPr>
          <w:p w14:paraId="444A37F8" w14:textId="77777777" w:rsidR="001D121C" w:rsidRPr="000300C6" w:rsidRDefault="001D121C" w:rsidP="001D121C">
            <w:pPr>
              <w:spacing w:after="0" w:line="240" w:lineRule="auto"/>
              <w:jc w:val="center"/>
              <w:rPr>
                <w:rFonts w:asciiTheme="minorHAnsi" w:eastAsiaTheme="minorHAnsi" w:hAnsiTheme="minorHAnsi" w:cstheme="minorBidi"/>
                <w:sz w:val="14"/>
                <w:szCs w:val="14"/>
                <w:lang w:val="en-GB"/>
              </w:rPr>
            </w:pPr>
            <w:r w:rsidRPr="000300C6">
              <w:rPr>
                <w:rFonts w:asciiTheme="minorHAnsi" w:eastAsiaTheme="minorHAnsi" w:hAnsiTheme="minorHAnsi" w:cstheme="minorBidi"/>
                <w:sz w:val="16"/>
                <w:szCs w:val="16"/>
                <w:lang w:val="en-GB"/>
              </w:rPr>
              <w:t>CRO-stratified groups</w:t>
            </w:r>
          </w:p>
        </w:tc>
      </w:tr>
      <w:tr w:rsidR="001D121C" w:rsidRPr="000300C6" w14:paraId="58EBF998"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bottom w:val="dashSmallGap" w:sz="4" w:space="0" w:color="auto"/>
              <w:right w:val="dotted" w:sz="4" w:space="0" w:color="auto"/>
            </w:tcBorders>
            <w:shd w:val="clear" w:color="auto" w:fill="FFFFFF" w:themeFill="background1"/>
          </w:tcPr>
          <w:p w14:paraId="5C997261"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Butanoate metabolism</w:t>
            </w:r>
          </w:p>
          <w:p w14:paraId="05C5E4E9"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ko00650</w:t>
            </w:r>
          </w:p>
        </w:tc>
        <w:tc>
          <w:tcPr>
            <w:tcW w:w="1985"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13EB60D1" w14:textId="33288D4E"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single" w:sz="4" w:space="0" w:color="auto"/>
              <w:left w:val="dotted" w:sz="4" w:space="0" w:color="auto"/>
              <w:bottom w:val="dotted" w:sz="4" w:space="0" w:color="auto"/>
              <w:right w:val="dotted" w:sz="4" w:space="0" w:color="auto"/>
            </w:tcBorders>
            <w:shd w:val="clear" w:color="auto" w:fill="FFFFFF" w:themeFill="background1"/>
            <w:vAlign w:val="bottom"/>
          </w:tcPr>
          <w:p w14:paraId="47EDDECF"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0.25</w:t>
            </w:r>
          </w:p>
        </w:tc>
        <w:tc>
          <w:tcPr>
            <w:tcW w:w="1134" w:type="dxa"/>
            <w:tcBorders>
              <w:top w:val="single" w:sz="4" w:space="0" w:color="auto"/>
              <w:left w:val="dotted" w:sz="4" w:space="0" w:color="auto"/>
              <w:bottom w:val="dotted" w:sz="4" w:space="0" w:color="auto"/>
              <w:right w:val="dotted" w:sz="4" w:space="0" w:color="auto"/>
            </w:tcBorders>
            <w:shd w:val="clear" w:color="auto" w:fill="FFFFFF" w:themeFill="background1"/>
            <w:vAlign w:val="bottom"/>
          </w:tcPr>
          <w:p w14:paraId="0B897D7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0.35</w:t>
            </w:r>
          </w:p>
        </w:tc>
        <w:tc>
          <w:tcPr>
            <w:tcW w:w="993" w:type="dxa"/>
            <w:tcBorders>
              <w:top w:val="single" w:sz="4" w:space="0" w:color="auto"/>
              <w:left w:val="dotted" w:sz="4" w:space="0" w:color="auto"/>
              <w:bottom w:val="dotted" w:sz="4" w:space="0" w:color="auto"/>
              <w:right w:val="dotted" w:sz="4" w:space="0" w:color="auto"/>
            </w:tcBorders>
            <w:shd w:val="clear" w:color="auto" w:fill="FFFFFF" w:themeFill="background1"/>
            <w:vAlign w:val="bottom"/>
          </w:tcPr>
          <w:p w14:paraId="349F4F5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109.99</w:t>
            </w:r>
          </w:p>
        </w:tc>
        <w:tc>
          <w:tcPr>
            <w:tcW w:w="968" w:type="dxa"/>
            <w:tcBorders>
              <w:top w:val="single" w:sz="4" w:space="0" w:color="auto"/>
              <w:left w:val="dotted" w:sz="4" w:space="0" w:color="auto"/>
              <w:bottom w:val="dotted" w:sz="4" w:space="0" w:color="auto"/>
              <w:right w:val="dotted" w:sz="4" w:space="0" w:color="auto"/>
            </w:tcBorders>
            <w:shd w:val="clear" w:color="auto" w:fill="FFFFFF" w:themeFill="background1"/>
            <w:vAlign w:val="bottom"/>
          </w:tcPr>
          <w:p w14:paraId="5EB49CC4"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0.72</w:t>
            </w:r>
          </w:p>
        </w:tc>
        <w:tc>
          <w:tcPr>
            <w:tcW w:w="970" w:type="dxa"/>
            <w:tcBorders>
              <w:top w:val="single" w:sz="4" w:space="0" w:color="auto"/>
              <w:left w:val="dotted" w:sz="4" w:space="0" w:color="auto"/>
              <w:bottom w:val="dotted" w:sz="4" w:space="0" w:color="auto"/>
            </w:tcBorders>
            <w:shd w:val="clear" w:color="auto" w:fill="FFFFFF" w:themeFill="background1"/>
            <w:vAlign w:val="bottom"/>
          </w:tcPr>
          <w:p w14:paraId="51EF0051"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0.48</w:t>
            </w:r>
          </w:p>
        </w:tc>
      </w:tr>
      <w:tr w:rsidR="001D121C" w:rsidRPr="000300C6" w14:paraId="17027019"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shd w:val="clear" w:color="auto" w:fill="FFFFFF" w:themeFill="background1"/>
          </w:tcPr>
          <w:p w14:paraId="6FD311B6"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F5B56A0"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vAlign w:val="bottom"/>
          </w:tcPr>
          <w:p w14:paraId="3E16F3FE"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0.32</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vAlign w:val="bottom"/>
          </w:tcPr>
          <w:p w14:paraId="119B362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1.69</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vAlign w:val="bottom"/>
          </w:tcPr>
          <w:p w14:paraId="0A788E8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30.08</w:t>
            </w:r>
          </w:p>
        </w:tc>
        <w:tc>
          <w:tcPr>
            <w:tcW w:w="968" w:type="dxa"/>
            <w:tcBorders>
              <w:top w:val="dotted" w:sz="4" w:space="0" w:color="auto"/>
              <w:left w:val="dotted" w:sz="4" w:space="0" w:color="auto"/>
              <w:bottom w:val="dotted" w:sz="4" w:space="0" w:color="auto"/>
              <w:right w:val="dotted" w:sz="4" w:space="0" w:color="auto"/>
            </w:tcBorders>
            <w:shd w:val="clear" w:color="auto" w:fill="FFFFFF" w:themeFill="background1"/>
            <w:vAlign w:val="bottom"/>
          </w:tcPr>
          <w:p w14:paraId="4E013C5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0.19</w:t>
            </w:r>
          </w:p>
        </w:tc>
        <w:tc>
          <w:tcPr>
            <w:tcW w:w="970" w:type="dxa"/>
            <w:tcBorders>
              <w:top w:val="dotted" w:sz="4" w:space="0" w:color="auto"/>
              <w:left w:val="dotted" w:sz="4" w:space="0" w:color="auto"/>
              <w:bottom w:val="dotted" w:sz="4" w:space="0" w:color="auto"/>
            </w:tcBorders>
            <w:shd w:val="clear" w:color="auto" w:fill="FFFFFF" w:themeFill="background1"/>
            <w:vAlign w:val="bottom"/>
          </w:tcPr>
          <w:p w14:paraId="2073D6C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0.85</w:t>
            </w:r>
          </w:p>
        </w:tc>
      </w:tr>
      <w:tr w:rsidR="001D121C" w:rsidRPr="000300C6" w14:paraId="399FC074"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shd w:val="clear" w:color="auto" w:fill="FFFFFF" w:themeFill="background1"/>
          </w:tcPr>
          <w:p w14:paraId="53933B95"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ashSmallGap" w:sz="4" w:space="0" w:color="auto"/>
              <w:right w:val="dotted" w:sz="4" w:space="0" w:color="auto"/>
            </w:tcBorders>
            <w:shd w:val="clear" w:color="auto" w:fill="FFFFFF" w:themeFill="background1"/>
            <w:vAlign w:val="center"/>
          </w:tcPr>
          <w:p w14:paraId="5261AE6D" w14:textId="1074A436"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ashSmallGap" w:sz="4" w:space="0" w:color="auto"/>
              <w:right w:val="dotted" w:sz="4" w:space="0" w:color="auto"/>
            </w:tcBorders>
            <w:shd w:val="clear" w:color="auto" w:fill="FFFFFF" w:themeFill="background1"/>
            <w:vAlign w:val="bottom"/>
          </w:tcPr>
          <w:p w14:paraId="086D69A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-0.06</w:t>
            </w:r>
          </w:p>
        </w:tc>
        <w:tc>
          <w:tcPr>
            <w:tcW w:w="1134" w:type="dxa"/>
            <w:tcBorders>
              <w:top w:val="dotted" w:sz="4" w:space="0" w:color="auto"/>
              <w:left w:val="dotted" w:sz="4" w:space="0" w:color="auto"/>
              <w:bottom w:val="dashSmallGap" w:sz="4" w:space="0" w:color="auto"/>
              <w:right w:val="dotted" w:sz="4" w:space="0" w:color="auto"/>
            </w:tcBorders>
            <w:shd w:val="clear" w:color="auto" w:fill="FFFFFF" w:themeFill="background1"/>
            <w:vAlign w:val="bottom"/>
          </w:tcPr>
          <w:p w14:paraId="687A441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0.22</w:t>
            </w:r>
          </w:p>
        </w:tc>
        <w:tc>
          <w:tcPr>
            <w:tcW w:w="993" w:type="dxa"/>
            <w:tcBorders>
              <w:top w:val="dotted" w:sz="4" w:space="0" w:color="auto"/>
              <w:left w:val="dotted" w:sz="4" w:space="0" w:color="auto"/>
              <w:bottom w:val="dashSmallGap" w:sz="4" w:space="0" w:color="auto"/>
              <w:right w:val="dotted" w:sz="4" w:space="0" w:color="auto"/>
            </w:tcBorders>
            <w:shd w:val="clear" w:color="auto" w:fill="FFFFFF" w:themeFill="background1"/>
            <w:vAlign w:val="bottom"/>
          </w:tcPr>
          <w:p w14:paraId="35940BB0"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106.36</w:t>
            </w:r>
          </w:p>
        </w:tc>
        <w:tc>
          <w:tcPr>
            <w:tcW w:w="968" w:type="dxa"/>
            <w:tcBorders>
              <w:top w:val="dotted" w:sz="4" w:space="0" w:color="auto"/>
              <w:left w:val="dotted" w:sz="4" w:space="0" w:color="auto"/>
              <w:bottom w:val="dashSmallGap" w:sz="4" w:space="0" w:color="auto"/>
              <w:right w:val="dotted" w:sz="4" w:space="0" w:color="auto"/>
            </w:tcBorders>
            <w:shd w:val="clear" w:color="auto" w:fill="FFFFFF" w:themeFill="background1"/>
            <w:vAlign w:val="bottom"/>
          </w:tcPr>
          <w:p w14:paraId="0B914225"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-0.26</w:t>
            </w:r>
          </w:p>
        </w:tc>
        <w:tc>
          <w:tcPr>
            <w:tcW w:w="970" w:type="dxa"/>
            <w:tcBorders>
              <w:top w:val="dotted" w:sz="4" w:space="0" w:color="auto"/>
              <w:left w:val="dotted" w:sz="4" w:space="0" w:color="auto"/>
              <w:bottom w:val="dashSmallGap" w:sz="4" w:space="0" w:color="auto"/>
            </w:tcBorders>
            <w:shd w:val="clear" w:color="auto" w:fill="FFFFFF" w:themeFill="background1"/>
            <w:vAlign w:val="bottom"/>
          </w:tcPr>
          <w:p w14:paraId="5EA34BC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0.80</w:t>
            </w:r>
          </w:p>
        </w:tc>
      </w:tr>
      <w:tr w:rsidR="001D121C" w:rsidRPr="000300C6" w14:paraId="3CDEB1C9"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bottom w:val="dashSmallGap" w:sz="4" w:space="0" w:color="auto"/>
              <w:right w:val="dotted" w:sz="4" w:space="0" w:color="auto"/>
            </w:tcBorders>
          </w:tcPr>
          <w:p w14:paraId="40A6F8D5"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Propanoate metabolism</w:t>
            </w:r>
          </w:p>
          <w:p w14:paraId="60A4E349" w14:textId="77777777" w:rsidR="001D121C" w:rsidRPr="000300C6" w:rsidRDefault="001D121C" w:rsidP="001D121C">
            <w:pPr>
              <w:spacing w:after="0" w:line="240" w:lineRule="auto"/>
              <w:rPr>
                <w:rFonts w:asciiTheme="minorHAnsi" w:eastAsiaTheme="minorHAnsi" w:hAnsiTheme="minorHAnsi" w:cstheme="minorBidi"/>
                <w:bCs w:val="0"/>
                <w:sz w:val="14"/>
                <w:szCs w:val="14"/>
                <w:lang w:val="en-GB"/>
              </w:rPr>
            </w:pPr>
            <w:r w:rsidRPr="000300C6">
              <w:rPr>
                <w:rFonts w:asciiTheme="minorHAnsi" w:eastAsiaTheme="minorHAnsi" w:hAnsiTheme="minorHAnsi" w:cstheme="minorBidi"/>
                <w:b w:val="0"/>
                <w:sz w:val="14"/>
                <w:szCs w:val="14"/>
                <w:lang w:val="en-GB"/>
              </w:rPr>
              <w:t>ko00640</w:t>
            </w:r>
          </w:p>
          <w:p w14:paraId="30B0548B"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p>
        </w:tc>
        <w:tc>
          <w:tcPr>
            <w:tcW w:w="1985" w:type="dxa"/>
            <w:tcBorders>
              <w:top w:val="dashSmallGap" w:sz="4" w:space="0" w:color="auto"/>
              <w:left w:val="dotted" w:sz="4" w:space="0" w:color="auto"/>
              <w:bottom w:val="dotted" w:sz="4" w:space="0" w:color="auto"/>
              <w:right w:val="dotted" w:sz="4" w:space="0" w:color="auto"/>
            </w:tcBorders>
            <w:vAlign w:val="center"/>
          </w:tcPr>
          <w:p w14:paraId="77A816F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vAlign w:val="bottom"/>
          </w:tcPr>
          <w:p w14:paraId="0686AE1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0.62</w:t>
            </w:r>
          </w:p>
        </w:tc>
        <w:tc>
          <w:tcPr>
            <w:tcW w:w="1134" w:type="dxa"/>
            <w:tcBorders>
              <w:top w:val="dashSmallGap" w:sz="4" w:space="0" w:color="auto"/>
              <w:left w:val="dotted" w:sz="4" w:space="0" w:color="auto"/>
              <w:bottom w:val="dotted" w:sz="4" w:space="0" w:color="auto"/>
              <w:right w:val="dotted" w:sz="4" w:space="0" w:color="auto"/>
            </w:tcBorders>
            <w:vAlign w:val="bottom"/>
          </w:tcPr>
          <w:p w14:paraId="77D2966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0.37</w:t>
            </w:r>
          </w:p>
        </w:tc>
        <w:tc>
          <w:tcPr>
            <w:tcW w:w="993" w:type="dxa"/>
            <w:tcBorders>
              <w:top w:val="dashSmallGap" w:sz="4" w:space="0" w:color="auto"/>
              <w:left w:val="dotted" w:sz="4" w:space="0" w:color="auto"/>
              <w:bottom w:val="dotted" w:sz="4" w:space="0" w:color="auto"/>
              <w:right w:val="dotted" w:sz="4" w:space="0" w:color="auto"/>
            </w:tcBorders>
            <w:vAlign w:val="bottom"/>
          </w:tcPr>
          <w:p w14:paraId="64DFED2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88.44</w:t>
            </w:r>
          </w:p>
        </w:tc>
        <w:tc>
          <w:tcPr>
            <w:tcW w:w="968" w:type="dxa"/>
            <w:tcBorders>
              <w:top w:val="dashSmallGap" w:sz="4" w:space="0" w:color="auto"/>
              <w:left w:val="dotted" w:sz="4" w:space="0" w:color="auto"/>
              <w:bottom w:val="dotted" w:sz="4" w:space="0" w:color="auto"/>
              <w:right w:val="dotted" w:sz="4" w:space="0" w:color="auto"/>
            </w:tcBorders>
            <w:vAlign w:val="bottom"/>
          </w:tcPr>
          <w:p w14:paraId="7D99591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1.68</w:t>
            </w:r>
          </w:p>
        </w:tc>
        <w:tc>
          <w:tcPr>
            <w:tcW w:w="970" w:type="dxa"/>
            <w:tcBorders>
              <w:top w:val="dashSmallGap" w:sz="4" w:space="0" w:color="auto"/>
              <w:left w:val="dotted" w:sz="4" w:space="0" w:color="auto"/>
              <w:bottom w:val="dotted" w:sz="4" w:space="0" w:color="auto"/>
            </w:tcBorders>
            <w:vAlign w:val="bottom"/>
          </w:tcPr>
          <w:p w14:paraId="7EFCA1F8"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0.10</w:t>
            </w:r>
          </w:p>
        </w:tc>
      </w:tr>
      <w:tr w:rsidR="001D121C" w:rsidRPr="000300C6" w14:paraId="0E8373D8"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tcPr>
          <w:p w14:paraId="46574E40"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1E61CC1D" w14:textId="6D203ECB"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vAlign w:val="bottom"/>
          </w:tcPr>
          <w:p w14:paraId="28E0265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1.32</w:t>
            </w:r>
          </w:p>
        </w:tc>
        <w:tc>
          <w:tcPr>
            <w:tcW w:w="1134" w:type="dxa"/>
            <w:tcBorders>
              <w:top w:val="dotted" w:sz="4" w:space="0" w:color="auto"/>
              <w:left w:val="dotted" w:sz="4" w:space="0" w:color="auto"/>
              <w:bottom w:val="dotted" w:sz="4" w:space="0" w:color="auto"/>
              <w:right w:val="dotted" w:sz="4" w:space="0" w:color="auto"/>
            </w:tcBorders>
            <w:vAlign w:val="bottom"/>
          </w:tcPr>
          <w:p w14:paraId="3A2C8F9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1.80</w:t>
            </w:r>
          </w:p>
        </w:tc>
        <w:tc>
          <w:tcPr>
            <w:tcW w:w="993" w:type="dxa"/>
            <w:tcBorders>
              <w:top w:val="dotted" w:sz="4" w:space="0" w:color="auto"/>
              <w:left w:val="dotted" w:sz="4" w:space="0" w:color="auto"/>
              <w:bottom w:val="dotted" w:sz="4" w:space="0" w:color="auto"/>
              <w:right w:val="dotted" w:sz="4" w:space="0" w:color="auto"/>
            </w:tcBorders>
            <w:vAlign w:val="bottom"/>
          </w:tcPr>
          <w:p w14:paraId="5A8E14A2"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30.17</w:t>
            </w:r>
          </w:p>
        </w:tc>
        <w:tc>
          <w:tcPr>
            <w:tcW w:w="968" w:type="dxa"/>
            <w:tcBorders>
              <w:top w:val="dotted" w:sz="4" w:space="0" w:color="auto"/>
              <w:left w:val="dotted" w:sz="4" w:space="0" w:color="auto"/>
              <w:bottom w:val="dotted" w:sz="4" w:space="0" w:color="auto"/>
              <w:right w:val="dotted" w:sz="4" w:space="0" w:color="auto"/>
            </w:tcBorders>
            <w:vAlign w:val="bottom"/>
          </w:tcPr>
          <w:p w14:paraId="17BA773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0.73</w:t>
            </w:r>
          </w:p>
        </w:tc>
        <w:tc>
          <w:tcPr>
            <w:tcW w:w="970" w:type="dxa"/>
            <w:tcBorders>
              <w:top w:val="dotted" w:sz="4" w:space="0" w:color="auto"/>
              <w:left w:val="dotted" w:sz="4" w:space="0" w:color="auto"/>
              <w:bottom w:val="dotted" w:sz="4" w:space="0" w:color="auto"/>
            </w:tcBorders>
            <w:vAlign w:val="bottom"/>
          </w:tcPr>
          <w:p w14:paraId="677BAC07"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0.47</w:t>
            </w:r>
          </w:p>
        </w:tc>
      </w:tr>
      <w:tr w:rsidR="001D121C" w:rsidRPr="000300C6" w14:paraId="28533AB2"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ashSmallGap" w:sz="4" w:space="0" w:color="auto"/>
              <w:bottom w:val="dashSmallGap" w:sz="4" w:space="0" w:color="auto"/>
              <w:right w:val="dotted" w:sz="4" w:space="0" w:color="auto"/>
            </w:tcBorders>
          </w:tcPr>
          <w:p w14:paraId="63FFDD23"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69D38657" w14:textId="70234274"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otted" w:sz="4" w:space="0" w:color="auto"/>
              <w:right w:val="dotted" w:sz="4" w:space="0" w:color="auto"/>
            </w:tcBorders>
            <w:vAlign w:val="bottom"/>
          </w:tcPr>
          <w:p w14:paraId="72D5B6C2"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-0.26</w:t>
            </w:r>
          </w:p>
        </w:tc>
        <w:tc>
          <w:tcPr>
            <w:tcW w:w="1134" w:type="dxa"/>
            <w:tcBorders>
              <w:top w:val="dotted" w:sz="4" w:space="0" w:color="auto"/>
              <w:left w:val="dotted" w:sz="4" w:space="0" w:color="auto"/>
              <w:bottom w:val="dotted" w:sz="4" w:space="0" w:color="auto"/>
              <w:right w:val="dotted" w:sz="4" w:space="0" w:color="auto"/>
            </w:tcBorders>
            <w:vAlign w:val="bottom"/>
          </w:tcPr>
          <w:p w14:paraId="0BD113A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0.23</w:t>
            </w:r>
          </w:p>
        </w:tc>
        <w:tc>
          <w:tcPr>
            <w:tcW w:w="993" w:type="dxa"/>
            <w:tcBorders>
              <w:top w:val="dotted" w:sz="4" w:space="0" w:color="auto"/>
              <w:left w:val="dotted" w:sz="4" w:space="0" w:color="auto"/>
              <w:bottom w:val="dotted" w:sz="4" w:space="0" w:color="auto"/>
              <w:right w:val="dotted" w:sz="4" w:space="0" w:color="auto"/>
            </w:tcBorders>
            <w:vAlign w:val="bottom"/>
          </w:tcPr>
          <w:p w14:paraId="6EECE6EE"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83.63</w:t>
            </w:r>
          </w:p>
        </w:tc>
        <w:tc>
          <w:tcPr>
            <w:tcW w:w="968" w:type="dxa"/>
            <w:tcBorders>
              <w:top w:val="dotted" w:sz="4" w:space="0" w:color="auto"/>
              <w:left w:val="dotted" w:sz="4" w:space="0" w:color="auto"/>
              <w:bottom w:val="dotted" w:sz="4" w:space="0" w:color="auto"/>
              <w:right w:val="dotted" w:sz="4" w:space="0" w:color="auto"/>
            </w:tcBorders>
            <w:vAlign w:val="bottom"/>
          </w:tcPr>
          <w:p w14:paraId="116427C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-1.10</w:t>
            </w:r>
          </w:p>
        </w:tc>
        <w:tc>
          <w:tcPr>
            <w:tcW w:w="970" w:type="dxa"/>
            <w:tcBorders>
              <w:top w:val="dotted" w:sz="4" w:space="0" w:color="auto"/>
              <w:left w:val="dotted" w:sz="4" w:space="0" w:color="auto"/>
              <w:bottom w:val="dotted" w:sz="4" w:space="0" w:color="auto"/>
            </w:tcBorders>
            <w:vAlign w:val="bottom"/>
          </w:tcPr>
          <w:p w14:paraId="4A57E0A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4"/>
                <w:szCs w:val="14"/>
                <w:lang w:val="en-GB"/>
              </w:rPr>
            </w:pPr>
            <w:r w:rsidRPr="000300C6">
              <w:rPr>
                <w:rFonts w:eastAsiaTheme="minorHAnsi" w:cs="Calibri"/>
                <w:color w:val="000000"/>
                <w:sz w:val="14"/>
                <w:szCs w:val="14"/>
                <w:lang w:val="en-GB"/>
              </w:rPr>
              <w:t>0.27</w:t>
            </w:r>
          </w:p>
        </w:tc>
      </w:tr>
      <w:tr w:rsidR="001D121C" w:rsidRPr="000300C6" w14:paraId="017EFB8D"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bottom w:val="dotted" w:sz="4" w:space="0" w:color="auto"/>
              <w:right w:val="dotted" w:sz="4" w:space="0" w:color="auto"/>
            </w:tcBorders>
            <w:shd w:val="clear" w:color="auto" w:fill="FFFFFF" w:themeFill="background1"/>
          </w:tcPr>
          <w:p w14:paraId="1BFF7D15"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degradation</w:t>
            </w:r>
          </w:p>
          <w:p w14:paraId="336E4DDF"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ko00071</w:t>
            </w:r>
          </w:p>
        </w:tc>
        <w:tc>
          <w:tcPr>
            <w:tcW w:w="198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29AE232E"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188853E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0.19</w:t>
            </w:r>
          </w:p>
        </w:tc>
        <w:tc>
          <w:tcPr>
            <w:tcW w:w="1134"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4107CDF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0.21</w:t>
            </w:r>
          </w:p>
        </w:tc>
        <w:tc>
          <w:tcPr>
            <w:tcW w:w="993"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637538A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107.17</w:t>
            </w:r>
          </w:p>
        </w:tc>
        <w:tc>
          <w:tcPr>
            <w:tcW w:w="96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230C0450"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0.90</w:t>
            </w:r>
          </w:p>
        </w:tc>
        <w:tc>
          <w:tcPr>
            <w:tcW w:w="970" w:type="dxa"/>
            <w:tcBorders>
              <w:top w:val="dashSmallGap" w:sz="4" w:space="0" w:color="auto"/>
              <w:left w:val="dotted" w:sz="4" w:space="0" w:color="auto"/>
              <w:bottom w:val="dotted" w:sz="4" w:space="0" w:color="auto"/>
            </w:tcBorders>
            <w:shd w:val="clear" w:color="auto" w:fill="FFFFFF" w:themeFill="background1"/>
            <w:vAlign w:val="center"/>
          </w:tcPr>
          <w:p w14:paraId="1F0E4522"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0.37</w:t>
            </w:r>
          </w:p>
        </w:tc>
      </w:tr>
      <w:tr w:rsidR="001D121C" w:rsidRPr="000300C6" w14:paraId="358D115D"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otted" w:sz="4" w:space="0" w:color="auto"/>
              <w:bottom w:val="dotted" w:sz="4" w:space="0" w:color="auto"/>
              <w:right w:val="dotted" w:sz="4" w:space="0" w:color="auto"/>
            </w:tcBorders>
            <w:shd w:val="clear" w:color="auto" w:fill="FFFFFF" w:themeFill="background1"/>
          </w:tcPr>
          <w:p w14:paraId="7F850DA9"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6A0A80" w14:textId="5F9796D4"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521AA7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0.24</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7965D0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0.90</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E7B59F8"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30.27</w:t>
            </w:r>
          </w:p>
        </w:tc>
        <w:tc>
          <w:tcPr>
            <w:tcW w:w="96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D3727B5"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0.26</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37FB0F77"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0.80</w:t>
            </w:r>
          </w:p>
        </w:tc>
      </w:tr>
      <w:tr w:rsidR="001D121C" w:rsidRPr="000300C6" w14:paraId="0EAEBAB8"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otted" w:sz="4" w:space="0" w:color="auto"/>
              <w:bottom w:val="dotted" w:sz="4" w:space="0" w:color="auto"/>
              <w:right w:val="dotted" w:sz="4" w:space="0" w:color="auto"/>
            </w:tcBorders>
            <w:shd w:val="clear" w:color="auto" w:fill="FFFFFF" w:themeFill="background1"/>
          </w:tcPr>
          <w:p w14:paraId="7FDFDB0C"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E35963" w14:textId="4535DA76"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1E918E3"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-0.07</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66C81D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0.13</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BE4351"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103.19</w:t>
            </w:r>
          </w:p>
        </w:tc>
        <w:tc>
          <w:tcPr>
            <w:tcW w:w="96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D2939F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-0.51</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61A193C4"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0.61</w:t>
            </w:r>
          </w:p>
        </w:tc>
      </w:tr>
      <w:tr w:rsidR="001D121C" w:rsidRPr="000300C6" w14:paraId="3010C52F"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bottom w:val="dotted" w:sz="4" w:space="0" w:color="auto"/>
              <w:right w:val="dotted" w:sz="4" w:space="0" w:color="auto"/>
            </w:tcBorders>
          </w:tcPr>
          <w:p w14:paraId="603DE9A0"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metabolism</w:t>
            </w:r>
          </w:p>
          <w:p w14:paraId="42389596"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ko01212</w:t>
            </w:r>
          </w:p>
        </w:tc>
        <w:tc>
          <w:tcPr>
            <w:tcW w:w="1985" w:type="dxa"/>
            <w:tcBorders>
              <w:top w:val="dashSmallGap" w:sz="4" w:space="0" w:color="auto"/>
              <w:left w:val="dotted" w:sz="4" w:space="0" w:color="auto"/>
              <w:bottom w:val="dotted" w:sz="4" w:space="0" w:color="auto"/>
              <w:right w:val="dotted" w:sz="4" w:space="0" w:color="auto"/>
            </w:tcBorders>
            <w:vAlign w:val="center"/>
          </w:tcPr>
          <w:p w14:paraId="0FCF7C0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vAlign w:val="center"/>
          </w:tcPr>
          <w:p w14:paraId="25D4E40B"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0.57</w:t>
            </w:r>
          </w:p>
        </w:tc>
        <w:tc>
          <w:tcPr>
            <w:tcW w:w="1134" w:type="dxa"/>
            <w:tcBorders>
              <w:top w:val="dashSmallGap" w:sz="4" w:space="0" w:color="auto"/>
              <w:left w:val="dotted" w:sz="4" w:space="0" w:color="auto"/>
              <w:bottom w:val="dotted" w:sz="4" w:space="0" w:color="auto"/>
              <w:right w:val="dotted" w:sz="4" w:space="0" w:color="auto"/>
            </w:tcBorders>
            <w:vAlign w:val="center"/>
          </w:tcPr>
          <w:p w14:paraId="733D3DE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0.36</w:t>
            </w:r>
          </w:p>
        </w:tc>
        <w:tc>
          <w:tcPr>
            <w:tcW w:w="993" w:type="dxa"/>
            <w:tcBorders>
              <w:top w:val="dashSmallGap" w:sz="4" w:space="0" w:color="auto"/>
              <w:left w:val="dotted" w:sz="4" w:space="0" w:color="auto"/>
              <w:bottom w:val="dotted" w:sz="4" w:space="0" w:color="auto"/>
              <w:right w:val="dotted" w:sz="4" w:space="0" w:color="auto"/>
            </w:tcBorders>
            <w:vAlign w:val="center"/>
          </w:tcPr>
          <w:p w14:paraId="0F7BD04F"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106.03</w:t>
            </w:r>
          </w:p>
        </w:tc>
        <w:tc>
          <w:tcPr>
            <w:tcW w:w="968" w:type="dxa"/>
            <w:tcBorders>
              <w:top w:val="dashSmallGap" w:sz="4" w:space="0" w:color="auto"/>
              <w:left w:val="dotted" w:sz="4" w:space="0" w:color="auto"/>
              <w:bottom w:val="dotted" w:sz="4" w:space="0" w:color="auto"/>
              <w:right w:val="dotted" w:sz="4" w:space="0" w:color="auto"/>
            </w:tcBorders>
            <w:vAlign w:val="center"/>
          </w:tcPr>
          <w:p w14:paraId="1BF32C0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1.58</w:t>
            </w:r>
          </w:p>
        </w:tc>
        <w:tc>
          <w:tcPr>
            <w:tcW w:w="970" w:type="dxa"/>
            <w:tcBorders>
              <w:top w:val="dashSmallGap" w:sz="4" w:space="0" w:color="auto"/>
              <w:left w:val="dotted" w:sz="4" w:space="0" w:color="auto"/>
              <w:bottom w:val="dotted" w:sz="4" w:space="0" w:color="auto"/>
            </w:tcBorders>
            <w:vAlign w:val="center"/>
          </w:tcPr>
          <w:p w14:paraId="5AEC233D"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0.12</w:t>
            </w:r>
          </w:p>
        </w:tc>
      </w:tr>
      <w:tr w:rsidR="001D121C" w:rsidRPr="000300C6" w14:paraId="3CA67DC1"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otted" w:sz="4" w:space="0" w:color="auto"/>
              <w:bottom w:val="dotted" w:sz="4" w:space="0" w:color="auto"/>
              <w:right w:val="dotted" w:sz="4" w:space="0" w:color="auto"/>
            </w:tcBorders>
          </w:tcPr>
          <w:p w14:paraId="0E6976BE"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vAlign w:val="center"/>
          </w:tcPr>
          <w:p w14:paraId="7EFD0241" w14:textId="27DC69A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w:t>
            </w:r>
          </w:p>
        </w:tc>
        <w:tc>
          <w:tcPr>
            <w:tcW w:w="1275" w:type="dxa"/>
            <w:tcBorders>
              <w:top w:val="dotted" w:sz="4" w:space="0" w:color="auto"/>
              <w:left w:val="dotted" w:sz="4" w:space="0" w:color="auto"/>
              <w:bottom w:val="dotted" w:sz="4" w:space="0" w:color="auto"/>
              <w:right w:val="dotted" w:sz="4" w:space="0" w:color="auto"/>
            </w:tcBorders>
            <w:vAlign w:val="center"/>
          </w:tcPr>
          <w:p w14:paraId="4B4C706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0.83</w:t>
            </w:r>
          </w:p>
        </w:tc>
        <w:tc>
          <w:tcPr>
            <w:tcW w:w="1134" w:type="dxa"/>
            <w:tcBorders>
              <w:top w:val="dotted" w:sz="4" w:space="0" w:color="auto"/>
              <w:left w:val="dotted" w:sz="4" w:space="0" w:color="auto"/>
              <w:bottom w:val="dotted" w:sz="4" w:space="0" w:color="auto"/>
              <w:right w:val="dotted" w:sz="4" w:space="0" w:color="auto"/>
            </w:tcBorders>
            <w:vAlign w:val="center"/>
          </w:tcPr>
          <w:p w14:paraId="4E80CB6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1.84</w:t>
            </w:r>
          </w:p>
        </w:tc>
        <w:tc>
          <w:tcPr>
            <w:tcW w:w="993" w:type="dxa"/>
            <w:tcBorders>
              <w:top w:val="dotted" w:sz="4" w:space="0" w:color="auto"/>
              <w:left w:val="dotted" w:sz="4" w:space="0" w:color="auto"/>
              <w:bottom w:val="dotted" w:sz="4" w:space="0" w:color="auto"/>
              <w:right w:val="dotted" w:sz="4" w:space="0" w:color="auto"/>
            </w:tcBorders>
            <w:vAlign w:val="center"/>
          </w:tcPr>
          <w:p w14:paraId="3E07F9C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30.08</w:t>
            </w:r>
          </w:p>
        </w:tc>
        <w:tc>
          <w:tcPr>
            <w:tcW w:w="968" w:type="dxa"/>
            <w:tcBorders>
              <w:top w:val="dotted" w:sz="4" w:space="0" w:color="auto"/>
              <w:left w:val="dotted" w:sz="4" w:space="0" w:color="auto"/>
              <w:bottom w:val="dotted" w:sz="4" w:space="0" w:color="auto"/>
              <w:right w:val="dotted" w:sz="4" w:space="0" w:color="auto"/>
            </w:tcBorders>
            <w:vAlign w:val="center"/>
          </w:tcPr>
          <w:p w14:paraId="5306D69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0.45</w:t>
            </w:r>
          </w:p>
        </w:tc>
        <w:tc>
          <w:tcPr>
            <w:tcW w:w="970" w:type="dxa"/>
            <w:tcBorders>
              <w:top w:val="dotted" w:sz="4" w:space="0" w:color="auto"/>
              <w:left w:val="dotted" w:sz="4" w:space="0" w:color="auto"/>
              <w:bottom w:val="dotted" w:sz="4" w:space="0" w:color="auto"/>
            </w:tcBorders>
            <w:vAlign w:val="center"/>
          </w:tcPr>
          <w:p w14:paraId="4863EDCC"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0.66</w:t>
            </w:r>
          </w:p>
        </w:tc>
      </w:tr>
      <w:tr w:rsidR="001D121C" w:rsidRPr="000300C6" w14:paraId="15963CA9"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dotted" w:sz="4" w:space="0" w:color="auto"/>
              <w:bottom w:val="dashSmallGap" w:sz="4" w:space="0" w:color="auto"/>
              <w:right w:val="dotted" w:sz="4" w:space="0" w:color="auto"/>
            </w:tcBorders>
          </w:tcPr>
          <w:p w14:paraId="5A333C5D"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ashSmallGap" w:sz="4" w:space="0" w:color="auto"/>
              <w:right w:val="dotted" w:sz="4" w:space="0" w:color="auto"/>
            </w:tcBorders>
            <w:vAlign w:val="center"/>
          </w:tcPr>
          <w:p w14:paraId="7A9FA129" w14:textId="3E9ACD0E"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dashSmallGap" w:sz="4" w:space="0" w:color="auto"/>
              <w:right w:val="dotted" w:sz="4" w:space="0" w:color="auto"/>
            </w:tcBorders>
            <w:vAlign w:val="center"/>
          </w:tcPr>
          <w:p w14:paraId="58F698E1"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-0.21</w:t>
            </w:r>
          </w:p>
        </w:tc>
        <w:tc>
          <w:tcPr>
            <w:tcW w:w="1134" w:type="dxa"/>
            <w:tcBorders>
              <w:top w:val="dotted" w:sz="4" w:space="0" w:color="auto"/>
              <w:left w:val="dotted" w:sz="4" w:space="0" w:color="auto"/>
              <w:bottom w:val="dashSmallGap" w:sz="4" w:space="0" w:color="auto"/>
              <w:right w:val="dotted" w:sz="4" w:space="0" w:color="auto"/>
            </w:tcBorders>
            <w:vAlign w:val="center"/>
          </w:tcPr>
          <w:p w14:paraId="0753DAAA"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0.23</w:t>
            </w:r>
          </w:p>
        </w:tc>
        <w:tc>
          <w:tcPr>
            <w:tcW w:w="993" w:type="dxa"/>
            <w:tcBorders>
              <w:top w:val="dotted" w:sz="4" w:space="0" w:color="auto"/>
              <w:left w:val="dotted" w:sz="4" w:space="0" w:color="auto"/>
              <w:bottom w:val="dashSmallGap" w:sz="4" w:space="0" w:color="auto"/>
              <w:right w:val="dotted" w:sz="4" w:space="0" w:color="auto"/>
            </w:tcBorders>
            <w:vAlign w:val="center"/>
          </w:tcPr>
          <w:p w14:paraId="36F866F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102.11</w:t>
            </w:r>
          </w:p>
        </w:tc>
        <w:tc>
          <w:tcPr>
            <w:tcW w:w="968" w:type="dxa"/>
            <w:tcBorders>
              <w:top w:val="dotted" w:sz="4" w:space="0" w:color="auto"/>
              <w:left w:val="dotted" w:sz="4" w:space="0" w:color="auto"/>
              <w:bottom w:val="dashSmallGap" w:sz="4" w:space="0" w:color="auto"/>
              <w:right w:val="dotted" w:sz="4" w:space="0" w:color="auto"/>
            </w:tcBorders>
            <w:vAlign w:val="center"/>
          </w:tcPr>
          <w:p w14:paraId="72926525"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-0.92</w:t>
            </w:r>
          </w:p>
        </w:tc>
        <w:tc>
          <w:tcPr>
            <w:tcW w:w="970" w:type="dxa"/>
            <w:tcBorders>
              <w:top w:val="dotted" w:sz="4" w:space="0" w:color="auto"/>
              <w:left w:val="dotted" w:sz="4" w:space="0" w:color="auto"/>
              <w:bottom w:val="dashSmallGap" w:sz="4" w:space="0" w:color="auto"/>
            </w:tcBorders>
            <w:vAlign w:val="center"/>
          </w:tcPr>
          <w:p w14:paraId="753F39B8"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0.36</w:t>
            </w:r>
          </w:p>
        </w:tc>
      </w:tr>
      <w:tr w:rsidR="001D121C" w:rsidRPr="000300C6" w14:paraId="11F27047"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dashSmallGap" w:sz="4" w:space="0" w:color="auto"/>
              <w:right w:val="dotted" w:sz="4" w:space="0" w:color="auto"/>
            </w:tcBorders>
            <w:shd w:val="clear" w:color="auto" w:fill="FFFFFF" w:themeFill="background1"/>
          </w:tcPr>
          <w:p w14:paraId="3FA1D9C4" w14:textId="77777777" w:rsidR="001D121C" w:rsidRPr="000300C6" w:rsidRDefault="001D121C" w:rsidP="001D121C">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Metabolic pathways</w:t>
            </w:r>
          </w:p>
          <w:p w14:paraId="3F2BFAC9" w14:textId="77777777" w:rsidR="001D121C" w:rsidRPr="000300C6" w:rsidRDefault="001D121C" w:rsidP="001D121C">
            <w:pPr>
              <w:spacing w:after="0" w:line="240" w:lineRule="auto"/>
              <w:rPr>
                <w:rFonts w:asciiTheme="minorHAnsi" w:eastAsiaTheme="minorHAnsi" w:hAnsiTheme="minorHAnsi" w:cstheme="minorBidi"/>
                <w:b w:val="0"/>
                <w:sz w:val="14"/>
                <w:szCs w:val="14"/>
                <w:lang w:val="en-GB"/>
              </w:rPr>
            </w:pPr>
            <w:r w:rsidRPr="000300C6">
              <w:rPr>
                <w:rFonts w:asciiTheme="minorHAnsi" w:eastAsiaTheme="minorHAnsi" w:hAnsiTheme="minorHAnsi" w:cstheme="minorBidi"/>
                <w:b w:val="0"/>
                <w:sz w:val="14"/>
                <w:szCs w:val="14"/>
                <w:lang w:val="en-GB"/>
              </w:rPr>
              <w:t>ko01100</w:t>
            </w:r>
          </w:p>
        </w:tc>
        <w:tc>
          <w:tcPr>
            <w:tcW w:w="198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1540CEE8"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w:t>
            </w:r>
          </w:p>
        </w:tc>
        <w:tc>
          <w:tcPr>
            <w:tcW w:w="1275"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724E649B"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2.43</w:t>
            </w:r>
          </w:p>
        </w:tc>
        <w:tc>
          <w:tcPr>
            <w:tcW w:w="1134"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447695B4"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1.99</w:t>
            </w:r>
          </w:p>
        </w:tc>
        <w:tc>
          <w:tcPr>
            <w:tcW w:w="993"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1459FCE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114.96</w:t>
            </w:r>
          </w:p>
        </w:tc>
        <w:tc>
          <w:tcPr>
            <w:tcW w:w="968" w:type="dxa"/>
            <w:tcBorders>
              <w:top w:val="dashSmallGap" w:sz="4" w:space="0" w:color="auto"/>
              <w:left w:val="dotted" w:sz="4" w:space="0" w:color="auto"/>
              <w:bottom w:val="dotted" w:sz="4" w:space="0" w:color="auto"/>
              <w:right w:val="dotted" w:sz="4" w:space="0" w:color="auto"/>
            </w:tcBorders>
            <w:shd w:val="clear" w:color="auto" w:fill="FFFFFF" w:themeFill="background1"/>
            <w:vAlign w:val="center"/>
          </w:tcPr>
          <w:p w14:paraId="5B48BE1A"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1.23</w:t>
            </w:r>
          </w:p>
        </w:tc>
        <w:tc>
          <w:tcPr>
            <w:tcW w:w="970" w:type="dxa"/>
            <w:tcBorders>
              <w:top w:val="dashSmallGap" w:sz="4" w:space="0" w:color="auto"/>
              <w:left w:val="dotted" w:sz="4" w:space="0" w:color="auto"/>
              <w:bottom w:val="dotted" w:sz="4" w:space="0" w:color="auto"/>
            </w:tcBorders>
            <w:shd w:val="clear" w:color="auto" w:fill="FFFFFF" w:themeFill="background1"/>
            <w:vAlign w:val="center"/>
          </w:tcPr>
          <w:p w14:paraId="10B1D985"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0.22</w:t>
            </w:r>
          </w:p>
        </w:tc>
      </w:tr>
      <w:tr w:rsidR="001D121C" w:rsidRPr="000300C6" w14:paraId="65C3A9AE" w14:textId="77777777" w:rsidTr="001D12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Borders>
              <w:right w:val="dotted" w:sz="4" w:space="0" w:color="auto"/>
            </w:tcBorders>
            <w:shd w:val="clear" w:color="auto" w:fill="FFFFFF" w:themeFill="background1"/>
          </w:tcPr>
          <w:p w14:paraId="1CCA06AC"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D6EB4C7" w14:textId="4284D533"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Symptom group* (RTOG class)</w:t>
            </w:r>
          </w:p>
        </w:tc>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B19E3EC"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3.23</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B49C65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10.06</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84A4614"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30.11</w:t>
            </w:r>
          </w:p>
        </w:tc>
        <w:tc>
          <w:tcPr>
            <w:tcW w:w="96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6F44A3"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0.32</w:t>
            </w:r>
          </w:p>
        </w:tc>
        <w:tc>
          <w:tcPr>
            <w:tcW w:w="970" w:type="dxa"/>
            <w:tcBorders>
              <w:top w:val="dotted" w:sz="4" w:space="0" w:color="auto"/>
              <w:left w:val="dotted" w:sz="4" w:space="0" w:color="auto"/>
              <w:bottom w:val="dotted" w:sz="4" w:space="0" w:color="auto"/>
            </w:tcBorders>
            <w:shd w:val="clear" w:color="auto" w:fill="FFFFFF" w:themeFill="background1"/>
            <w:vAlign w:val="center"/>
          </w:tcPr>
          <w:p w14:paraId="0BA8CCC0" w14:textId="77777777" w:rsidR="001D121C" w:rsidRPr="000300C6" w:rsidRDefault="001D121C" w:rsidP="001D12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0.75</w:t>
            </w:r>
          </w:p>
        </w:tc>
      </w:tr>
      <w:tr w:rsidR="001D121C" w:rsidRPr="000300C6" w14:paraId="562F9CB5" w14:textId="77777777" w:rsidTr="001D121C">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bottom w:val="single" w:sz="4" w:space="0" w:color="auto"/>
              <w:right w:val="dotted" w:sz="4" w:space="0" w:color="auto"/>
            </w:tcBorders>
            <w:shd w:val="clear" w:color="auto" w:fill="FFFFFF" w:themeFill="background1"/>
          </w:tcPr>
          <w:p w14:paraId="1E516070" w14:textId="77777777" w:rsidR="001D121C" w:rsidRPr="000300C6" w:rsidRDefault="001D121C" w:rsidP="001D121C">
            <w:pPr>
              <w:spacing w:after="0" w:line="240" w:lineRule="auto"/>
              <w:rPr>
                <w:rFonts w:asciiTheme="minorHAnsi" w:eastAsiaTheme="minorHAnsi" w:hAnsiTheme="minorHAnsi" w:cstheme="minorBidi"/>
                <w:sz w:val="14"/>
                <w:szCs w:val="14"/>
                <w:lang w:val="en-GB"/>
              </w:rPr>
            </w:pPr>
          </w:p>
        </w:tc>
        <w:tc>
          <w:tcPr>
            <w:tcW w:w="1985"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32ED7591" w14:textId="08017C38"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Timepoint by symptom group</w:t>
            </w:r>
          </w:p>
        </w:tc>
        <w:tc>
          <w:tcPr>
            <w:tcW w:w="1275"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AC3FD16"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-0.68</w:t>
            </w:r>
          </w:p>
        </w:tc>
        <w:tc>
          <w:tcPr>
            <w:tcW w:w="1134"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2BD124C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1.25</w:t>
            </w:r>
          </w:p>
        </w:tc>
        <w:tc>
          <w:tcPr>
            <w:tcW w:w="99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17D0D29"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111.87</w:t>
            </w:r>
          </w:p>
        </w:tc>
        <w:tc>
          <w:tcPr>
            <w:tcW w:w="968"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056EA515"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-0.54</w:t>
            </w:r>
          </w:p>
        </w:tc>
        <w:tc>
          <w:tcPr>
            <w:tcW w:w="970" w:type="dxa"/>
            <w:tcBorders>
              <w:top w:val="dotted" w:sz="4" w:space="0" w:color="auto"/>
              <w:left w:val="dotted" w:sz="4" w:space="0" w:color="auto"/>
              <w:bottom w:val="single" w:sz="4" w:space="0" w:color="auto"/>
            </w:tcBorders>
            <w:shd w:val="clear" w:color="auto" w:fill="FFFFFF" w:themeFill="background1"/>
            <w:vAlign w:val="center"/>
          </w:tcPr>
          <w:p w14:paraId="00BFB92D" w14:textId="77777777" w:rsidR="001D121C" w:rsidRPr="000300C6" w:rsidRDefault="001D121C" w:rsidP="001D12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asciiTheme="minorHAnsi" w:eastAsiaTheme="minorHAnsi" w:hAnsiTheme="minorHAnsi" w:cstheme="minorBidi"/>
                <w:sz w:val="14"/>
                <w:szCs w:val="14"/>
                <w:lang w:val="en-GB"/>
              </w:rPr>
              <w:t>0.59</w:t>
            </w:r>
          </w:p>
        </w:tc>
      </w:tr>
    </w:tbl>
    <w:p w14:paraId="41069AD1" w14:textId="016244C7" w:rsidR="001D121C" w:rsidRPr="000300C6" w:rsidRDefault="001D121C" w:rsidP="001D121C">
      <w:pPr>
        <w:spacing w:after="160" w:line="259" w:lineRule="auto"/>
        <w:rPr>
          <w:rFonts w:asciiTheme="minorHAnsi" w:eastAsiaTheme="minorHAnsi" w:hAnsiTheme="minorHAnsi" w:cstheme="minorBidi"/>
          <w:bCs/>
          <w:i/>
          <w:iCs/>
          <w:color w:val="000000" w:themeColor="text1"/>
          <w:sz w:val="14"/>
          <w:szCs w:val="14"/>
          <w:lang w:val="en-GB"/>
        </w:rPr>
      </w:pPr>
      <w:r w:rsidRPr="000300C6">
        <w:rPr>
          <w:rFonts w:asciiTheme="minorHAnsi" w:eastAsiaTheme="minorHAnsi" w:hAnsiTheme="minorHAnsi" w:cstheme="minorBidi"/>
          <w:bCs/>
          <w:i/>
          <w:iCs/>
          <w:color w:val="000000" w:themeColor="text1"/>
          <w:sz w:val="14"/>
          <w:szCs w:val="14"/>
          <w:lang w:val="en-GB"/>
        </w:rPr>
        <w:t xml:space="preserve">*: Symptom group was coded as 0 = </w:t>
      </w:r>
      <w:r w:rsidRPr="000300C6">
        <w:rPr>
          <w:rFonts w:asciiTheme="minorHAnsi" w:eastAsiaTheme="minorHAnsi" w:hAnsiTheme="minorHAnsi" w:cstheme="minorBidi"/>
          <w:b/>
          <w:bCs/>
          <w:i/>
          <w:iCs/>
          <w:color w:val="000000" w:themeColor="text1"/>
          <w:sz w:val="14"/>
          <w:szCs w:val="14"/>
          <w:lang w:val="en-GB"/>
        </w:rPr>
        <w:t>no</w:t>
      </w:r>
      <w:r w:rsidRPr="000300C6">
        <w:rPr>
          <w:rFonts w:asciiTheme="minorHAnsi" w:eastAsiaTheme="minorHAnsi" w:hAnsiTheme="minorHAnsi" w:cstheme="minorBidi"/>
          <w:bCs/>
          <w:i/>
          <w:iCs/>
          <w:color w:val="000000" w:themeColor="text1"/>
          <w:sz w:val="14"/>
          <w:szCs w:val="14"/>
          <w:lang w:val="en-GB"/>
        </w:rPr>
        <w:t xml:space="preserve"> symptoms at either 4/5 weeks or 6 months; 1 = symptoms at </w:t>
      </w:r>
      <w:r w:rsidRPr="000300C6">
        <w:rPr>
          <w:rFonts w:asciiTheme="minorHAnsi" w:eastAsiaTheme="minorHAnsi" w:hAnsiTheme="minorHAnsi" w:cstheme="minorBidi"/>
          <w:b/>
          <w:bCs/>
          <w:i/>
          <w:iCs/>
          <w:color w:val="000000" w:themeColor="text1"/>
          <w:sz w:val="14"/>
          <w:szCs w:val="14"/>
          <w:lang w:val="en-GB"/>
        </w:rPr>
        <w:t>either</w:t>
      </w:r>
      <w:r w:rsidRPr="000300C6">
        <w:rPr>
          <w:rFonts w:asciiTheme="minorHAnsi" w:eastAsiaTheme="minorHAnsi" w:hAnsiTheme="minorHAnsi" w:cstheme="minorBidi"/>
          <w:bCs/>
          <w:i/>
          <w:iCs/>
          <w:color w:val="000000" w:themeColor="text1"/>
          <w:sz w:val="14"/>
          <w:szCs w:val="14"/>
          <w:lang w:val="en-GB"/>
        </w:rPr>
        <w:t xml:space="preserve"> 4/5 weeks </w:t>
      </w:r>
      <w:r w:rsidRPr="000300C6">
        <w:rPr>
          <w:rFonts w:asciiTheme="minorHAnsi" w:eastAsiaTheme="minorHAnsi" w:hAnsiTheme="minorHAnsi" w:cstheme="minorBidi"/>
          <w:b/>
          <w:bCs/>
          <w:i/>
          <w:iCs/>
          <w:color w:val="000000" w:themeColor="text1"/>
          <w:sz w:val="14"/>
          <w:szCs w:val="14"/>
          <w:lang w:val="en-GB"/>
        </w:rPr>
        <w:t>or</w:t>
      </w:r>
      <w:r w:rsidRPr="000300C6">
        <w:rPr>
          <w:rFonts w:asciiTheme="minorHAnsi" w:eastAsiaTheme="minorHAnsi" w:hAnsiTheme="minorHAnsi" w:cstheme="minorBidi"/>
          <w:bCs/>
          <w:i/>
          <w:iCs/>
          <w:color w:val="000000" w:themeColor="text1"/>
          <w:sz w:val="14"/>
          <w:szCs w:val="14"/>
          <w:lang w:val="en-GB"/>
        </w:rPr>
        <w:t xml:space="preserve"> 6 months; 2 = symptoms at 4/5 weeks </w:t>
      </w:r>
      <w:r w:rsidRPr="000300C6">
        <w:rPr>
          <w:rFonts w:asciiTheme="minorHAnsi" w:eastAsiaTheme="minorHAnsi" w:hAnsiTheme="minorHAnsi" w:cstheme="minorBidi"/>
          <w:b/>
          <w:bCs/>
          <w:i/>
          <w:iCs/>
          <w:color w:val="000000" w:themeColor="text1"/>
          <w:sz w:val="14"/>
          <w:szCs w:val="14"/>
          <w:lang w:val="en-GB"/>
        </w:rPr>
        <w:t>and</w:t>
      </w:r>
      <w:r w:rsidRPr="000300C6">
        <w:rPr>
          <w:rFonts w:asciiTheme="minorHAnsi" w:eastAsiaTheme="minorHAnsi" w:hAnsiTheme="minorHAnsi" w:cstheme="minorBidi"/>
          <w:bCs/>
          <w:i/>
          <w:iCs/>
          <w:color w:val="000000" w:themeColor="text1"/>
          <w:sz w:val="14"/>
          <w:szCs w:val="14"/>
          <w:lang w:val="en-GB"/>
        </w:rPr>
        <w:t xml:space="preserve"> 6 months. Therefore a positive effect indicates rising counts of the feature with rising symptoms. KEKK = Kyoto Encyclopaedia of Genes and Genomes.</w:t>
      </w:r>
    </w:p>
    <w:p w14:paraId="32FB249A" w14:textId="77777777" w:rsidR="001D121C" w:rsidRPr="000300C6" w:rsidRDefault="001D121C" w:rsidP="007B53B7">
      <w:pPr>
        <w:pStyle w:val="Caption"/>
      </w:pPr>
    </w:p>
    <w:p w14:paraId="656747B4" w14:textId="77777777" w:rsidR="001B4FA0" w:rsidRPr="000300C6" w:rsidRDefault="001B4FA0">
      <w:pPr>
        <w:spacing w:after="160" w:line="259" w:lineRule="auto"/>
        <w:rPr>
          <w:rFonts w:asciiTheme="minorHAnsi" w:eastAsiaTheme="minorHAnsi" w:hAnsiTheme="minorHAnsi" w:cstheme="minorBidi"/>
          <w:b/>
          <w:bCs/>
          <w:iCs/>
          <w:color w:val="000000" w:themeColor="text1"/>
          <w:sz w:val="18"/>
          <w:szCs w:val="18"/>
          <w:lang w:val="en-GB"/>
        </w:rPr>
      </w:pPr>
      <w:r w:rsidRPr="000300C6">
        <w:br w:type="page"/>
      </w:r>
    </w:p>
    <w:p w14:paraId="139641BD" w14:textId="0A02A9D3" w:rsidR="00C2062E" w:rsidRPr="000300C6" w:rsidRDefault="00E16650" w:rsidP="00E16650">
      <w:pPr>
        <w:spacing w:after="0"/>
        <w:jc w:val="center"/>
        <w:rPr>
          <w:sz w:val="18"/>
          <w:szCs w:val="18"/>
          <w:lang w:val="en-US"/>
        </w:rPr>
      </w:pPr>
      <w:r w:rsidRPr="000300C6">
        <w:rPr>
          <w:b/>
          <w:sz w:val="18"/>
          <w:szCs w:val="18"/>
          <w:lang w:val="en-US"/>
        </w:rPr>
        <w:lastRenderedPageBreak/>
        <w:t>Table SUPP-</w:t>
      </w:r>
      <w:r w:rsidR="00910320" w:rsidRPr="000300C6">
        <w:rPr>
          <w:b/>
          <w:sz w:val="18"/>
          <w:szCs w:val="18"/>
          <w:lang w:val="en-US"/>
        </w:rPr>
        <w:t>1</w:t>
      </w:r>
      <w:r w:rsidR="00277C1F" w:rsidRPr="000300C6">
        <w:rPr>
          <w:b/>
          <w:sz w:val="18"/>
          <w:szCs w:val="18"/>
          <w:lang w:val="en-US"/>
        </w:rPr>
        <w:t>4</w:t>
      </w:r>
      <w:r w:rsidRPr="000300C6">
        <w:rPr>
          <w:b/>
          <w:sz w:val="18"/>
          <w:szCs w:val="18"/>
          <w:lang w:val="en-US"/>
        </w:rPr>
        <w:t>:</w:t>
      </w:r>
      <w:r w:rsidRPr="000300C6">
        <w:rPr>
          <w:sz w:val="18"/>
          <w:szCs w:val="18"/>
          <w:lang w:val="en-US"/>
        </w:rPr>
        <w:t xml:space="preserve"> Differences in proportions of microbial metabolic pathway abundance between </w:t>
      </w:r>
    </w:p>
    <w:p w14:paraId="52E7F4C6" w14:textId="0664B75F" w:rsidR="00E16650" w:rsidRPr="000300C6" w:rsidRDefault="00E16650" w:rsidP="00E16650">
      <w:pPr>
        <w:spacing w:after="0"/>
        <w:jc w:val="center"/>
        <w:rPr>
          <w:lang w:val="en-US"/>
        </w:rPr>
      </w:pPr>
      <w:r w:rsidRPr="000300C6">
        <w:rPr>
          <w:sz w:val="18"/>
          <w:szCs w:val="18"/>
          <w:lang w:val="en-US"/>
        </w:rPr>
        <w:t>patients with and without late clinician-reported diarrhoea in the late cohort.</w:t>
      </w:r>
    </w:p>
    <w:tbl>
      <w:tblPr>
        <w:tblStyle w:val="PlainTable41"/>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81"/>
        <w:gridCol w:w="2519"/>
        <w:gridCol w:w="2454"/>
        <w:gridCol w:w="1065"/>
        <w:gridCol w:w="1130"/>
      </w:tblGrid>
      <w:tr w:rsidR="00E16650" w:rsidRPr="000300C6" w14:paraId="6943A583"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double" w:sz="4" w:space="0" w:color="auto"/>
              <w:right w:val="dotted" w:sz="4" w:space="0" w:color="auto"/>
            </w:tcBorders>
            <w:vAlign w:val="center"/>
          </w:tcPr>
          <w:p w14:paraId="27A63409" w14:textId="4C490588" w:rsidR="00E16650" w:rsidRPr="000300C6" w:rsidRDefault="00E16650" w:rsidP="009A4096">
            <w:pPr>
              <w:spacing w:after="0"/>
              <w:jc w:val="center"/>
              <w:rPr>
                <w:sz w:val="16"/>
                <w:szCs w:val="16"/>
              </w:rPr>
            </w:pPr>
            <w:r w:rsidRPr="000300C6">
              <w:rPr>
                <w:rFonts w:asciiTheme="minorHAnsi" w:eastAsiaTheme="minorHAnsi" w:hAnsiTheme="minorHAnsi" w:cstheme="minorBidi"/>
                <w:sz w:val="16"/>
                <w:szCs w:val="16"/>
                <w:lang w:val="en-GB"/>
              </w:rPr>
              <w:t>Pathway and KEGG identifier</w:t>
            </w:r>
          </w:p>
        </w:tc>
        <w:tc>
          <w:tcPr>
            <w:tcW w:w="2519" w:type="dxa"/>
            <w:tcBorders>
              <w:top w:val="single" w:sz="4" w:space="0" w:color="auto"/>
              <w:left w:val="dotted" w:sz="4" w:space="0" w:color="auto"/>
              <w:bottom w:val="double" w:sz="4" w:space="0" w:color="auto"/>
              <w:right w:val="dotted" w:sz="4" w:space="0" w:color="auto"/>
            </w:tcBorders>
            <w:vAlign w:val="center"/>
          </w:tcPr>
          <w:p w14:paraId="2E270A86" w14:textId="77777777"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 xml:space="preserve">Mean </w:t>
            </w:r>
          </w:p>
          <w:p w14:paraId="2ACB7492" w14:textId="77777777"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b w:val="0"/>
                <w:sz w:val="16"/>
                <w:szCs w:val="16"/>
              </w:rPr>
              <w:t>(Grade 0/1/2/3)</w:t>
            </w:r>
          </w:p>
        </w:tc>
        <w:tc>
          <w:tcPr>
            <w:tcW w:w="2454" w:type="dxa"/>
            <w:tcBorders>
              <w:top w:val="single" w:sz="4" w:space="0" w:color="auto"/>
              <w:left w:val="dotted" w:sz="4" w:space="0" w:color="auto"/>
              <w:bottom w:val="double" w:sz="4" w:space="0" w:color="auto"/>
              <w:right w:val="dotted" w:sz="4" w:space="0" w:color="auto"/>
            </w:tcBorders>
            <w:vAlign w:val="center"/>
          </w:tcPr>
          <w:p w14:paraId="5A43E03A" w14:textId="77777777"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300C6">
              <w:rPr>
                <w:sz w:val="16"/>
                <w:szCs w:val="16"/>
              </w:rPr>
              <w:t xml:space="preserve">SD </w:t>
            </w:r>
          </w:p>
          <w:p w14:paraId="78FDED14" w14:textId="77777777"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b w:val="0"/>
                <w:sz w:val="16"/>
                <w:szCs w:val="16"/>
              </w:rPr>
              <w:t>(Grade 0/1/2/3)</w:t>
            </w:r>
          </w:p>
        </w:tc>
        <w:tc>
          <w:tcPr>
            <w:tcW w:w="1065" w:type="dxa"/>
            <w:tcBorders>
              <w:top w:val="single" w:sz="4" w:space="0" w:color="auto"/>
              <w:left w:val="dotted" w:sz="4" w:space="0" w:color="auto"/>
              <w:bottom w:val="double" w:sz="4" w:space="0" w:color="auto"/>
              <w:right w:val="dotted" w:sz="4" w:space="0" w:color="auto"/>
            </w:tcBorders>
            <w:vAlign w:val="center"/>
          </w:tcPr>
          <w:p w14:paraId="407D1A91" w14:textId="77777777"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Eta-squared</w:t>
            </w:r>
          </w:p>
        </w:tc>
        <w:tc>
          <w:tcPr>
            <w:tcW w:w="1130" w:type="dxa"/>
            <w:tcBorders>
              <w:top w:val="single" w:sz="4" w:space="0" w:color="auto"/>
              <w:left w:val="dotted" w:sz="4" w:space="0" w:color="auto"/>
              <w:bottom w:val="double" w:sz="4" w:space="0" w:color="auto"/>
            </w:tcBorders>
            <w:vAlign w:val="center"/>
          </w:tcPr>
          <w:p w14:paraId="7C5BCFE6" w14:textId="4D41D08C" w:rsidR="00E16650" w:rsidRPr="000300C6" w:rsidRDefault="00E16650" w:rsidP="009A4096">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300C6">
              <w:rPr>
                <w:sz w:val="16"/>
                <w:szCs w:val="16"/>
              </w:rPr>
              <w:t>p-value</w:t>
            </w:r>
          </w:p>
        </w:tc>
      </w:tr>
      <w:tr w:rsidR="00E16650" w:rsidRPr="000300C6" w14:paraId="7A86C4B7" w14:textId="77777777" w:rsidTr="00C2062E">
        <w:trPr>
          <w:cnfStyle w:val="100000000000" w:firstRow="1" w:lastRow="0" w:firstColumn="0" w:lastColumn="0" w:oddVBand="0" w:evenVBand="0" w:oddHBand="0" w:evenHBand="0" w:firstRowFirstColumn="0" w:firstRowLastColumn="0" w:lastRowFirstColumn="0" w:lastRowLastColumn="0"/>
          <w:cantSplit/>
          <w:trHeight w:val="393"/>
          <w:tblHeader/>
          <w:jc w:val="center"/>
        </w:trPr>
        <w:tc>
          <w:tcPr>
            <w:cnfStyle w:val="001000000000" w:firstRow="0" w:lastRow="0" w:firstColumn="1" w:lastColumn="0" w:oddVBand="0" w:evenVBand="0" w:oddHBand="0" w:evenHBand="0" w:firstRowFirstColumn="0" w:firstRowLastColumn="0" w:lastRowFirstColumn="0" w:lastRowLastColumn="0"/>
            <w:tcW w:w="8949" w:type="dxa"/>
            <w:gridSpan w:val="5"/>
            <w:tcBorders>
              <w:top w:val="double" w:sz="4" w:space="0" w:color="auto"/>
              <w:bottom w:val="single" w:sz="4" w:space="0" w:color="auto"/>
            </w:tcBorders>
            <w:vAlign w:val="center"/>
          </w:tcPr>
          <w:p w14:paraId="63316F46" w14:textId="39E9B544" w:rsidR="00E16650" w:rsidRPr="000300C6" w:rsidRDefault="00E16650" w:rsidP="009A4096">
            <w:pPr>
              <w:spacing w:after="0"/>
              <w:jc w:val="center"/>
              <w:rPr>
                <w:caps/>
                <w:sz w:val="16"/>
                <w:szCs w:val="16"/>
              </w:rPr>
            </w:pPr>
            <w:r w:rsidRPr="000300C6">
              <w:rPr>
                <w:caps/>
                <w:sz w:val="16"/>
                <w:szCs w:val="16"/>
              </w:rPr>
              <w:t>Actual toxicity – CRO diarrhoea</w:t>
            </w:r>
          </w:p>
        </w:tc>
      </w:tr>
      <w:tr w:rsidR="009311FD" w:rsidRPr="000300C6" w14:paraId="3F43C738"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dotted" w:sz="4" w:space="0" w:color="auto"/>
              <w:right w:val="dotted" w:sz="4" w:space="0" w:color="auto"/>
            </w:tcBorders>
            <w:shd w:val="clear" w:color="auto" w:fill="F2F2F2" w:themeFill="background1" w:themeFillShade="F2"/>
            <w:vAlign w:val="center"/>
          </w:tcPr>
          <w:p w14:paraId="48AF1FF0" w14:textId="77777777" w:rsidR="009311FD" w:rsidRPr="000300C6" w:rsidRDefault="009311FD" w:rsidP="009311FD">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Butanoate metabolism</w:t>
            </w:r>
          </w:p>
          <w:p w14:paraId="4A91D5AF" w14:textId="0169074B" w:rsidR="009311FD" w:rsidRPr="000300C6" w:rsidRDefault="009311FD" w:rsidP="009311FD">
            <w:pPr>
              <w:spacing w:after="0"/>
              <w:rPr>
                <w:b w:val="0"/>
                <w:sz w:val="16"/>
                <w:szCs w:val="16"/>
              </w:rPr>
            </w:pPr>
            <w:r w:rsidRPr="000300C6">
              <w:rPr>
                <w:rFonts w:asciiTheme="minorHAnsi" w:eastAsiaTheme="minorHAnsi" w:hAnsiTheme="minorHAnsi" w:cstheme="minorBidi"/>
                <w:b w:val="0"/>
                <w:sz w:val="14"/>
                <w:szCs w:val="14"/>
                <w:lang w:val="en-GB"/>
              </w:rPr>
              <w:t>ko00650</w:t>
            </w:r>
          </w:p>
        </w:tc>
        <w:tc>
          <w:tcPr>
            <w:tcW w:w="2519"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57BF839F" w14:textId="7E6DFB80"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2.70/3.19/2.56/3.09</w:t>
            </w:r>
          </w:p>
        </w:tc>
        <w:tc>
          <w:tcPr>
            <w:tcW w:w="2454"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69295DED" w14:textId="5C564C8B"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0.41/0.67/0.21/0.76</w:t>
            </w:r>
          </w:p>
        </w:tc>
        <w:tc>
          <w:tcPr>
            <w:tcW w:w="1065"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73052DE7" w14:textId="75C351D3"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0.07</w:t>
            </w:r>
          </w:p>
        </w:tc>
        <w:tc>
          <w:tcPr>
            <w:tcW w:w="1130" w:type="dxa"/>
            <w:tcBorders>
              <w:top w:val="single" w:sz="4" w:space="0" w:color="auto"/>
              <w:left w:val="dotted" w:sz="4" w:space="0" w:color="auto"/>
              <w:bottom w:val="dotted" w:sz="4" w:space="0" w:color="auto"/>
            </w:tcBorders>
            <w:shd w:val="clear" w:color="auto" w:fill="F2F2F2" w:themeFill="background1" w:themeFillShade="F2"/>
            <w:vAlign w:val="center"/>
          </w:tcPr>
          <w:p w14:paraId="28BEEAD5" w14:textId="612709FB"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0.12</w:t>
            </w:r>
          </w:p>
        </w:tc>
      </w:tr>
      <w:tr w:rsidR="009311FD" w:rsidRPr="000300C6" w14:paraId="3B6E554C"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auto"/>
            <w:vAlign w:val="center"/>
          </w:tcPr>
          <w:p w14:paraId="5576B0CB" w14:textId="77777777" w:rsidR="009311FD" w:rsidRPr="000300C6" w:rsidRDefault="009311FD" w:rsidP="009311FD">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Propanoate metabolism</w:t>
            </w:r>
          </w:p>
          <w:p w14:paraId="65F86A49" w14:textId="456943AC" w:rsidR="009311FD" w:rsidRPr="000300C6" w:rsidRDefault="009311FD" w:rsidP="009311FD">
            <w:pPr>
              <w:spacing w:after="0"/>
              <w:rPr>
                <w:i/>
                <w:sz w:val="16"/>
                <w:szCs w:val="16"/>
              </w:rPr>
            </w:pPr>
            <w:r w:rsidRPr="000300C6">
              <w:rPr>
                <w:rFonts w:asciiTheme="minorHAnsi" w:eastAsiaTheme="minorHAnsi" w:hAnsiTheme="minorHAnsi" w:cstheme="minorBidi"/>
                <w:b w:val="0"/>
                <w:sz w:val="14"/>
                <w:szCs w:val="14"/>
                <w:lang w:val="en-GB"/>
              </w:rPr>
              <w:t>ko00640</w:t>
            </w:r>
          </w:p>
        </w:tc>
        <w:tc>
          <w:tcPr>
            <w:tcW w:w="2519" w:type="dxa"/>
            <w:tcBorders>
              <w:top w:val="dotted" w:sz="4" w:space="0" w:color="auto"/>
              <w:left w:val="dotted" w:sz="4" w:space="0" w:color="auto"/>
              <w:bottom w:val="dotted" w:sz="4" w:space="0" w:color="auto"/>
              <w:right w:val="dotted" w:sz="4" w:space="0" w:color="auto"/>
            </w:tcBorders>
            <w:shd w:val="clear" w:color="auto" w:fill="auto"/>
            <w:vAlign w:val="center"/>
          </w:tcPr>
          <w:p w14:paraId="06125C19" w14:textId="31B6C59D"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2.84/2.84/2.67/3.08</w:t>
            </w:r>
          </w:p>
        </w:tc>
        <w:tc>
          <w:tcPr>
            <w:tcW w:w="2454" w:type="dxa"/>
            <w:tcBorders>
              <w:top w:val="dotted" w:sz="4" w:space="0" w:color="auto"/>
              <w:left w:val="dotted" w:sz="4" w:space="0" w:color="auto"/>
              <w:bottom w:val="dotted" w:sz="4" w:space="0" w:color="auto"/>
              <w:right w:val="dotted" w:sz="4" w:space="0" w:color="auto"/>
            </w:tcBorders>
            <w:shd w:val="clear" w:color="auto" w:fill="auto"/>
            <w:vAlign w:val="center"/>
          </w:tcPr>
          <w:p w14:paraId="0963DBF0" w14:textId="4BC7F34C"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0.50/0.50/0.33/0.36</w:t>
            </w:r>
          </w:p>
        </w:tc>
        <w:tc>
          <w:tcPr>
            <w:tcW w:w="1065" w:type="dxa"/>
            <w:tcBorders>
              <w:top w:val="dotted" w:sz="4" w:space="0" w:color="auto"/>
              <w:left w:val="dotted" w:sz="4" w:space="0" w:color="auto"/>
              <w:bottom w:val="dotted" w:sz="4" w:space="0" w:color="auto"/>
              <w:right w:val="dotted" w:sz="4" w:space="0" w:color="auto"/>
            </w:tcBorders>
            <w:shd w:val="clear" w:color="auto" w:fill="auto"/>
            <w:vAlign w:val="center"/>
          </w:tcPr>
          <w:p w14:paraId="56F94A25" w14:textId="50CD8D97"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0.01</w:t>
            </w:r>
          </w:p>
        </w:tc>
        <w:tc>
          <w:tcPr>
            <w:tcW w:w="1130" w:type="dxa"/>
            <w:tcBorders>
              <w:top w:val="dotted" w:sz="4" w:space="0" w:color="auto"/>
              <w:left w:val="dotted" w:sz="4" w:space="0" w:color="auto"/>
              <w:bottom w:val="dotted" w:sz="4" w:space="0" w:color="auto"/>
            </w:tcBorders>
            <w:shd w:val="clear" w:color="auto" w:fill="auto"/>
            <w:vAlign w:val="center"/>
          </w:tcPr>
          <w:p w14:paraId="349E63FB" w14:textId="78BDB1AB"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0.78</w:t>
            </w:r>
          </w:p>
        </w:tc>
      </w:tr>
      <w:tr w:rsidR="009311FD" w:rsidRPr="000300C6" w14:paraId="7CF0F3C4"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0BA97167" w14:textId="77777777" w:rsidR="009311FD" w:rsidRPr="000300C6" w:rsidRDefault="009311FD" w:rsidP="009311FD">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degradation</w:t>
            </w:r>
          </w:p>
          <w:p w14:paraId="7B61D3BA" w14:textId="7E70452C" w:rsidR="009311FD" w:rsidRPr="000300C6" w:rsidRDefault="009311FD" w:rsidP="009311FD">
            <w:pPr>
              <w:spacing w:after="0"/>
              <w:rPr>
                <w:i/>
                <w:sz w:val="16"/>
                <w:szCs w:val="16"/>
              </w:rPr>
            </w:pPr>
            <w:r w:rsidRPr="000300C6">
              <w:rPr>
                <w:rFonts w:asciiTheme="minorHAnsi" w:eastAsiaTheme="minorHAnsi" w:hAnsiTheme="minorHAnsi" w:cstheme="minorBidi"/>
                <w:b w:val="0"/>
                <w:sz w:val="14"/>
                <w:szCs w:val="14"/>
                <w:lang w:val="en-GB"/>
              </w:rPr>
              <w:t>ko00071</w:t>
            </w:r>
          </w:p>
        </w:tc>
        <w:tc>
          <w:tcPr>
            <w:tcW w:w="25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3048F29" w14:textId="2055E8D4"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0.78/0.93/0.66/0.82</w:t>
            </w:r>
          </w:p>
        </w:tc>
        <w:tc>
          <w:tcPr>
            <w:tcW w:w="24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0F51D32" w14:textId="1AD1E2A9"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0.19/0.24/0.12/0.63</w:t>
            </w:r>
          </w:p>
        </w:tc>
        <w:tc>
          <w:tcPr>
            <w:tcW w:w="106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66DC009" w14:textId="00F1387A"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0.04</w:t>
            </w:r>
          </w:p>
        </w:tc>
        <w:tc>
          <w:tcPr>
            <w:tcW w:w="1130" w:type="dxa"/>
            <w:tcBorders>
              <w:top w:val="dotted" w:sz="4" w:space="0" w:color="auto"/>
              <w:left w:val="dotted" w:sz="4" w:space="0" w:color="auto"/>
              <w:bottom w:val="dotted" w:sz="4" w:space="0" w:color="auto"/>
            </w:tcBorders>
            <w:shd w:val="clear" w:color="auto" w:fill="F2F2F2" w:themeFill="background1" w:themeFillShade="F2"/>
            <w:vAlign w:val="center"/>
          </w:tcPr>
          <w:p w14:paraId="5B6CEDF0" w14:textId="411053F2"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0.33</w:t>
            </w:r>
          </w:p>
        </w:tc>
      </w:tr>
      <w:tr w:rsidR="009311FD" w:rsidRPr="000300C6" w14:paraId="47AC2702"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auto"/>
            <w:vAlign w:val="center"/>
          </w:tcPr>
          <w:p w14:paraId="27C61EDB" w14:textId="77777777" w:rsidR="009311FD" w:rsidRPr="000300C6" w:rsidRDefault="009311FD" w:rsidP="009311FD">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metabolism</w:t>
            </w:r>
          </w:p>
          <w:p w14:paraId="42C48F67" w14:textId="769A8EED" w:rsidR="009311FD" w:rsidRPr="000300C6" w:rsidRDefault="009311FD" w:rsidP="009311FD">
            <w:pPr>
              <w:spacing w:after="0"/>
              <w:rPr>
                <w:i/>
                <w:sz w:val="16"/>
                <w:szCs w:val="16"/>
              </w:rPr>
            </w:pPr>
            <w:r w:rsidRPr="000300C6">
              <w:rPr>
                <w:rFonts w:asciiTheme="minorHAnsi" w:eastAsiaTheme="minorHAnsi" w:hAnsiTheme="minorHAnsi" w:cstheme="minorBidi"/>
                <w:b w:val="0"/>
                <w:sz w:val="14"/>
                <w:szCs w:val="14"/>
                <w:lang w:val="en-GB"/>
              </w:rPr>
              <w:t>ko01212</w:t>
            </w:r>
          </w:p>
        </w:tc>
        <w:tc>
          <w:tcPr>
            <w:tcW w:w="2519" w:type="dxa"/>
            <w:tcBorders>
              <w:top w:val="dotted" w:sz="4" w:space="0" w:color="auto"/>
              <w:left w:val="dotted" w:sz="4" w:space="0" w:color="auto"/>
              <w:bottom w:val="dotted" w:sz="4" w:space="0" w:color="auto"/>
              <w:right w:val="dotted" w:sz="4" w:space="0" w:color="auto"/>
            </w:tcBorders>
            <w:shd w:val="clear" w:color="auto" w:fill="auto"/>
            <w:vAlign w:val="center"/>
          </w:tcPr>
          <w:p w14:paraId="09BE3D29" w14:textId="2A714A86"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2.96/2.91/2.84/2.48</w:t>
            </w:r>
          </w:p>
        </w:tc>
        <w:tc>
          <w:tcPr>
            <w:tcW w:w="2454" w:type="dxa"/>
            <w:tcBorders>
              <w:top w:val="dotted" w:sz="4" w:space="0" w:color="auto"/>
              <w:left w:val="dotted" w:sz="4" w:space="0" w:color="auto"/>
              <w:bottom w:val="dotted" w:sz="4" w:space="0" w:color="auto"/>
              <w:right w:val="dotted" w:sz="4" w:space="0" w:color="auto"/>
            </w:tcBorders>
            <w:shd w:val="clear" w:color="auto" w:fill="auto"/>
            <w:vAlign w:val="center"/>
          </w:tcPr>
          <w:p w14:paraId="623D0018" w14:textId="5744D34A"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0.15/0.08/0.17/0.48</w:t>
            </w:r>
          </w:p>
        </w:tc>
        <w:tc>
          <w:tcPr>
            <w:tcW w:w="1065" w:type="dxa"/>
            <w:tcBorders>
              <w:top w:val="dotted" w:sz="4" w:space="0" w:color="auto"/>
              <w:left w:val="dotted" w:sz="4" w:space="0" w:color="auto"/>
              <w:bottom w:val="dotted" w:sz="4" w:space="0" w:color="auto"/>
              <w:right w:val="dotted" w:sz="4" w:space="0" w:color="auto"/>
            </w:tcBorders>
            <w:shd w:val="clear" w:color="auto" w:fill="auto"/>
            <w:vAlign w:val="center"/>
          </w:tcPr>
          <w:p w14:paraId="59398D62" w14:textId="066AAB35"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0.19</w:t>
            </w:r>
          </w:p>
        </w:tc>
        <w:tc>
          <w:tcPr>
            <w:tcW w:w="1130" w:type="dxa"/>
            <w:tcBorders>
              <w:top w:val="dotted" w:sz="4" w:space="0" w:color="auto"/>
              <w:left w:val="dotted" w:sz="4" w:space="0" w:color="auto"/>
              <w:bottom w:val="dotted" w:sz="4" w:space="0" w:color="auto"/>
            </w:tcBorders>
            <w:shd w:val="clear" w:color="auto" w:fill="auto"/>
            <w:vAlign w:val="center"/>
          </w:tcPr>
          <w:p w14:paraId="0FF1BB53" w14:textId="4536C441"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sz w:val="14"/>
                <w:szCs w:val="14"/>
              </w:rPr>
            </w:pPr>
            <w:r w:rsidRPr="000300C6">
              <w:rPr>
                <w:rFonts w:eastAsia="Times New Roman" w:cs="Calibri"/>
                <w:color w:val="000000"/>
                <w:sz w:val="14"/>
                <w:szCs w:val="14"/>
                <w:lang w:eastAsia="en-GB"/>
              </w:rPr>
              <w:t>0.0006</w:t>
            </w:r>
          </w:p>
        </w:tc>
      </w:tr>
      <w:tr w:rsidR="009311FD" w:rsidRPr="000300C6" w14:paraId="24EDCDEB"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2E8D780C" w14:textId="77777777" w:rsidR="009311FD" w:rsidRPr="000300C6" w:rsidRDefault="009311FD" w:rsidP="009311FD">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Metabolic pathways</w:t>
            </w:r>
          </w:p>
          <w:p w14:paraId="3A74D3FB" w14:textId="04431ECF" w:rsidR="009311FD" w:rsidRPr="000300C6" w:rsidRDefault="009311FD" w:rsidP="009311FD">
            <w:pPr>
              <w:spacing w:after="0"/>
              <w:rPr>
                <w:i/>
                <w:sz w:val="16"/>
                <w:szCs w:val="16"/>
              </w:rPr>
            </w:pPr>
            <w:r w:rsidRPr="000300C6">
              <w:rPr>
                <w:rFonts w:asciiTheme="minorHAnsi" w:eastAsiaTheme="minorHAnsi" w:hAnsiTheme="minorHAnsi" w:cstheme="minorBidi"/>
                <w:b w:val="0"/>
                <w:sz w:val="14"/>
                <w:szCs w:val="14"/>
                <w:lang w:val="en-GB"/>
              </w:rPr>
              <w:t>ko01100</w:t>
            </w:r>
          </w:p>
        </w:tc>
        <w:tc>
          <w:tcPr>
            <w:tcW w:w="2519"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2EF51EB3" w14:textId="6113CDB3"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90.72/90.13/91.27/90.53</w:t>
            </w:r>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0CA77CB1" w14:textId="4FC72EEF"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0.97/1.28/0.31/2.23</w:t>
            </w:r>
          </w:p>
        </w:tc>
        <w:tc>
          <w:tcPr>
            <w:tcW w:w="1065"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1067469B" w14:textId="276057AC"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0.03</w:t>
            </w:r>
          </w:p>
        </w:tc>
        <w:tc>
          <w:tcPr>
            <w:tcW w:w="1130" w:type="dxa"/>
            <w:tcBorders>
              <w:top w:val="dotted" w:sz="4" w:space="0" w:color="auto"/>
              <w:left w:val="dotted" w:sz="4" w:space="0" w:color="auto"/>
              <w:bottom w:val="single" w:sz="4" w:space="0" w:color="auto"/>
            </w:tcBorders>
            <w:shd w:val="clear" w:color="auto" w:fill="F2F2F2" w:themeFill="background1" w:themeFillShade="F2"/>
            <w:vAlign w:val="center"/>
          </w:tcPr>
          <w:p w14:paraId="650C538A" w14:textId="36103AF3" w:rsidR="009311FD" w:rsidRPr="000300C6" w:rsidRDefault="009311FD"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eastAsia="Times New Roman" w:cs="Calibri"/>
                <w:b w:val="0"/>
                <w:color w:val="000000"/>
                <w:sz w:val="14"/>
                <w:szCs w:val="14"/>
                <w:lang w:eastAsia="en-GB"/>
              </w:rPr>
              <w:t>0.43</w:t>
            </w:r>
          </w:p>
        </w:tc>
      </w:tr>
      <w:tr w:rsidR="009311FD" w:rsidRPr="000300C6" w14:paraId="76CA28F4" w14:textId="77777777" w:rsidTr="00C2062E">
        <w:trPr>
          <w:cnfStyle w:val="100000000000" w:firstRow="1" w:lastRow="0" w:firstColumn="0" w:lastColumn="0" w:oddVBand="0" w:evenVBand="0" w:oddHBand="0" w:evenHBand="0" w:firstRowFirstColumn="0" w:firstRowLastColumn="0" w:lastRowFirstColumn="0" w:lastRowLastColumn="0"/>
          <w:cantSplit/>
          <w:trHeight w:val="397"/>
          <w:tblHeader/>
          <w:jc w:val="center"/>
        </w:trPr>
        <w:tc>
          <w:tcPr>
            <w:cnfStyle w:val="001000000000" w:firstRow="0" w:lastRow="0" w:firstColumn="1" w:lastColumn="0" w:oddVBand="0" w:evenVBand="0" w:oddHBand="0" w:evenHBand="0" w:firstRowFirstColumn="0" w:firstRowLastColumn="0" w:lastRowFirstColumn="0" w:lastRowLastColumn="0"/>
            <w:tcW w:w="8949" w:type="dxa"/>
            <w:gridSpan w:val="5"/>
            <w:tcBorders>
              <w:top w:val="double" w:sz="4" w:space="0" w:color="auto"/>
              <w:left w:val="single" w:sz="4" w:space="0" w:color="auto"/>
              <w:bottom w:val="single" w:sz="4" w:space="0" w:color="auto"/>
            </w:tcBorders>
            <w:shd w:val="clear" w:color="auto" w:fill="FFFFFF" w:themeFill="background1"/>
            <w:vAlign w:val="center"/>
          </w:tcPr>
          <w:p w14:paraId="41E7DB05" w14:textId="3FE25919" w:rsidR="009311FD" w:rsidRPr="000300C6" w:rsidRDefault="009311FD" w:rsidP="009311FD">
            <w:pPr>
              <w:spacing w:after="0"/>
              <w:jc w:val="center"/>
              <w:rPr>
                <w:sz w:val="16"/>
                <w:szCs w:val="16"/>
              </w:rPr>
            </w:pPr>
            <w:r w:rsidRPr="000300C6">
              <w:rPr>
                <w:caps/>
                <w:sz w:val="16"/>
                <w:szCs w:val="16"/>
              </w:rPr>
              <w:t>HISTORICAL toxicity – cro diarrhoea</w:t>
            </w:r>
          </w:p>
        </w:tc>
      </w:tr>
      <w:tr w:rsidR="00C2062E" w:rsidRPr="000300C6" w14:paraId="7AAF44C7"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single" w:sz="4" w:space="0" w:color="auto"/>
              <w:left w:val="single" w:sz="4" w:space="0" w:color="auto"/>
              <w:bottom w:val="dotted" w:sz="4" w:space="0" w:color="auto"/>
              <w:right w:val="dotted" w:sz="4" w:space="0" w:color="auto"/>
            </w:tcBorders>
            <w:shd w:val="clear" w:color="auto" w:fill="F2F2F2" w:themeFill="background1" w:themeFillShade="F2"/>
            <w:vAlign w:val="center"/>
          </w:tcPr>
          <w:p w14:paraId="08D717B9" w14:textId="77777777" w:rsidR="00C2062E" w:rsidRPr="000300C6" w:rsidRDefault="00C2062E" w:rsidP="00C2062E">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Butanoate metabolism</w:t>
            </w:r>
          </w:p>
          <w:p w14:paraId="6E099426" w14:textId="3EB5D76B" w:rsidR="00C2062E" w:rsidRPr="000300C6" w:rsidRDefault="00C2062E" w:rsidP="00C2062E">
            <w:pPr>
              <w:spacing w:after="0"/>
              <w:rPr>
                <w:i/>
                <w:sz w:val="16"/>
                <w:szCs w:val="16"/>
              </w:rPr>
            </w:pPr>
            <w:r w:rsidRPr="000300C6">
              <w:rPr>
                <w:rFonts w:asciiTheme="minorHAnsi" w:eastAsiaTheme="minorHAnsi" w:hAnsiTheme="minorHAnsi" w:cstheme="minorBidi"/>
                <w:b w:val="0"/>
                <w:sz w:val="14"/>
                <w:szCs w:val="14"/>
                <w:lang w:val="en-GB"/>
              </w:rPr>
              <w:t>ko00650</w:t>
            </w:r>
          </w:p>
        </w:tc>
        <w:tc>
          <w:tcPr>
            <w:tcW w:w="2519"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00856288" w14:textId="023E024B"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2.72/2.82/2.61/2.60</w:t>
            </w:r>
          </w:p>
        </w:tc>
        <w:tc>
          <w:tcPr>
            <w:tcW w:w="2454"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18219E1A" w14:textId="1FEAB5BD"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0.42/0.60/0.33/0.27</w:t>
            </w:r>
          </w:p>
        </w:tc>
        <w:tc>
          <w:tcPr>
            <w:tcW w:w="1065"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14:paraId="5CBB02BE" w14:textId="0A4AD9E0"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0.02</w:t>
            </w:r>
          </w:p>
        </w:tc>
        <w:tc>
          <w:tcPr>
            <w:tcW w:w="1130" w:type="dxa"/>
            <w:tcBorders>
              <w:top w:val="single" w:sz="4" w:space="0" w:color="auto"/>
              <w:left w:val="dotted" w:sz="4" w:space="0" w:color="auto"/>
              <w:bottom w:val="dotted" w:sz="4" w:space="0" w:color="auto"/>
            </w:tcBorders>
            <w:shd w:val="clear" w:color="auto" w:fill="F2F2F2" w:themeFill="background1" w:themeFillShade="F2"/>
            <w:vAlign w:val="center"/>
          </w:tcPr>
          <w:p w14:paraId="0D651A51" w14:textId="7495120E"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0.66</w:t>
            </w:r>
          </w:p>
        </w:tc>
      </w:tr>
      <w:tr w:rsidR="00C2062E" w:rsidRPr="000300C6" w14:paraId="3030F6DE"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auto"/>
            <w:vAlign w:val="center"/>
          </w:tcPr>
          <w:p w14:paraId="6115FB16" w14:textId="77777777" w:rsidR="00C2062E" w:rsidRPr="000300C6" w:rsidRDefault="00C2062E" w:rsidP="00C2062E">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Propanoate metabolism</w:t>
            </w:r>
          </w:p>
          <w:p w14:paraId="338AA5D7" w14:textId="234E6551" w:rsidR="00C2062E" w:rsidRPr="000300C6" w:rsidRDefault="00C2062E" w:rsidP="00C2062E">
            <w:pPr>
              <w:spacing w:after="0"/>
              <w:rPr>
                <w:i/>
                <w:sz w:val="16"/>
                <w:szCs w:val="16"/>
              </w:rPr>
            </w:pPr>
            <w:r w:rsidRPr="000300C6">
              <w:rPr>
                <w:rFonts w:asciiTheme="minorHAnsi" w:eastAsiaTheme="minorHAnsi" w:hAnsiTheme="minorHAnsi" w:cstheme="minorBidi"/>
                <w:b w:val="0"/>
                <w:sz w:val="14"/>
                <w:szCs w:val="14"/>
                <w:lang w:val="en-GB"/>
              </w:rPr>
              <w:t>ko00640</w:t>
            </w:r>
          </w:p>
        </w:tc>
        <w:tc>
          <w:tcPr>
            <w:tcW w:w="2519" w:type="dxa"/>
            <w:tcBorders>
              <w:top w:val="dotted" w:sz="4" w:space="0" w:color="auto"/>
              <w:left w:val="dotted" w:sz="4" w:space="0" w:color="auto"/>
              <w:bottom w:val="dotted" w:sz="4" w:space="0" w:color="auto"/>
              <w:right w:val="dotted" w:sz="4" w:space="0" w:color="auto"/>
            </w:tcBorders>
            <w:shd w:val="clear" w:color="auto" w:fill="auto"/>
            <w:vAlign w:val="center"/>
          </w:tcPr>
          <w:p w14:paraId="6908F096" w14:textId="15E29F52"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2.84/2.99/2.72/2.50</w:t>
            </w:r>
          </w:p>
        </w:tc>
        <w:tc>
          <w:tcPr>
            <w:tcW w:w="2454" w:type="dxa"/>
            <w:tcBorders>
              <w:top w:val="dotted" w:sz="4" w:space="0" w:color="auto"/>
              <w:left w:val="dotted" w:sz="4" w:space="0" w:color="auto"/>
              <w:bottom w:val="dotted" w:sz="4" w:space="0" w:color="auto"/>
              <w:right w:val="dotted" w:sz="4" w:space="0" w:color="auto"/>
            </w:tcBorders>
            <w:shd w:val="clear" w:color="auto" w:fill="auto"/>
            <w:vAlign w:val="center"/>
          </w:tcPr>
          <w:p w14:paraId="17028F46" w14:textId="3206C68F"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0.53/0.46/0.35/0.21</w:t>
            </w:r>
          </w:p>
        </w:tc>
        <w:tc>
          <w:tcPr>
            <w:tcW w:w="1065" w:type="dxa"/>
            <w:tcBorders>
              <w:top w:val="dotted" w:sz="4" w:space="0" w:color="auto"/>
              <w:left w:val="dotted" w:sz="4" w:space="0" w:color="auto"/>
              <w:bottom w:val="dotted" w:sz="4" w:space="0" w:color="auto"/>
              <w:right w:val="dotted" w:sz="4" w:space="0" w:color="auto"/>
            </w:tcBorders>
            <w:shd w:val="clear" w:color="auto" w:fill="auto"/>
            <w:vAlign w:val="center"/>
          </w:tcPr>
          <w:p w14:paraId="583F2FAB" w14:textId="48FC3783"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0.03</w:t>
            </w:r>
          </w:p>
        </w:tc>
        <w:tc>
          <w:tcPr>
            <w:tcW w:w="1130" w:type="dxa"/>
            <w:tcBorders>
              <w:top w:val="dotted" w:sz="4" w:space="0" w:color="auto"/>
              <w:left w:val="dotted" w:sz="4" w:space="0" w:color="auto"/>
              <w:bottom w:val="dotted" w:sz="4" w:space="0" w:color="auto"/>
            </w:tcBorders>
            <w:shd w:val="clear" w:color="auto" w:fill="auto"/>
            <w:vAlign w:val="center"/>
          </w:tcPr>
          <w:p w14:paraId="0B1498A7" w14:textId="0EEA7515"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0300C6">
              <w:rPr>
                <w:rFonts w:cs="Calibri"/>
                <w:b w:val="0"/>
                <w:color w:val="000000"/>
                <w:sz w:val="14"/>
                <w:szCs w:val="14"/>
              </w:rPr>
              <w:t>0.4</w:t>
            </w:r>
          </w:p>
        </w:tc>
      </w:tr>
      <w:tr w:rsidR="00C2062E" w:rsidRPr="000300C6" w14:paraId="3CBECAD7"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1191A49A" w14:textId="77777777" w:rsidR="00C2062E" w:rsidRPr="000300C6" w:rsidRDefault="00C2062E" w:rsidP="00C2062E">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degradation</w:t>
            </w:r>
          </w:p>
          <w:p w14:paraId="5B6CAB55" w14:textId="1B646910" w:rsidR="00C2062E" w:rsidRPr="000300C6" w:rsidRDefault="00C2062E" w:rsidP="00C2062E">
            <w:pPr>
              <w:spacing w:after="0"/>
              <w:rPr>
                <w:rFonts w:asciiTheme="minorHAnsi" w:eastAsiaTheme="minorHAnsi" w:hAnsiTheme="minorHAnsi" w:cstheme="minorBidi"/>
                <w:i/>
                <w:sz w:val="16"/>
                <w:szCs w:val="16"/>
                <w:lang w:val="en-GB"/>
              </w:rPr>
            </w:pPr>
            <w:r w:rsidRPr="000300C6">
              <w:rPr>
                <w:rFonts w:asciiTheme="minorHAnsi" w:eastAsiaTheme="minorHAnsi" w:hAnsiTheme="minorHAnsi" w:cstheme="minorBidi"/>
                <w:b w:val="0"/>
                <w:sz w:val="14"/>
                <w:szCs w:val="14"/>
                <w:lang w:val="en-GB"/>
              </w:rPr>
              <w:t>ko00071</w:t>
            </w:r>
          </w:p>
        </w:tc>
        <w:tc>
          <w:tcPr>
            <w:tcW w:w="25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2F5C00E" w14:textId="539A6DF6"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0.79/0.82/0.72/0.52</w:t>
            </w:r>
          </w:p>
        </w:tc>
        <w:tc>
          <w:tcPr>
            <w:tcW w:w="24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8D5D3AB" w14:textId="66794D35"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0.20/0.28/0.15/0.33</w:t>
            </w:r>
          </w:p>
        </w:tc>
        <w:tc>
          <w:tcPr>
            <w:tcW w:w="106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E262742" w14:textId="5693D819"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0.05</w:t>
            </w:r>
          </w:p>
        </w:tc>
        <w:tc>
          <w:tcPr>
            <w:tcW w:w="1130" w:type="dxa"/>
            <w:tcBorders>
              <w:top w:val="dotted" w:sz="4" w:space="0" w:color="auto"/>
              <w:left w:val="dotted" w:sz="4" w:space="0" w:color="auto"/>
              <w:bottom w:val="dotted" w:sz="4" w:space="0" w:color="auto"/>
            </w:tcBorders>
            <w:shd w:val="clear" w:color="auto" w:fill="F2F2F2" w:themeFill="background1" w:themeFillShade="F2"/>
            <w:vAlign w:val="center"/>
          </w:tcPr>
          <w:p w14:paraId="38BCC42D" w14:textId="00D61BDD"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0.22</w:t>
            </w:r>
          </w:p>
        </w:tc>
      </w:tr>
      <w:tr w:rsidR="00C2062E" w:rsidRPr="000300C6" w14:paraId="78AB415F"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dotted" w:sz="4" w:space="0" w:color="auto"/>
              <w:right w:val="dotted" w:sz="4" w:space="0" w:color="auto"/>
            </w:tcBorders>
            <w:shd w:val="clear" w:color="auto" w:fill="auto"/>
            <w:vAlign w:val="center"/>
          </w:tcPr>
          <w:p w14:paraId="761F385E" w14:textId="77777777" w:rsidR="00C2062E" w:rsidRPr="000300C6" w:rsidRDefault="00C2062E" w:rsidP="00C2062E">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Fatty acid metabolism</w:t>
            </w:r>
          </w:p>
          <w:p w14:paraId="3F69303F" w14:textId="26C258C6" w:rsidR="00C2062E" w:rsidRPr="000300C6" w:rsidRDefault="00C2062E" w:rsidP="00C2062E">
            <w:pPr>
              <w:spacing w:after="0"/>
              <w:rPr>
                <w:rFonts w:asciiTheme="minorHAnsi" w:eastAsiaTheme="minorHAnsi" w:hAnsiTheme="minorHAnsi" w:cstheme="minorBidi"/>
                <w:i/>
                <w:sz w:val="16"/>
                <w:szCs w:val="16"/>
                <w:lang w:val="en-GB"/>
              </w:rPr>
            </w:pPr>
            <w:r w:rsidRPr="000300C6">
              <w:rPr>
                <w:rFonts w:asciiTheme="minorHAnsi" w:eastAsiaTheme="minorHAnsi" w:hAnsiTheme="minorHAnsi" w:cstheme="minorBidi"/>
                <w:b w:val="0"/>
                <w:sz w:val="14"/>
                <w:szCs w:val="14"/>
                <w:lang w:val="en-GB"/>
              </w:rPr>
              <w:t>ko01212</w:t>
            </w:r>
          </w:p>
        </w:tc>
        <w:tc>
          <w:tcPr>
            <w:tcW w:w="2519" w:type="dxa"/>
            <w:tcBorders>
              <w:top w:val="dotted" w:sz="4" w:space="0" w:color="auto"/>
              <w:left w:val="dotted" w:sz="4" w:space="0" w:color="auto"/>
              <w:bottom w:val="dotted" w:sz="4" w:space="0" w:color="auto"/>
              <w:right w:val="dotted" w:sz="4" w:space="0" w:color="auto"/>
            </w:tcBorders>
            <w:shd w:val="clear" w:color="auto" w:fill="auto"/>
            <w:vAlign w:val="center"/>
          </w:tcPr>
          <w:p w14:paraId="416CBC4D" w14:textId="30F7AC87"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2.96/2.99/2.89/2.47</w:t>
            </w:r>
          </w:p>
        </w:tc>
        <w:tc>
          <w:tcPr>
            <w:tcW w:w="2454" w:type="dxa"/>
            <w:tcBorders>
              <w:top w:val="dotted" w:sz="4" w:space="0" w:color="auto"/>
              <w:left w:val="dotted" w:sz="4" w:space="0" w:color="auto"/>
              <w:bottom w:val="dotted" w:sz="4" w:space="0" w:color="auto"/>
              <w:right w:val="dotted" w:sz="4" w:space="0" w:color="auto"/>
            </w:tcBorders>
            <w:shd w:val="clear" w:color="auto" w:fill="auto"/>
            <w:vAlign w:val="center"/>
          </w:tcPr>
          <w:p w14:paraId="0380A088" w14:textId="28A27636"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0.14/0.12/0.19/0.47</w:t>
            </w:r>
          </w:p>
        </w:tc>
        <w:tc>
          <w:tcPr>
            <w:tcW w:w="1065" w:type="dxa"/>
            <w:tcBorders>
              <w:top w:val="dotted" w:sz="4" w:space="0" w:color="auto"/>
              <w:left w:val="dotted" w:sz="4" w:space="0" w:color="auto"/>
              <w:bottom w:val="dotted" w:sz="4" w:space="0" w:color="auto"/>
              <w:right w:val="dotted" w:sz="4" w:space="0" w:color="auto"/>
            </w:tcBorders>
            <w:shd w:val="clear" w:color="auto" w:fill="auto"/>
            <w:vAlign w:val="center"/>
          </w:tcPr>
          <w:p w14:paraId="789B2A9D" w14:textId="7B9DB950"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0.19</w:t>
            </w:r>
          </w:p>
        </w:tc>
        <w:tc>
          <w:tcPr>
            <w:tcW w:w="1130" w:type="dxa"/>
            <w:tcBorders>
              <w:top w:val="dotted" w:sz="4" w:space="0" w:color="auto"/>
              <w:left w:val="dotted" w:sz="4" w:space="0" w:color="auto"/>
              <w:bottom w:val="dotted" w:sz="4" w:space="0" w:color="auto"/>
            </w:tcBorders>
            <w:shd w:val="clear" w:color="auto" w:fill="auto"/>
            <w:vAlign w:val="center"/>
          </w:tcPr>
          <w:p w14:paraId="73BEC57D" w14:textId="6CDB2364"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4"/>
                <w:szCs w:val="14"/>
                <w:lang w:val="en-GB"/>
              </w:rPr>
            </w:pPr>
            <w:r w:rsidRPr="000300C6">
              <w:rPr>
                <w:rFonts w:cs="Calibri"/>
                <w:color w:val="000000"/>
                <w:sz w:val="14"/>
                <w:szCs w:val="14"/>
              </w:rPr>
              <w:t>0.0007</w:t>
            </w:r>
          </w:p>
        </w:tc>
      </w:tr>
      <w:tr w:rsidR="00C2062E" w:rsidRPr="000300C6" w14:paraId="3AC2BA2A" w14:textId="77777777" w:rsidTr="00C2062E">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81" w:type="dxa"/>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08D469B1" w14:textId="77777777" w:rsidR="00C2062E" w:rsidRPr="000300C6" w:rsidRDefault="00C2062E" w:rsidP="00C2062E">
            <w:pPr>
              <w:spacing w:after="0" w:line="240" w:lineRule="auto"/>
              <w:rPr>
                <w:rFonts w:asciiTheme="minorHAnsi" w:eastAsiaTheme="minorHAnsi" w:hAnsiTheme="minorHAnsi" w:cstheme="minorBidi"/>
                <w:b w:val="0"/>
                <w:bCs w:val="0"/>
                <w:sz w:val="14"/>
                <w:szCs w:val="14"/>
                <w:lang w:val="en-GB"/>
              </w:rPr>
            </w:pPr>
            <w:r w:rsidRPr="000300C6">
              <w:rPr>
                <w:rFonts w:asciiTheme="minorHAnsi" w:eastAsiaTheme="minorHAnsi" w:hAnsiTheme="minorHAnsi" w:cstheme="minorBidi"/>
                <w:sz w:val="14"/>
                <w:szCs w:val="14"/>
                <w:lang w:val="en-GB"/>
              </w:rPr>
              <w:t>Metabolic pathways</w:t>
            </w:r>
          </w:p>
          <w:p w14:paraId="6C863357" w14:textId="57E762E5" w:rsidR="00C2062E" w:rsidRPr="000300C6" w:rsidRDefault="00C2062E" w:rsidP="00C2062E">
            <w:pPr>
              <w:spacing w:after="0"/>
              <w:rPr>
                <w:rFonts w:asciiTheme="minorHAnsi" w:eastAsiaTheme="minorHAnsi" w:hAnsiTheme="minorHAnsi" w:cstheme="minorBidi"/>
                <w:i/>
                <w:sz w:val="16"/>
                <w:szCs w:val="16"/>
                <w:lang w:val="en-GB"/>
              </w:rPr>
            </w:pPr>
            <w:r w:rsidRPr="000300C6">
              <w:rPr>
                <w:rFonts w:asciiTheme="minorHAnsi" w:eastAsiaTheme="minorHAnsi" w:hAnsiTheme="minorHAnsi" w:cstheme="minorBidi"/>
                <w:b w:val="0"/>
                <w:sz w:val="14"/>
                <w:szCs w:val="14"/>
                <w:lang w:val="en-GB"/>
              </w:rPr>
              <w:t>ko01100</w:t>
            </w:r>
          </w:p>
        </w:tc>
        <w:tc>
          <w:tcPr>
            <w:tcW w:w="2519"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736C7648" w14:textId="2DE99629"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90.69/90.38/91.05/91.91</w:t>
            </w:r>
          </w:p>
        </w:tc>
        <w:tc>
          <w:tcPr>
            <w:tcW w:w="2454"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230294BB" w14:textId="75326CD9"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1.02/1.19/0.59/0.86</w:t>
            </w:r>
          </w:p>
        </w:tc>
        <w:tc>
          <w:tcPr>
            <w:tcW w:w="1065"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14:paraId="3510850E" w14:textId="2A86A563"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0.07</w:t>
            </w:r>
          </w:p>
        </w:tc>
        <w:tc>
          <w:tcPr>
            <w:tcW w:w="1130" w:type="dxa"/>
            <w:tcBorders>
              <w:top w:val="dotted" w:sz="4" w:space="0" w:color="auto"/>
              <w:left w:val="dotted" w:sz="4" w:space="0" w:color="auto"/>
              <w:bottom w:val="single" w:sz="4" w:space="0" w:color="auto"/>
            </w:tcBorders>
            <w:shd w:val="clear" w:color="auto" w:fill="F2F2F2" w:themeFill="background1" w:themeFillShade="F2"/>
            <w:vAlign w:val="center"/>
          </w:tcPr>
          <w:p w14:paraId="55CD29A0" w14:textId="0A8397D1" w:rsidR="00C2062E" w:rsidRPr="000300C6" w:rsidRDefault="00C2062E" w:rsidP="00C2062E">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sz w:val="14"/>
                <w:szCs w:val="14"/>
                <w:lang w:val="en-GB"/>
              </w:rPr>
            </w:pPr>
            <w:r w:rsidRPr="000300C6">
              <w:rPr>
                <w:rFonts w:cs="Calibri"/>
                <w:b w:val="0"/>
                <w:color w:val="000000"/>
                <w:sz w:val="14"/>
                <w:szCs w:val="14"/>
              </w:rPr>
              <w:t>0.13</w:t>
            </w:r>
          </w:p>
        </w:tc>
      </w:tr>
    </w:tbl>
    <w:p w14:paraId="1A6BE227" w14:textId="46AAB89D" w:rsidR="00E16650" w:rsidRPr="000300C6" w:rsidRDefault="00E16650" w:rsidP="007B53B7">
      <w:pPr>
        <w:pStyle w:val="Caption"/>
        <w:rPr>
          <w:lang w:val="en-US"/>
        </w:rPr>
      </w:pPr>
    </w:p>
    <w:p w14:paraId="1E7937D4" w14:textId="77777777" w:rsidR="009311FD" w:rsidRPr="000300C6" w:rsidRDefault="009311FD" w:rsidP="009311FD">
      <w:pPr>
        <w:rPr>
          <w:lang w:val="en-US"/>
        </w:rPr>
      </w:pPr>
    </w:p>
    <w:p w14:paraId="3C0A1FCA" w14:textId="792793AA" w:rsidR="007B53B7" w:rsidRPr="000300C6" w:rsidRDefault="007B53B7" w:rsidP="007B53B7">
      <w:pPr>
        <w:pStyle w:val="Caption"/>
      </w:pPr>
      <w:r w:rsidRPr="000300C6">
        <w:t>Table SUPP-</w:t>
      </w:r>
      <w:r w:rsidR="00BC2AB8" w:rsidRPr="000300C6">
        <w:t>1</w:t>
      </w:r>
      <w:r w:rsidR="00277C1F" w:rsidRPr="000300C6">
        <w:t>5</w:t>
      </w:r>
      <w:r w:rsidRPr="000300C6">
        <w:t xml:space="preserve">: </w:t>
      </w:r>
      <w:r w:rsidRPr="000300C6">
        <w:rPr>
          <w:b w:val="0"/>
        </w:rPr>
        <w:t>Differences in histology scores (colonoscopy cohort).</w:t>
      </w:r>
      <w:bookmarkEnd w:id="16"/>
    </w:p>
    <w:tbl>
      <w:tblPr>
        <w:tblStyle w:val="PlainTable2"/>
        <w:tblW w:w="0" w:type="auto"/>
        <w:jc w:val="center"/>
        <w:tblInd w:w="0" w:type="dxa"/>
        <w:tblLook w:val="04A0" w:firstRow="1" w:lastRow="0" w:firstColumn="1" w:lastColumn="0" w:noHBand="0" w:noVBand="1"/>
      </w:tblPr>
      <w:tblGrid>
        <w:gridCol w:w="1401"/>
        <w:gridCol w:w="992"/>
        <w:gridCol w:w="1039"/>
        <w:gridCol w:w="940"/>
        <w:gridCol w:w="917"/>
        <w:gridCol w:w="941"/>
        <w:gridCol w:w="1023"/>
        <w:gridCol w:w="936"/>
        <w:gridCol w:w="827"/>
      </w:tblGrid>
      <w:tr w:rsidR="007B53B7" w:rsidRPr="000300C6" w14:paraId="3A69A59A" w14:textId="77777777" w:rsidTr="006B2955">
        <w:trPr>
          <w:cnfStyle w:val="100000000000" w:firstRow="1" w:lastRow="0" w:firstColumn="0" w:lastColumn="0" w:oddVBand="0" w:evenVBand="0" w:oddHBand="0"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401" w:type="dxa"/>
            <w:tcBorders>
              <w:top w:val="single" w:sz="4" w:space="0" w:color="7F7F7F" w:themeColor="text1" w:themeTint="80"/>
              <w:left w:val="single" w:sz="4" w:space="0" w:color="7F7F7F" w:themeColor="text1" w:themeTint="80"/>
              <w:bottom w:val="nil"/>
              <w:right w:val="nil"/>
            </w:tcBorders>
            <w:shd w:val="clear" w:color="auto" w:fill="F2F2F2" w:themeFill="background1" w:themeFillShade="F2"/>
            <w:vAlign w:val="center"/>
            <w:hideMark/>
          </w:tcPr>
          <w:p w14:paraId="6B726E35" w14:textId="77777777" w:rsidR="007B53B7" w:rsidRPr="000300C6" w:rsidRDefault="007B53B7" w:rsidP="006B2955">
            <w:pPr>
              <w:jc w:val="center"/>
              <w:rPr>
                <w:sz w:val="16"/>
                <w:szCs w:val="16"/>
                <w:lang w:eastAsia="en-GB"/>
              </w:rPr>
            </w:pPr>
            <w:r w:rsidRPr="000300C6">
              <w:rPr>
                <w:sz w:val="16"/>
                <w:szCs w:val="16"/>
                <w:lang w:eastAsia="en-GB"/>
              </w:rPr>
              <w:t>Item</w:t>
            </w:r>
          </w:p>
        </w:tc>
        <w:tc>
          <w:tcPr>
            <w:tcW w:w="992" w:type="dxa"/>
            <w:tcBorders>
              <w:top w:val="single" w:sz="4" w:space="0" w:color="7F7F7F" w:themeColor="text1" w:themeTint="80"/>
              <w:left w:val="nil"/>
              <w:right w:val="nil"/>
            </w:tcBorders>
            <w:shd w:val="clear" w:color="auto" w:fill="F2F2F2" w:themeFill="background1" w:themeFillShade="F2"/>
            <w:vAlign w:val="center"/>
            <w:hideMark/>
          </w:tcPr>
          <w:p w14:paraId="1FFAE1B0"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Thickening of Serosa</w:t>
            </w:r>
            <w:r w:rsidRPr="000300C6">
              <w:rPr>
                <w:sz w:val="16"/>
                <w:szCs w:val="16"/>
                <w:lang w:eastAsia="en-GB"/>
              </w:rPr>
              <w:tab/>
            </w:r>
          </w:p>
        </w:tc>
        <w:tc>
          <w:tcPr>
            <w:tcW w:w="1039" w:type="dxa"/>
            <w:tcBorders>
              <w:top w:val="single" w:sz="4" w:space="0" w:color="7F7F7F" w:themeColor="text1" w:themeTint="80"/>
              <w:left w:val="nil"/>
              <w:right w:val="nil"/>
            </w:tcBorders>
            <w:shd w:val="clear" w:color="auto" w:fill="F2F2F2" w:themeFill="background1" w:themeFillShade="F2"/>
            <w:vAlign w:val="center"/>
            <w:hideMark/>
          </w:tcPr>
          <w:p w14:paraId="76B0EF48"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Mucosal Ulcerations</w:t>
            </w:r>
          </w:p>
        </w:tc>
        <w:tc>
          <w:tcPr>
            <w:tcW w:w="940" w:type="dxa"/>
            <w:tcBorders>
              <w:top w:val="single" w:sz="4" w:space="0" w:color="7F7F7F" w:themeColor="text1" w:themeTint="80"/>
              <w:left w:val="nil"/>
              <w:right w:val="nil"/>
            </w:tcBorders>
            <w:shd w:val="clear" w:color="auto" w:fill="F2F2F2" w:themeFill="background1" w:themeFillShade="F2"/>
            <w:vAlign w:val="center"/>
            <w:hideMark/>
          </w:tcPr>
          <w:p w14:paraId="7CD88EE5"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Epithelial atypia</w:t>
            </w:r>
          </w:p>
        </w:tc>
        <w:tc>
          <w:tcPr>
            <w:tcW w:w="917" w:type="dxa"/>
            <w:tcBorders>
              <w:top w:val="single" w:sz="4" w:space="0" w:color="7F7F7F" w:themeColor="text1" w:themeTint="80"/>
              <w:left w:val="nil"/>
              <w:right w:val="nil"/>
            </w:tcBorders>
            <w:shd w:val="clear" w:color="auto" w:fill="F2F2F2" w:themeFill="background1" w:themeFillShade="F2"/>
            <w:vAlign w:val="center"/>
            <w:hideMark/>
          </w:tcPr>
          <w:p w14:paraId="1AEEDD35"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Vascular Sclerosis</w:t>
            </w:r>
          </w:p>
        </w:tc>
        <w:tc>
          <w:tcPr>
            <w:tcW w:w="941" w:type="dxa"/>
            <w:tcBorders>
              <w:top w:val="single" w:sz="4" w:space="0" w:color="7F7F7F" w:themeColor="text1" w:themeTint="80"/>
              <w:left w:val="nil"/>
              <w:right w:val="nil"/>
            </w:tcBorders>
            <w:shd w:val="clear" w:color="auto" w:fill="F2F2F2" w:themeFill="background1" w:themeFillShade="F2"/>
            <w:vAlign w:val="center"/>
            <w:hideMark/>
          </w:tcPr>
          <w:p w14:paraId="58A8F106"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Intestinal wall fibrosis</w:t>
            </w:r>
          </w:p>
        </w:tc>
        <w:tc>
          <w:tcPr>
            <w:tcW w:w="1023" w:type="dxa"/>
            <w:tcBorders>
              <w:top w:val="single" w:sz="4" w:space="0" w:color="7F7F7F" w:themeColor="text1" w:themeTint="80"/>
              <w:left w:val="nil"/>
              <w:right w:val="nil"/>
            </w:tcBorders>
            <w:shd w:val="clear" w:color="auto" w:fill="F2F2F2" w:themeFill="background1" w:themeFillShade="F2"/>
            <w:vAlign w:val="center"/>
            <w:hideMark/>
          </w:tcPr>
          <w:p w14:paraId="64336AEA"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Lymph Congestion</w:t>
            </w:r>
          </w:p>
        </w:tc>
        <w:tc>
          <w:tcPr>
            <w:tcW w:w="936" w:type="dxa"/>
            <w:tcBorders>
              <w:top w:val="single" w:sz="4" w:space="0" w:color="7F7F7F" w:themeColor="text1" w:themeTint="80"/>
              <w:left w:val="nil"/>
              <w:right w:val="nil"/>
            </w:tcBorders>
            <w:shd w:val="clear" w:color="auto" w:fill="F2F2F2" w:themeFill="background1" w:themeFillShade="F2"/>
            <w:vAlign w:val="center"/>
            <w:hideMark/>
          </w:tcPr>
          <w:p w14:paraId="239976E4"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Ileitis cystica profunda</w:t>
            </w:r>
          </w:p>
        </w:tc>
        <w:tc>
          <w:tcPr>
            <w:tcW w:w="827" w:type="dxa"/>
            <w:tcBorders>
              <w:top w:val="single" w:sz="4" w:space="0" w:color="7F7F7F" w:themeColor="text1" w:themeTint="80"/>
              <w:left w:val="nil"/>
              <w:right w:val="single" w:sz="4" w:space="0" w:color="7F7F7F" w:themeColor="text1" w:themeTint="80"/>
            </w:tcBorders>
            <w:shd w:val="clear" w:color="auto" w:fill="F2F2F2" w:themeFill="background1" w:themeFillShade="F2"/>
            <w:vAlign w:val="center"/>
            <w:hideMark/>
          </w:tcPr>
          <w:p w14:paraId="5172C12C" w14:textId="77777777" w:rsidR="007B53B7" w:rsidRPr="000300C6" w:rsidRDefault="007B53B7" w:rsidP="006B2955">
            <w:pPr>
              <w:jc w:val="center"/>
              <w:cnfStyle w:val="100000000000" w:firstRow="1"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Total score</w:t>
            </w:r>
          </w:p>
        </w:tc>
      </w:tr>
      <w:tr w:rsidR="007B53B7" w:rsidRPr="000300C6" w14:paraId="34630322" w14:textId="77777777" w:rsidTr="006B2955">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401" w:type="dxa"/>
            <w:tcBorders>
              <w:top w:val="nil"/>
              <w:left w:val="single" w:sz="4" w:space="0" w:color="7F7F7F" w:themeColor="text1" w:themeTint="80"/>
              <w:bottom w:val="nil"/>
              <w:right w:val="single" w:sz="4" w:space="0" w:color="7F7F7F" w:themeColor="text1" w:themeTint="80"/>
            </w:tcBorders>
            <w:shd w:val="clear" w:color="auto" w:fill="F2F2F2" w:themeFill="background1" w:themeFillShade="F2"/>
            <w:vAlign w:val="center"/>
            <w:hideMark/>
          </w:tcPr>
          <w:p w14:paraId="0202DF03" w14:textId="77777777" w:rsidR="007B53B7" w:rsidRPr="000300C6" w:rsidRDefault="007B53B7" w:rsidP="006B2955">
            <w:pPr>
              <w:jc w:val="center"/>
              <w:rPr>
                <w:b w:val="0"/>
                <w:bCs w:val="0"/>
                <w:sz w:val="16"/>
                <w:szCs w:val="16"/>
                <w:lang w:eastAsia="en-GB"/>
              </w:rPr>
            </w:pPr>
            <w:r w:rsidRPr="000300C6">
              <w:rPr>
                <w:sz w:val="16"/>
                <w:szCs w:val="16"/>
                <w:lang w:eastAsia="en-GB"/>
              </w:rPr>
              <w:t xml:space="preserve">Score in cases </w:t>
            </w:r>
          </w:p>
          <w:p w14:paraId="4332364E" w14:textId="77777777" w:rsidR="007B53B7" w:rsidRPr="000300C6" w:rsidRDefault="007B53B7" w:rsidP="006B2955">
            <w:pPr>
              <w:jc w:val="center"/>
              <w:rPr>
                <w:b w:val="0"/>
                <w:bCs w:val="0"/>
                <w:sz w:val="16"/>
                <w:szCs w:val="16"/>
                <w:lang w:eastAsia="en-GB"/>
              </w:rPr>
            </w:pPr>
            <w:r w:rsidRPr="000300C6">
              <w:rPr>
                <w:sz w:val="16"/>
                <w:szCs w:val="16"/>
                <w:lang w:eastAsia="en-GB"/>
              </w:rPr>
              <w:t>Distal sigmoid</w:t>
            </w:r>
          </w:p>
          <w:p w14:paraId="785A1B5D" w14:textId="77777777" w:rsidR="007B53B7" w:rsidRPr="000300C6" w:rsidRDefault="007B53B7" w:rsidP="006B2955">
            <w:pPr>
              <w:jc w:val="center"/>
              <w:rPr>
                <w:sz w:val="16"/>
                <w:szCs w:val="16"/>
                <w:lang w:eastAsia="en-GB"/>
              </w:rPr>
            </w:pPr>
            <w:r w:rsidRPr="000300C6">
              <w:rPr>
                <w:b w:val="0"/>
                <w:sz w:val="16"/>
                <w:szCs w:val="16"/>
                <w:lang w:eastAsia="en-GB"/>
              </w:rPr>
              <w:t>(mean/SD)</w:t>
            </w:r>
          </w:p>
        </w:tc>
        <w:tc>
          <w:tcPr>
            <w:tcW w:w="992" w:type="dxa"/>
            <w:tcBorders>
              <w:left w:val="single" w:sz="4" w:space="0" w:color="7F7F7F" w:themeColor="text1" w:themeTint="80"/>
              <w:right w:val="nil"/>
            </w:tcBorders>
            <w:vAlign w:val="center"/>
            <w:hideMark/>
          </w:tcPr>
          <w:p w14:paraId="33D8A523"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1039" w:type="dxa"/>
            <w:tcBorders>
              <w:left w:val="nil"/>
              <w:right w:val="nil"/>
            </w:tcBorders>
            <w:vAlign w:val="center"/>
            <w:hideMark/>
          </w:tcPr>
          <w:p w14:paraId="19440E5A"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40" w:type="dxa"/>
            <w:tcBorders>
              <w:left w:val="nil"/>
              <w:right w:val="nil"/>
            </w:tcBorders>
            <w:vAlign w:val="center"/>
            <w:hideMark/>
          </w:tcPr>
          <w:p w14:paraId="62E755FB"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0.22 (0.44)</w:t>
            </w:r>
          </w:p>
        </w:tc>
        <w:tc>
          <w:tcPr>
            <w:tcW w:w="917" w:type="dxa"/>
            <w:tcBorders>
              <w:left w:val="nil"/>
              <w:right w:val="nil"/>
            </w:tcBorders>
            <w:vAlign w:val="center"/>
            <w:hideMark/>
          </w:tcPr>
          <w:p w14:paraId="5FDA5C5E"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0.22 (0.44)</w:t>
            </w:r>
          </w:p>
        </w:tc>
        <w:tc>
          <w:tcPr>
            <w:tcW w:w="941" w:type="dxa"/>
            <w:tcBorders>
              <w:left w:val="nil"/>
              <w:right w:val="nil"/>
            </w:tcBorders>
            <w:vAlign w:val="center"/>
            <w:hideMark/>
          </w:tcPr>
          <w:p w14:paraId="57166859"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0.33 (0.50)</w:t>
            </w:r>
          </w:p>
        </w:tc>
        <w:tc>
          <w:tcPr>
            <w:tcW w:w="1023" w:type="dxa"/>
            <w:tcBorders>
              <w:left w:val="nil"/>
              <w:right w:val="nil"/>
            </w:tcBorders>
            <w:vAlign w:val="center"/>
            <w:hideMark/>
          </w:tcPr>
          <w:p w14:paraId="11AE153F"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36" w:type="dxa"/>
            <w:tcBorders>
              <w:left w:val="nil"/>
              <w:right w:val="nil"/>
            </w:tcBorders>
            <w:vAlign w:val="center"/>
            <w:hideMark/>
          </w:tcPr>
          <w:p w14:paraId="5E71CF7A"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827" w:type="dxa"/>
            <w:tcBorders>
              <w:left w:val="nil"/>
              <w:right w:val="single" w:sz="4" w:space="0" w:color="7F7F7F" w:themeColor="text1" w:themeTint="80"/>
            </w:tcBorders>
            <w:vAlign w:val="center"/>
            <w:hideMark/>
          </w:tcPr>
          <w:p w14:paraId="4F3160FF"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0.78 (0.83)</w:t>
            </w:r>
          </w:p>
        </w:tc>
      </w:tr>
      <w:tr w:rsidR="007B53B7" w:rsidRPr="000300C6" w14:paraId="0DC8AEDD" w14:textId="77777777" w:rsidTr="006B2955">
        <w:trPr>
          <w:trHeight w:val="555"/>
          <w:jc w:val="center"/>
        </w:trPr>
        <w:tc>
          <w:tcPr>
            <w:cnfStyle w:val="001000000000" w:firstRow="0" w:lastRow="0" w:firstColumn="1" w:lastColumn="0" w:oddVBand="0" w:evenVBand="0" w:oddHBand="0" w:evenHBand="0" w:firstRowFirstColumn="0" w:firstRowLastColumn="0" w:lastRowFirstColumn="0" w:lastRowLastColumn="0"/>
            <w:tcW w:w="1401" w:type="dxa"/>
            <w:tcBorders>
              <w:top w:val="nil"/>
              <w:left w:val="single" w:sz="4" w:space="0" w:color="7F7F7F" w:themeColor="text1" w:themeTint="80"/>
              <w:bottom w:val="nil"/>
              <w:right w:val="single" w:sz="4" w:space="0" w:color="7F7F7F" w:themeColor="text1" w:themeTint="80"/>
            </w:tcBorders>
            <w:shd w:val="clear" w:color="auto" w:fill="F2F2F2" w:themeFill="background1" w:themeFillShade="F2"/>
            <w:vAlign w:val="center"/>
            <w:hideMark/>
          </w:tcPr>
          <w:p w14:paraId="557C09CA" w14:textId="77777777" w:rsidR="007B53B7" w:rsidRPr="000300C6" w:rsidRDefault="007B53B7" w:rsidP="006B2955">
            <w:pPr>
              <w:jc w:val="center"/>
              <w:rPr>
                <w:b w:val="0"/>
                <w:bCs w:val="0"/>
                <w:sz w:val="16"/>
                <w:szCs w:val="16"/>
                <w:lang w:eastAsia="en-GB"/>
              </w:rPr>
            </w:pPr>
            <w:r w:rsidRPr="000300C6">
              <w:rPr>
                <w:sz w:val="16"/>
                <w:szCs w:val="16"/>
                <w:lang w:eastAsia="en-GB"/>
              </w:rPr>
              <w:t xml:space="preserve">Score in cases </w:t>
            </w:r>
          </w:p>
          <w:p w14:paraId="12906D71" w14:textId="77777777" w:rsidR="007B53B7" w:rsidRPr="000300C6" w:rsidRDefault="007B53B7" w:rsidP="006B2955">
            <w:pPr>
              <w:jc w:val="center"/>
              <w:rPr>
                <w:b w:val="0"/>
                <w:bCs w:val="0"/>
                <w:sz w:val="16"/>
                <w:szCs w:val="16"/>
                <w:lang w:eastAsia="en-GB"/>
              </w:rPr>
            </w:pPr>
            <w:r w:rsidRPr="000300C6">
              <w:rPr>
                <w:sz w:val="16"/>
                <w:szCs w:val="16"/>
                <w:lang w:eastAsia="en-GB"/>
              </w:rPr>
              <w:t>Rectal biopsy</w:t>
            </w:r>
          </w:p>
          <w:p w14:paraId="49C34079" w14:textId="77777777" w:rsidR="007B53B7" w:rsidRPr="000300C6" w:rsidRDefault="007B53B7" w:rsidP="006B2955">
            <w:pPr>
              <w:jc w:val="center"/>
              <w:rPr>
                <w:sz w:val="16"/>
                <w:szCs w:val="16"/>
                <w:lang w:eastAsia="en-GB"/>
              </w:rPr>
            </w:pPr>
            <w:r w:rsidRPr="000300C6">
              <w:rPr>
                <w:b w:val="0"/>
                <w:sz w:val="16"/>
                <w:szCs w:val="16"/>
                <w:lang w:eastAsia="en-GB"/>
              </w:rPr>
              <w:t>(mean/SD)</w:t>
            </w:r>
          </w:p>
        </w:tc>
        <w:tc>
          <w:tcPr>
            <w:tcW w:w="992" w:type="dxa"/>
            <w:tcBorders>
              <w:top w:val="nil"/>
              <w:left w:val="single" w:sz="4" w:space="0" w:color="7F7F7F" w:themeColor="text1" w:themeTint="80"/>
              <w:bottom w:val="nil"/>
              <w:right w:val="nil"/>
            </w:tcBorders>
            <w:vAlign w:val="center"/>
            <w:hideMark/>
          </w:tcPr>
          <w:p w14:paraId="628D332D"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 (0)</w:t>
            </w:r>
          </w:p>
        </w:tc>
        <w:tc>
          <w:tcPr>
            <w:tcW w:w="1039" w:type="dxa"/>
            <w:tcBorders>
              <w:top w:val="nil"/>
              <w:left w:val="nil"/>
              <w:bottom w:val="nil"/>
              <w:right w:val="nil"/>
            </w:tcBorders>
            <w:vAlign w:val="center"/>
            <w:hideMark/>
          </w:tcPr>
          <w:p w14:paraId="5DF141A7"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 (0)</w:t>
            </w:r>
          </w:p>
        </w:tc>
        <w:tc>
          <w:tcPr>
            <w:tcW w:w="940" w:type="dxa"/>
            <w:tcBorders>
              <w:top w:val="nil"/>
              <w:left w:val="nil"/>
              <w:bottom w:val="nil"/>
              <w:right w:val="nil"/>
            </w:tcBorders>
            <w:vAlign w:val="center"/>
            <w:hideMark/>
          </w:tcPr>
          <w:p w14:paraId="0B708A9F"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0.22 (0.44)</w:t>
            </w:r>
          </w:p>
        </w:tc>
        <w:tc>
          <w:tcPr>
            <w:tcW w:w="917" w:type="dxa"/>
            <w:tcBorders>
              <w:top w:val="nil"/>
              <w:left w:val="nil"/>
              <w:bottom w:val="nil"/>
              <w:right w:val="nil"/>
            </w:tcBorders>
            <w:vAlign w:val="center"/>
            <w:hideMark/>
          </w:tcPr>
          <w:p w14:paraId="7782BF43"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0.44 (0.53)</w:t>
            </w:r>
          </w:p>
        </w:tc>
        <w:tc>
          <w:tcPr>
            <w:tcW w:w="941" w:type="dxa"/>
            <w:tcBorders>
              <w:top w:val="nil"/>
              <w:left w:val="nil"/>
              <w:bottom w:val="nil"/>
              <w:right w:val="nil"/>
            </w:tcBorders>
            <w:vAlign w:val="center"/>
            <w:hideMark/>
          </w:tcPr>
          <w:p w14:paraId="6DF074CF"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0.44 (0.53)</w:t>
            </w:r>
          </w:p>
        </w:tc>
        <w:tc>
          <w:tcPr>
            <w:tcW w:w="1023" w:type="dxa"/>
            <w:tcBorders>
              <w:top w:val="nil"/>
              <w:left w:val="nil"/>
              <w:bottom w:val="nil"/>
              <w:right w:val="nil"/>
            </w:tcBorders>
            <w:vAlign w:val="center"/>
            <w:hideMark/>
          </w:tcPr>
          <w:p w14:paraId="3CBE12A0"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 (0)</w:t>
            </w:r>
          </w:p>
        </w:tc>
        <w:tc>
          <w:tcPr>
            <w:tcW w:w="936" w:type="dxa"/>
            <w:tcBorders>
              <w:top w:val="nil"/>
              <w:left w:val="nil"/>
              <w:bottom w:val="nil"/>
              <w:right w:val="nil"/>
            </w:tcBorders>
            <w:vAlign w:val="center"/>
            <w:hideMark/>
          </w:tcPr>
          <w:p w14:paraId="62DD4D7A"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 (0)</w:t>
            </w:r>
          </w:p>
        </w:tc>
        <w:tc>
          <w:tcPr>
            <w:tcW w:w="827" w:type="dxa"/>
            <w:tcBorders>
              <w:top w:val="nil"/>
              <w:left w:val="nil"/>
              <w:bottom w:val="nil"/>
              <w:right w:val="single" w:sz="4" w:space="0" w:color="7F7F7F" w:themeColor="text1" w:themeTint="80"/>
            </w:tcBorders>
            <w:vAlign w:val="center"/>
            <w:hideMark/>
          </w:tcPr>
          <w:p w14:paraId="5EF23ADA"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1.11 (1.17)</w:t>
            </w:r>
          </w:p>
        </w:tc>
      </w:tr>
      <w:tr w:rsidR="007B53B7" w:rsidRPr="000300C6" w14:paraId="210ABDB0" w14:textId="77777777" w:rsidTr="006B2955">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401" w:type="dxa"/>
            <w:tcBorders>
              <w:top w:val="nil"/>
              <w:left w:val="single" w:sz="4" w:space="0" w:color="7F7F7F" w:themeColor="text1" w:themeTint="80"/>
              <w:bottom w:val="nil"/>
              <w:right w:val="single" w:sz="4" w:space="0" w:color="7F7F7F" w:themeColor="text1" w:themeTint="80"/>
            </w:tcBorders>
            <w:shd w:val="clear" w:color="auto" w:fill="F2F2F2" w:themeFill="background1" w:themeFillShade="F2"/>
            <w:vAlign w:val="center"/>
            <w:hideMark/>
          </w:tcPr>
          <w:p w14:paraId="66E91CD0" w14:textId="77777777" w:rsidR="007B53B7" w:rsidRPr="000300C6" w:rsidRDefault="007B53B7" w:rsidP="006B2955">
            <w:pPr>
              <w:jc w:val="center"/>
              <w:rPr>
                <w:b w:val="0"/>
                <w:bCs w:val="0"/>
                <w:sz w:val="16"/>
                <w:szCs w:val="16"/>
                <w:lang w:eastAsia="en-GB"/>
              </w:rPr>
            </w:pPr>
            <w:r w:rsidRPr="000300C6">
              <w:rPr>
                <w:sz w:val="16"/>
                <w:szCs w:val="16"/>
                <w:lang w:eastAsia="en-GB"/>
              </w:rPr>
              <w:t>Score in controls</w:t>
            </w:r>
          </w:p>
          <w:p w14:paraId="1803512D" w14:textId="77777777" w:rsidR="007B53B7" w:rsidRPr="000300C6" w:rsidRDefault="007B53B7" w:rsidP="006B2955">
            <w:pPr>
              <w:jc w:val="center"/>
              <w:rPr>
                <w:bCs w:val="0"/>
                <w:sz w:val="16"/>
                <w:szCs w:val="16"/>
                <w:lang w:eastAsia="en-GB"/>
              </w:rPr>
            </w:pPr>
            <w:r w:rsidRPr="000300C6">
              <w:rPr>
                <w:bCs w:val="0"/>
                <w:sz w:val="16"/>
                <w:szCs w:val="16"/>
                <w:lang w:eastAsia="en-GB"/>
              </w:rPr>
              <w:t>Rectal biopsy</w:t>
            </w:r>
          </w:p>
          <w:p w14:paraId="524DD741" w14:textId="77777777" w:rsidR="007B53B7" w:rsidRPr="000300C6" w:rsidRDefault="007B53B7" w:rsidP="006B2955">
            <w:pPr>
              <w:jc w:val="center"/>
              <w:rPr>
                <w:sz w:val="16"/>
                <w:szCs w:val="16"/>
                <w:lang w:eastAsia="en-GB"/>
              </w:rPr>
            </w:pPr>
            <w:r w:rsidRPr="000300C6">
              <w:rPr>
                <w:b w:val="0"/>
                <w:sz w:val="16"/>
                <w:szCs w:val="16"/>
                <w:lang w:eastAsia="en-GB"/>
              </w:rPr>
              <w:t>(mean/SD)</w:t>
            </w:r>
          </w:p>
        </w:tc>
        <w:tc>
          <w:tcPr>
            <w:tcW w:w="992" w:type="dxa"/>
            <w:tcBorders>
              <w:left w:val="single" w:sz="4" w:space="0" w:color="7F7F7F" w:themeColor="text1" w:themeTint="80"/>
              <w:right w:val="nil"/>
            </w:tcBorders>
            <w:vAlign w:val="center"/>
            <w:hideMark/>
          </w:tcPr>
          <w:p w14:paraId="0F47C364"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1039" w:type="dxa"/>
            <w:tcBorders>
              <w:left w:val="nil"/>
              <w:right w:val="nil"/>
            </w:tcBorders>
            <w:vAlign w:val="center"/>
            <w:hideMark/>
          </w:tcPr>
          <w:p w14:paraId="4F1F8096"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40" w:type="dxa"/>
            <w:tcBorders>
              <w:left w:val="nil"/>
              <w:right w:val="nil"/>
            </w:tcBorders>
            <w:vAlign w:val="center"/>
            <w:hideMark/>
          </w:tcPr>
          <w:p w14:paraId="0694C93F"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17" w:type="dxa"/>
            <w:tcBorders>
              <w:left w:val="nil"/>
              <w:right w:val="nil"/>
            </w:tcBorders>
            <w:vAlign w:val="center"/>
            <w:hideMark/>
          </w:tcPr>
          <w:p w14:paraId="14F925B2"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41" w:type="dxa"/>
            <w:tcBorders>
              <w:left w:val="nil"/>
              <w:right w:val="nil"/>
            </w:tcBorders>
            <w:vAlign w:val="center"/>
            <w:hideMark/>
          </w:tcPr>
          <w:p w14:paraId="3527CCCC"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1023" w:type="dxa"/>
            <w:tcBorders>
              <w:left w:val="nil"/>
              <w:right w:val="nil"/>
            </w:tcBorders>
            <w:vAlign w:val="center"/>
            <w:hideMark/>
          </w:tcPr>
          <w:p w14:paraId="52E86B40"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936" w:type="dxa"/>
            <w:tcBorders>
              <w:left w:val="nil"/>
              <w:right w:val="nil"/>
            </w:tcBorders>
            <w:vAlign w:val="center"/>
            <w:hideMark/>
          </w:tcPr>
          <w:p w14:paraId="3967587B"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c>
          <w:tcPr>
            <w:tcW w:w="827" w:type="dxa"/>
            <w:tcBorders>
              <w:left w:val="nil"/>
              <w:right w:val="single" w:sz="4" w:space="0" w:color="7F7F7F" w:themeColor="text1" w:themeTint="80"/>
            </w:tcBorders>
            <w:vAlign w:val="center"/>
            <w:hideMark/>
          </w:tcPr>
          <w:p w14:paraId="4CBA458B" w14:textId="77777777" w:rsidR="007B53B7" w:rsidRPr="000300C6" w:rsidRDefault="007B53B7" w:rsidP="006B2955">
            <w:pPr>
              <w:jc w:val="center"/>
              <w:cnfStyle w:val="000000100000" w:firstRow="0" w:lastRow="0" w:firstColumn="0" w:lastColumn="0" w:oddVBand="0" w:evenVBand="0" w:oddHBand="1" w:evenHBand="0" w:firstRowFirstColumn="0" w:firstRowLastColumn="0" w:lastRowFirstColumn="0" w:lastRowLastColumn="0"/>
              <w:rPr>
                <w:sz w:val="16"/>
                <w:szCs w:val="16"/>
                <w:lang w:eastAsia="en-GB"/>
              </w:rPr>
            </w:pPr>
            <w:r w:rsidRPr="000300C6">
              <w:rPr>
                <w:sz w:val="16"/>
                <w:szCs w:val="16"/>
                <w:lang w:eastAsia="en-GB"/>
              </w:rPr>
              <w:t>0 (0)</w:t>
            </w:r>
          </w:p>
        </w:tc>
      </w:tr>
      <w:tr w:rsidR="007B53B7" w:rsidRPr="000300C6" w14:paraId="758B7A80" w14:textId="77777777" w:rsidTr="006B2955">
        <w:trPr>
          <w:trHeight w:val="555"/>
          <w:jc w:val="center"/>
        </w:trPr>
        <w:tc>
          <w:tcPr>
            <w:cnfStyle w:val="001000000000" w:firstRow="0" w:lastRow="0" w:firstColumn="1" w:lastColumn="0" w:oddVBand="0" w:evenVBand="0" w:oddHBand="0" w:evenHBand="0" w:firstRowFirstColumn="0" w:firstRowLastColumn="0" w:lastRowFirstColumn="0" w:lastRowLastColumn="0"/>
            <w:tcW w:w="1401"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41BDAC3" w14:textId="77777777" w:rsidR="007B53B7" w:rsidRPr="000300C6" w:rsidRDefault="007B53B7" w:rsidP="006B2955">
            <w:pPr>
              <w:jc w:val="center"/>
              <w:rPr>
                <w:sz w:val="16"/>
                <w:szCs w:val="16"/>
                <w:lang w:eastAsia="en-GB"/>
              </w:rPr>
            </w:pPr>
            <w:r w:rsidRPr="000300C6">
              <w:rPr>
                <w:sz w:val="16"/>
                <w:szCs w:val="16"/>
                <w:lang w:eastAsia="en-GB"/>
              </w:rPr>
              <w:t>p-value</w:t>
            </w:r>
          </w:p>
        </w:tc>
        <w:tc>
          <w:tcPr>
            <w:tcW w:w="992" w:type="dxa"/>
            <w:tcBorders>
              <w:top w:val="nil"/>
              <w:left w:val="single" w:sz="4" w:space="0" w:color="7F7F7F" w:themeColor="text1" w:themeTint="80"/>
              <w:bottom w:val="single" w:sz="4" w:space="0" w:color="7F7F7F" w:themeColor="text1" w:themeTint="80"/>
              <w:right w:val="nil"/>
            </w:tcBorders>
            <w:vAlign w:val="center"/>
            <w:hideMark/>
          </w:tcPr>
          <w:p w14:paraId="2BA42BCE"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0.22</w:t>
            </w:r>
          </w:p>
        </w:tc>
        <w:tc>
          <w:tcPr>
            <w:tcW w:w="1039" w:type="dxa"/>
            <w:tcBorders>
              <w:top w:val="nil"/>
              <w:left w:val="nil"/>
              <w:bottom w:val="single" w:sz="4" w:space="0" w:color="7F7F7F" w:themeColor="text1" w:themeTint="80"/>
              <w:right w:val="nil"/>
            </w:tcBorders>
            <w:vAlign w:val="center"/>
            <w:hideMark/>
          </w:tcPr>
          <w:p w14:paraId="543143D1"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0.22</w:t>
            </w:r>
          </w:p>
        </w:tc>
        <w:tc>
          <w:tcPr>
            <w:tcW w:w="940" w:type="dxa"/>
            <w:tcBorders>
              <w:top w:val="nil"/>
              <w:left w:val="nil"/>
              <w:bottom w:val="single" w:sz="4" w:space="0" w:color="7F7F7F" w:themeColor="text1" w:themeTint="80"/>
              <w:right w:val="nil"/>
            </w:tcBorders>
            <w:vAlign w:val="center"/>
            <w:hideMark/>
          </w:tcPr>
          <w:p w14:paraId="01039BCC"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1.00</w:t>
            </w:r>
          </w:p>
        </w:tc>
        <w:tc>
          <w:tcPr>
            <w:tcW w:w="917" w:type="dxa"/>
            <w:tcBorders>
              <w:top w:val="nil"/>
              <w:left w:val="nil"/>
              <w:bottom w:val="single" w:sz="4" w:space="0" w:color="7F7F7F" w:themeColor="text1" w:themeTint="80"/>
              <w:right w:val="nil"/>
            </w:tcBorders>
            <w:vAlign w:val="center"/>
            <w:hideMark/>
          </w:tcPr>
          <w:p w14:paraId="027C7FAF"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0.55</w:t>
            </w:r>
          </w:p>
        </w:tc>
        <w:tc>
          <w:tcPr>
            <w:tcW w:w="941" w:type="dxa"/>
            <w:tcBorders>
              <w:top w:val="nil"/>
              <w:left w:val="nil"/>
              <w:bottom w:val="single" w:sz="4" w:space="0" w:color="7F7F7F" w:themeColor="text1" w:themeTint="80"/>
              <w:right w:val="nil"/>
            </w:tcBorders>
            <w:vAlign w:val="center"/>
            <w:hideMark/>
          </w:tcPr>
          <w:p w14:paraId="7D3B143E"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0.71</w:t>
            </w:r>
          </w:p>
        </w:tc>
        <w:tc>
          <w:tcPr>
            <w:tcW w:w="1023" w:type="dxa"/>
            <w:tcBorders>
              <w:top w:val="nil"/>
              <w:left w:val="nil"/>
              <w:bottom w:val="single" w:sz="4" w:space="0" w:color="7F7F7F" w:themeColor="text1" w:themeTint="80"/>
              <w:right w:val="nil"/>
            </w:tcBorders>
            <w:vAlign w:val="center"/>
            <w:hideMark/>
          </w:tcPr>
          <w:p w14:paraId="5E8498A6"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0.22</w:t>
            </w:r>
          </w:p>
        </w:tc>
        <w:tc>
          <w:tcPr>
            <w:tcW w:w="936" w:type="dxa"/>
            <w:tcBorders>
              <w:top w:val="nil"/>
              <w:left w:val="nil"/>
              <w:bottom w:val="single" w:sz="4" w:space="0" w:color="7F7F7F" w:themeColor="text1" w:themeTint="80"/>
              <w:right w:val="nil"/>
            </w:tcBorders>
            <w:vAlign w:val="center"/>
            <w:hideMark/>
          </w:tcPr>
          <w:p w14:paraId="1FE10F38"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0.22</w:t>
            </w:r>
          </w:p>
        </w:tc>
        <w:tc>
          <w:tcPr>
            <w:tcW w:w="827" w:type="dxa"/>
            <w:tcBorders>
              <w:top w:val="nil"/>
              <w:left w:val="nil"/>
              <w:bottom w:val="single" w:sz="4" w:space="0" w:color="7F7F7F" w:themeColor="text1" w:themeTint="80"/>
              <w:right w:val="single" w:sz="4" w:space="0" w:color="7F7F7F" w:themeColor="text1" w:themeTint="80"/>
            </w:tcBorders>
            <w:vAlign w:val="center"/>
            <w:hideMark/>
          </w:tcPr>
          <w:p w14:paraId="181194F0" w14:textId="77777777" w:rsidR="007B53B7" w:rsidRPr="000300C6" w:rsidRDefault="007B53B7" w:rsidP="006B2955">
            <w:pPr>
              <w:jc w:val="center"/>
              <w:cnfStyle w:val="000000000000" w:firstRow="0" w:lastRow="0" w:firstColumn="0" w:lastColumn="0" w:oddVBand="0" w:evenVBand="0" w:oddHBand="0" w:evenHBand="0" w:firstRowFirstColumn="0" w:firstRowLastColumn="0" w:lastRowFirstColumn="0" w:lastRowLastColumn="0"/>
              <w:rPr>
                <w:sz w:val="16"/>
                <w:szCs w:val="16"/>
                <w:lang w:eastAsia="en-GB"/>
              </w:rPr>
            </w:pPr>
            <w:r w:rsidRPr="000300C6">
              <w:rPr>
                <w:sz w:val="16"/>
                <w:szCs w:val="16"/>
                <w:lang w:eastAsia="en-GB"/>
              </w:rPr>
              <w:t>0.48</w:t>
            </w:r>
          </w:p>
        </w:tc>
      </w:tr>
    </w:tbl>
    <w:p w14:paraId="02E76D00" w14:textId="77777777" w:rsidR="007B53B7" w:rsidRPr="000300C6" w:rsidRDefault="007B53B7" w:rsidP="007B53B7">
      <w:pPr>
        <w:spacing w:line="300" w:lineRule="auto"/>
        <w:jc w:val="center"/>
        <w:rPr>
          <w:b/>
          <w:i/>
          <w:sz w:val="28"/>
          <w:szCs w:val="28"/>
        </w:rPr>
      </w:pPr>
      <w:r w:rsidRPr="000300C6">
        <w:rPr>
          <w:rFonts w:eastAsia="Times New Roman"/>
          <w:i/>
          <w:sz w:val="18"/>
          <w:szCs w:val="18"/>
          <w:lang w:eastAsia="en-GB"/>
        </w:rPr>
        <w:t>P-values were obtained with the Kruskal-Wallis test.</w:t>
      </w:r>
    </w:p>
    <w:p w14:paraId="28D1D5E6" w14:textId="77777777" w:rsidR="007B53B7" w:rsidRPr="000300C6" w:rsidRDefault="007B53B7">
      <w:pPr>
        <w:spacing w:after="160" w:line="259" w:lineRule="auto"/>
        <w:rPr>
          <w:rFonts w:asciiTheme="minorHAnsi" w:eastAsiaTheme="minorHAnsi" w:hAnsiTheme="minorHAnsi" w:cstheme="minorBidi"/>
          <w:b/>
          <w:bCs/>
          <w:iCs/>
          <w:color w:val="000000" w:themeColor="text1"/>
          <w:sz w:val="18"/>
          <w:szCs w:val="18"/>
          <w:lang w:val="en-GB"/>
        </w:rPr>
      </w:pPr>
      <w:r w:rsidRPr="000300C6">
        <w:br w:type="page"/>
      </w:r>
    </w:p>
    <w:p w14:paraId="337BFC6C" w14:textId="31E938A2" w:rsidR="00CD6B23" w:rsidRPr="000300C6" w:rsidRDefault="00CD6B23" w:rsidP="00CD6B23">
      <w:pPr>
        <w:pStyle w:val="Caption"/>
      </w:pPr>
      <w:r w:rsidRPr="000300C6">
        <w:lastRenderedPageBreak/>
        <w:t>Table SUPP-</w:t>
      </w:r>
      <w:r w:rsidR="006B2955" w:rsidRPr="000300C6">
        <w:t>1</w:t>
      </w:r>
      <w:r w:rsidR="00277C1F" w:rsidRPr="000300C6">
        <w:t>6</w:t>
      </w:r>
      <w:r w:rsidRPr="000300C6">
        <w:t xml:space="preserve">: </w:t>
      </w:r>
      <w:r w:rsidRPr="000300C6">
        <w:rPr>
          <w:b w:val="0"/>
        </w:rPr>
        <w:t>Functions of cytokines significantly different between rectal biopsy samples of cases and controls.</w:t>
      </w:r>
      <w:bookmarkEnd w:id="14"/>
    </w:p>
    <w:tbl>
      <w:tblPr>
        <w:tblStyle w:val="PlainTable3"/>
        <w:tblW w:w="9073" w:type="dxa"/>
        <w:tblInd w:w="-5" w:type="dxa"/>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1413"/>
        <w:gridCol w:w="4967"/>
        <w:gridCol w:w="2693"/>
      </w:tblGrid>
      <w:tr w:rsidR="00CD6B23" w:rsidRPr="000300C6" w14:paraId="0587CFA1" w14:textId="77777777" w:rsidTr="006B2955">
        <w:trPr>
          <w:cnfStyle w:val="100000000000" w:firstRow="1" w:lastRow="0" w:firstColumn="0" w:lastColumn="0" w:oddVBand="0" w:evenVBand="0" w:oddHBand="0" w:evenHBand="0" w:firstRowFirstColumn="0" w:firstRowLastColumn="0" w:lastRowFirstColumn="0" w:lastRowLastColumn="0"/>
          <w:trHeight w:val="177"/>
        </w:trPr>
        <w:tc>
          <w:tcPr>
            <w:tcW w:w="1413" w:type="dxa"/>
            <w:tcBorders>
              <w:top w:val="single" w:sz="4" w:space="0" w:color="auto"/>
              <w:bottom w:val="single" w:sz="4" w:space="0" w:color="auto"/>
              <w:right w:val="single" w:sz="4" w:space="0" w:color="auto"/>
            </w:tcBorders>
            <w:vAlign w:val="center"/>
            <w:hideMark/>
          </w:tcPr>
          <w:p w14:paraId="368F9BF8" w14:textId="77777777" w:rsidR="00CD6B23" w:rsidRPr="000300C6" w:rsidRDefault="00CD6B23" w:rsidP="006B2955">
            <w:pPr>
              <w:spacing w:line="300" w:lineRule="auto"/>
              <w:jc w:val="center"/>
              <w:rPr>
                <w:sz w:val="18"/>
                <w:szCs w:val="18"/>
              </w:rPr>
            </w:pPr>
            <w:r w:rsidRPr="000300C6">
              <w:rPr>
                <w:sz w:val="18"/>
                <w:szCs w:val="18"/>
              </w:rPr>
              <w:t>Cytokine</w:t>
            </w:r>
          </w:p>
        </w:tc>
        <w:tc>
          <w:tcPr>
            <w:tcW w:w="4967" w:type="dxa"/>
            <w:tcBorders>
              <w:top w:val="single" w:sz="4" w:space="0" w:color="auto"/>
              <w:left w:val="single" w:sz="4" w:space="0" w:color="auto"/>
              <w:bottom w:val="single" w:sz="4" w:space="0" w:color="auto"/>
            </w:tcBorders>
            <w:vAlign w:val="center"/>
            <w:hideMark/>
          </w:tcPr>
          <w:p w14:paraId="3E5F3FAD" w14:textId="77777777" w:rsidR="00CD6B23" w:rsidRPr="000300C6" w:rsidRDefault="00CD6B23" w:rsidP="006B2955">
            <w:pPr>
              <w:spacing w:line="300" w:lineRule="auto"/>
              <w:jc w:val="center"/>
              <w:rPr>
                <w:sz w:val="18"/>
                <w:szCs w:val="18"/>
              </w:rPr>
            </w:pPr>
            <w:r w:rsidRPr="000300C6">
              <w:rPr>
                <w:sz w:val="18"/>
                <w:szCs w:val="18"/>
              </w:rPr>
              <w:t>Function</w:t>
            </w:r>
          </w:p>
        </w:tc>
        <w:tc>
          <w:tcPr>
            <w:tcW w:w="2693" w:type="dxa"/>
            <w:tcBorders>
              <w:top w:val="single" w:sz="4" w:space="0" w:color="auto"/>
              <w:left w:val="single" w:sz="4" w:space="0" w:color="auto"/>
              <w:bottom w:val="single" w:sz="4" w:space="0" w:color="auto"/>
            </w:tcBorders>
            <w:vAlign w:val="center"/>
          </w:tcPr>
          <w:p w14:paraId="671AADBB" w14:textId="77777777" w:rsidR="00CD6B23" w:rsidRPr="000300C6" w:rsidRDefault="00CD6B23" w:rsidP="006B2955">
            <w:pPr>
              <w:spacing w:line="300" w:lineRule="auto"/>
              <w:jc w:val="center"/>
              <w:rPr>
                <w:bCs w:val="0"/>
                <w:sz w:val="18"/>
                <w:szCs w:val="18"/>
              </w:rPr>
            </w:pPr>
            <w:r w:rsidRPr="000300C6">
              <w:rPr>
                <w:bCs w:val="0"/>
                <w:sz w:val="18"/>
                <w:szCs w:val="18"/>
              </w:rPr>
              <w:t>Observation in THIS STUDY</w:t>
            </w:r>
          </w:p>
        </w:tc>
      </w:tr>
      <w:tr w:rsidR="00CD6B23" w:rsidRPr="000300C6" w14:paraId="30DA69F7" w14:textId="77777777" w:rsidTr="006B2955">
        <w:trPr>
          <w:cnfStyle w:val="000000100000" w:firstRow="0" w:lastRow="0" w:firstColumn="0" w:lastColumn="0" w:oddVBand="0" w:evenVBand="0" w:oddHBand="1" w:evenHBand="0" w:firstRowFirstColumn="0" w:firstRowLastColumn="0" w:lastRowFirstColumn="0" w:lastRowLastColumn="0"/>
          <w:trHeight w:val="20"/>
        </w:trPr>
        <w:tc>
          <w:tcPr>
            <w:tcW w:w="1413" w:type="dxa"/>
            <w:tcBorders>
              <w:top w:val="single" w:sz="4" w:space="0" w:color="auto"/>
              <w:bottom w:val="nil"/>
              <w:right w:val="single" w:sz="4" w:space="0" w:color="auto"/>
            </w:tcBorders>
            <w:vAlign w:val="center"/>
            <w:hideMark/>
          </w:tcPr>
          <w:p w14:paraId="46350E28" w14:textId="77777777" w:rsidR="00CD6B23" w:rsidRPr="000300C6" w:rsidRDefault="00CD6B23" w:rsidP="006B2955">
            <w:pPr>
              <w:spacing w:after="60" w:line="300" w:lineRule="auto"/>
              <w:jc w:val="center"/>
              <w:rPr>
                <w:b/>
                <w:caps/>
                <w:sz w:val="18"/>
                <w:szCs w:val="18"/>
              </w:rPr>
            </w:pPr>
            <w:r w:rsidRPr="000300C6">
              <w:rPr>
                <w:b/>
                <w:bCs/>
                <w:caps/>
                <w:sz w:val="18"/>
                <w:szCs w:val="18"/>
              </w:rPr>
              <w:t>Eotaxin</w:t>
            </w:r>
          </w:p>
        </w:tc>
        <w:tc>
          <w:tcPr>
            <w:tcW w:w="4967" w:type="dxa"/>
            <w:tcBorders>
              <w:top w:val="single" w:sz="4" w:space="0" w:color="auto"/>
              <w:left w:val="single" w:sz="4" w:space="0" w:color="auto"/>
            </w:tcBorders>
            <w:hideMark/>
          </w:tcPr>
          <w:p w14:paraId="7C6CF6FC" w14:textId="77777777" w:rsidR="00CD6B23" w:rsidRPr="000300C6" w:rsidRDefault="00CD6B23" w:rsidP="006B2955">
            <w:pPr>
              <w:spacing w:line="300" w:lineRule="auto"/>
              <w:jc w:val="both"/>
              <w:rPr>
                <w:sz w:val="18"/>
                <w:szCs w:val="18"/>
              </w:rPr>
            </w:pPr>
            <w:proofErr w:type="spellStart"/>
            <w:r w:rsidRPr="000300C6">
              <w:rPr>
                <w:sz w:val="18"/>
                <w:szCs w:val="18"/>
                <w:lang w:val="en-US"/>
              </w:rPr>
              <w:t>Chemotactant</w:t>
            </w:r>
            <w:proofErr w:type="spellEnd"/>
            <w:r w:rsidRPr="000300C6">
              <w:rPr>
                <w:sz w:val="18"/>
                <w:szCs w:val="18"/>
                <w:lang w:val="en-US"/>
              </w:rPr>
              <w:t xml:space="preserve"> for eosinophils and basophils.</w:t>
            </w:r>
            <w:r w:rsidRPr="000300C6">
              <w:rPr>
                <w:sz w:val="18"/>
                <w:szCs w:val="18"/>
                <w:lang w:val="en-US"/>
              </w:rPr>
              <w:fldChar w:fldCharType="begin" w:fldLock="1"/>
            </w:r>
            <w:r w:rsidRPr="000300C6">
              <w:rPr>
                <w:sz w:val="18"/>
                <w:szCs w:val="18"/>
                <w:lang w:val="en-US"/>
              </w:rPr>
              <w:instrText>ADDIN CSL_CITATION {"citationItems":[{"id":"ITEM-1","itemData":{"DOI":"10.1038/nm0496-449","ISBN":"1078-8956 (Print)\\r1078-8956 (Linking)","ISSN":"1078-8956","PMID":"8597956","abstract":"Eotaxin is an eosinophil-specific chemoattractant that has been recently identified in rodent models of asthma and host response against tumors. To determine whether a similar molecule might play a role in human inflammatory diseases characterized by eosinophilia, we isolated the human eotaxin gene. We demonstrate that human eotaxin is an early response gene of cytokine-stimulated epithelial and endothelial cells, and is induced in peripheral blood eosinophils by interleukin-3. Eotaxin is directly chemotactic for eosinophils, but not mononuclear cells or neutrophils. Eotaxin messenger RNA accumulates markedly in the lesions of patients with inflammatory bowel disease (ulcerative colitis and Crohn's disease), but not in the lesions of patients with diverticulitis. These results now provide a mechanism involving eotaxin to explain the eosinophil infiltration seen in a variety of human disease; as such, an eotaxin antagonist may be a novel therapy for certain human diseases characterized by tissue eosinophilia.","author":[{"dropping-particle":"","family":"Garcia-Zepeda","given":"E A","non-dropping-particle":"","parse-names":false,"suffix":""},{"dropping-particle":"","family":"Rothenberg","given":"M E","non-dropping-particle":"","parse-names":false,"suffix":""},{"dropping-particle":"","family":"Ownbey","given":"R T","non-dropping-particle":"","parse-names":false,"suffix":""},{"dropping-particle":"","family":"Celestin","given":"J","non-dropping-particle":"","parse-names":false,"suffix":""},{"dropping-particle":"","family":"Leder","given":"P","non-dropping-particle":"","parse-names":false,"suffix":""},{"dropping-particle":"","family":"Luster","given":"A D","non-dropping-particle":"","parse-names":false,"suffix":""}],"container-title":"Nature medicine","id":"ITEM-1","issue":"4","issued":{"date-parts":[["1996"]]},"page":"449-456","title":"Human eotaxin is a specific chemoattractant for eosinophil cells and provides a new mechanism to explain tissue eosinophilia.","type":"article-journal","volume":"2"},"uris":["http://www.mendeley.com/documents/?uuid=9290c131-424d-4fd9-8e55-e91e89b65dae"]}],"mendeley":{"formattedCitation":"&lt;sup&gt;5&lt;/sup&gt;","plainTextFormattedCitation":"5","previouslyFormattedCitation":"&lt;sup&gt;5&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5</w:t>
            </w:r>
            <w:r w:rsidRPr="000300C6">
              <w:rPr>
                <w:sz w:val="18"/>
                <w:szCs w:val="18"/>
                <w:lang w:val="en-US"/>
              </w:rPr>
              <w:fldChar w:fldCharType="end"/>
            </w:r>
          </w:p>
        </w:tc>
        <w:tc>
          <w:tcPr>
            <w:tcW w:w="2693" w:type="dxa"/>
            <w:tcBorders>
              <w:top w:val="single" w:sz="4" w:space="0" w:color="auto"/>
              <w:left w:val="single" w:sz="4" w:space="0" w:color="auto"/>
            </w:tcBorders>
            <w:vAlign w:val="center"/>
          </w:tcPr>
          <w:p w14:paraId="7B4C154F" w14:textId="77777777" w:rsidR="00CD6B23" w:rsidRPr="000300C6" w:rsidRDefault="00CD6B23" w:rsidP="006B2955">
            <w:pPr>
              <w:spacing w:line="300" w:lineRule="auto"/>
              <w:jc w:val="center"/>
              <w:rPr>
                <w:sz w:val="18"/>
                <w:szCs w:val="18"/>
                <w:lang w:val="en-US"/>
              </w:rPr>
            </w:pPr>
            <w:r w:rsidRPr="000300C6">
              <w:rPr>
                <w:sz w:val="18"/>
                <w:szCs w:val="18"/>
                <w:lang w:val="en-US"/>
              </w:rPr>
              <w:t>Elevated in cases</w:t>
            </w:r>
          </w:p>
        </w:tc>
      </w:tr>
      <w:tr w:rsidR="00CD6B23" w:rsidRPr="000300C6" w14:paraId="33BDF8DC" w14:textId="77777777" w:rsidTr="006B2955">
        <w:trPr>
          <w:trHeight w:val="24"/>
        </w:trPr>
        <w:tc>
          <w:tcPr>
            <w:tcW w:w="1413" w:type="dxa"/>
            <w:tcBorders>
              <w:top w:val="nil"/>
              <w:bottom w:val="nil"/>
              <w:right w:val="single" w:sz="4" w:space="0" w:color="auto"/>
            </w:tcBorders>
            <w:vAlign w:val="center"/>
            <w:hideMark/>
          </w:tcPr>
          <w:p w14:paraId="462002B8" w14:textId="77777777" w:rsidR="00CD6B23" w:rsidRPr="000300C6" w:rsidRDefault="00CD6B23" w:rsidP="006B2955">
            <w:pPr>
              <w:spacing w:line="300" w:lineRule="auto"/>
              <w:jc w:val="center"/>
              <w:rPr>
                <w:b/>
                <w:caps/>
                <w:sz w:val="18"/>
                <w:szCs w:val="18"/>
              </w:rPr>
            </w:pPr>
            <w:r w:rsidRPr="000300C6">
              <w:rPr>
                <w:b/>
                <w:bCs/>
                <w:caps/>
                <w:sz w:val="18"/>
                <w:szCs w:val="18"/>
              </w:rPr>
              <w:t>IL-7</w:t>
            </w:r>
          </w:p>
        </w:tc>
        <w:tc>
          <w:tcPr>
            <w:tcW w:w="4967" w:type="dxa"/>
            <w:tcBorders>
              <w:left w:val="single" w:sz="4" w:space="0" w:color="auto"/>
            </w:tcBorders>
            <w:hideMark/>
          </w:tcPr>
          <w:p w14:paraId="55152C74" w14:textId="77777777" w:rsidR="00CD6B23" w:rsidRPr="000300C6" w:rsidRDefault="00CD6B23" w:rsidP="006B2955">
            <w:pPr>
              <w:spacing w:line="300" w:lineRule="auto"/>
              <w:jc w:val="both"/>
              <w:rPr>
                <w:sz w:val="18"/>
                <w:szCs w:val="18"/>
              </w:rPr>
            </w:pPr>
            <w:r w:rsidRPr="000300C6">
              <w:rPr>
                <w:sz w:val="18"/>
                <w:szCs w:val="18"/>
                <w:lang w:val="en-US"/>
              </w:rPr>
              <w:t>Regulatory factor for intestinal lymphocytes and intestinal epithelial cells. Contributes for intestinal epithelial cell homeostasis (IL-7 promotes hyperplasia). Microbiota antigens</w:t>
            </w:r>
            <w:r w:rsidRPr="000300C6">
              <w:rPr>
                <w:sz w:val="18"/>
                <w:szCs w:val="18"/>
              </w:rPr>
              <w:t xml:space="preserve"> promote IL7 gene expression in the intestine and antibiotic-induced microbiota depletion associates with reduced colon wall thickness.</w:t>
            </w:r>
            <w:r w:rsidRPr="000300C6">
              <w:rPr>
                <w:sz w:val="18"/>
                <w:szCs w:val="18"/>
              </w:rPr>
              <w:fldChar w:fldCharType="begin" w:fldLock="1"/>
            </w:r>
            <w:r w:rsidRPr="000300C6">
              <w:rPr>
                <w:sz w:val="18"/>
                <w:szCs w:val="18"/>
              </w:rPr>
              <w:instrText>ADDIN CSL_CITATION {"citationItems":[{"id":"ITEM-1","itemData":{"DOI":"10.1371/journal.pone.0031939","ISBN":"1932-6203 (Electronic)\\r1932-6203 (Linking)","ISSN":"19326203","PMID":"22384106","abstract":"Interleukin-7 (IL-7) is a major survival factor for mature T cells. Therefore, the degree of IL-7 availability determines the size of the peripheral T cell pool and regulates T cell homeostasis. Here we provide evidence that IL-7 also regulates the homeostasis of intestinal epithelial cells (IEC), colon function and the composition of the commensal microflora. In the colon of T cell-deficient, lymphopenic mice, IL-7-producing IEC accumulate. IEC hyperplasia can be blocked by IL-7-consuming T cells or the inactivation of the IL-7/IL-7R signaling pathway. However, the blockade of the IL-7/IL-7R signaling pathway renders T cell-deficient mice more sensitive to chemically-induced IEC damage and subsequent colitis. In summary, our data demonstrate that IL-7 promotes IEC hyperplasia under lymphopenic conditions. Under non-lymphopenic conditions, however, T cells consume IL-7 thereby limiting IEC expansion and survival. Hence, the degree of IL-7 availability regulates both, T cell and IEC homeostasis.","author":[{"dropping-particle":"","family":"Shalapour","given":"Shabnam","non-dropping-particle":"","parse-names":false,"suffix":""},{"dropping-particle":"","family":"Deiser","given":"Katrin","non-dropping-particle":"","parse-names":false,"suffix":""},{"dropping-particle":"","family":"Kühl","given":"Anja A.","non-dropping-particle":"","parse-names":false,"suffix":""},{"dropping-particle":"","family":"Glauben","given":"Rainer","non-dropping-particle":"","parse-names":false,"suffix":""},{"dropping-particle":"","family":"Krug","given":"Susanne M.","non-dropping-particle":"","parse-names":false,"suffix":""},{"dropping-particle":"","family":"Fischer","given":"André","non-dropping-particle":"","parse-names":false,"suffix":""},{"dropping-particle":"","family":"Sercan","given":"Özen","non-dropping-particle":"","parse-names":false,"suffix":""},{"dropping-particle":"","family":"Chappaz","given":"Stephane","non-dropping-particle":"","parse-names":false,"suffix":""},{"dropping-particle":"","family":"Bereswill","given":"Stefan","non-dropping-particle":"","parse-names":false,"suffix":""},{"dropping-particle":"","family":"Heimesaat","given":"Markus M.","non-dropping-particle":"","parse-names":false,"suffix":""},{"dropping-particle":"","family":"Loddenkemper","given":"Christoph","non-dropping-particle":"","parse-names":false,"suffix":""},{"dropping-particle":"","family":"Fromm","given":"Michael","non-dropping-particle":"","parse-names":false,"suffix":""},{"dropping-particle":"","family":"Finke","given":"Daniela","non-dropping-particle":"","parse-names":false,"suffix":""},{"dropping-particle":"","family":"Hämmerling","given":"Günter J.","non-dropping-particle":"","parse-names":false,"suffix":""},{"dropping-particle":"","family":"Arnold","given":"Bernd","non-dropping-particle":"","parse-names":false,"suffix":""},{"dropping-particle":"","family":"Siegmund","given":"Britta","non-dropping-particle":"","parse-names":false,"suffix":""},{"dropping-particle":"","family":"Schüler","given":"Thomas","non-dropping-particle":"","parse-names":false,"suffix":""}],"container-title":"PLoS ONE","id":"ITEM-1","issue":"2","issued":{"date-parts":[["2012"]]},"title":"Interleukin-7 links T lymphocyte and intestinal epithelial cell homeostasis","type":"article-journal","volume":"7"},"uris":["http://www.mendeley.com/documents/?uuid=23f0f8fb-4194-49d9-a8e8-0a518a395f16"]}],"mendeley":{"formattedCitation":"&lt;sup&gt;6&lt;/sup&gt;","plainTextFormattedCitation":"6"},"properties":{"noteIndex":0},"schema":"https://github.com/citation-style-language/schema/raw/master/csl-citation.json"}</w:instrText>
            </w:r>
            <w:r w:rsidRPr="000300C6">
              <w:rPr>
                <w:sz w:val="18"/>
                <w:szCs w:val="18"/>
              </w:rPr>
              <w:fldChar w:fldCharType="separate"/>
            </w:r>
            <w:r w:rsidRPr="000300C6">
              <w:rPr>
                <w:noProof/>
                <w:sz w:val="18"/>
                <w:szCs w:val="18"/>
                <w:vertAlign w:val="superscript"/>
              </w:rPr>
              <w:t>6</w:t>
            </w:r>
            <w:r w:rsidRPr="000300C6">
              <w:rPr>
                <w:sz w:val="18"/>
                <w:szCs w:val="18"/>
              </w:rPr>
              <w:fldChar w:fldCharType="end"/>
            </w:r>
            <w:r w:rsidRPr="000300C6">
              <w:rPr>
                <w:sz w:val="18"/>
                <w:szCs w:val="18"/>
              </w:rPr>
              <w:t xml:space="preserve">  </w:t>
            </w:r>
          </w:p>
        </w:tc>
        <w:tc>
          <w:tcPr>
            <w:tcW w:w="2693" w:type="dxa"/>
            <w:tcBorders>
              <w:left w:val="single" w:sz="4" w:space="0" w:color="auto"/>
            </w:tcBorders>
            <w:vAlign w:val="center"/>
          </w:tcPr>
          <w:p w14:paraId="28572F4A" w14:textId="77777777" w:rsidR="00CD6B23" w:rsidRPr="000300C6" w:rsidRDefault="00CD6B23" w:rsidP="006B2955">
            <w:pPr>
              <w:spacing w:line="300" w:lineRule="auto"/>
              <w:jc w:val="center"/>
              <w:rPr>
                <w:sz w:val="18"/>
                <w:szCs w:val="18"/>
                <w:lang w:val="en-US"/>
              </w:rPr>
            </w:pPr>
            <w:r w:rsidRPr="000300C6">
              <w:rPr>
                <w:sz w:val="18"/>
                <w:szCs w:val="18"/>
                <w:lang w:val="en-US"/>
              </w:rPr>
              <w:t>Decreased in cases</w:t>
            </w:r>
          </w:p>
        </w:tc>
      </w:tr>
      <w:tr w:rsidR="00CD6B23" w:rsidRPr="000300C6" w14:paraId="4DD35DD7" w14:textId="77777777" w:rsidTr="006B2955">
        <w:trPr>
          <w:cnfStyle w:val="000000100000" w:firstRow="0" w:lastRow="0" w:firstColumn="0" w:lastColumn="0" w:oddVBand="0" w:evenVBand="0" w:oddHBand="1" w:evenHBand="0" w:firstRowFirstColumn="0" w:firstRowLastColumn="0" w:lastRowFirstColumn="0" w:lastRowLastColumn="0"/>
          <w:trHeight w:val="24"/>
        </w:trPr>
        <w:tc>
          <w:tcPr>
            <w:tcW w:w="1413" w:type="dxa"/>
            <w:tcBorders>
              <w:top w:val="nil"/>
              <w:bottom w:val="nil"/>
              <w:right w:val="single" w:sz="4" w:space="0" w:color="auto"/>
            </w:tcBorders>
            <w:vAlign w:val="center"/>
            <w:hideMark/>
          </w:tcPr>
          <w:p w14:paraId="1A00D4A2" w14:textId="77777777" w:rsidR="00CD6B23" w:rsidRPr="000300C6" w:rsidRDefault="00CD6B23" w:rsidP="006B2955">
            <w:pPr>
              <w:spacing w:after="60" w:line="300" w:lineRule="auto"/>
              <w:jc w:val="center"/>
              <w:rPr>
                <w:b/>
                <w:caps/>
                <w:sz w:val="18"/>
                <w:szCs w:val="18"/>
              </w:rPr>
            </w:pPr>
            <w:r w:rsidRPr="000300C6">
              <w:rPr>
                <w:b/>
                <w:bCs/>
                <w:caps/>
                <w:sz w:val="18"/>
                <w:szCs w:val="18"/>
                <w:lang w:val="it-IT"/>
              </w:rPr>
              <w:t>IL-12/IL-23p40</w:t>
            </w:r>
          </w:p>
        </w:tc>
        <w:tc>
          <w:tcPr>
            <w:tcW w:w="4967" w:type="dxa"/>
            <w:tcBorders>
              <w:left w:val="single" w:sz="4" w:space="0" w:color="auto"/>
            </w:tcBorders>
            <w:hideMark/>
          </w:tcPr>
          <w:p w14:paraId="2CEA13FC" w14:textId="77777777" w:rsidR="00CD6B23" w:rsidRPr="000300C6" w:rsidRDefault="00CD6B23" w:rsidP="006B2955">
            <w:pPr>
              <w:spacing w:line="300" w:lineRule="auto"/>
              <w:jc w:val="both"/>
              <w:rPr>
                <w:sz w:val="18"/>
                <w:szCs w:val="18"/>
                <w:lang w:val="en-US"/>
              </w:rPr>
            </w:pPr>
            <w:r w:rsidRPr="000300C6">
              <w:rPr>
                <w:sz w:val="18"/>
                <w:szCs w:val="18"/>
                <w:lang w:val="en-US"/>
              </w:rPr>
              <w:t>IL-23 is a heterodimeric cytokine (IL-23p19 and IL-12p40).</w:t>
            </w:r>
            <w:r w:rsidRPr="000300C6">
              <w:rPr>
                <w:sz w:val="18"/>
                <w:szCs w:val="18"/>
                <w:lang w:val="en-US"/>
              </w:rPr>
              <w:fldChar w:fldCharType="begin" w:fldLock="1"/>
            </w:r>
            <w:r w:rsidRPr="000300C6">
              <w:rPr>
                <w:sz w:val="18"/>
                <w:szCs w:val="18"/>
                <w:lang w:val="en-US"/>
              </w:rPr>
              <w:instrText>ADDIN CSL_CITATION {"citationItems":[{"id":"ITEM-1","itemData":{"DOI":"10.1016/S1074-7613(00)00070-4","ISBN":"1074-7613 (Print) 1074-7613 (Linking)","ISSN":"10747613","PMID":"11114383","abstract":"A novel sequence discovered in a computational screen appears distantly related to the p35 subunit of IL-12. This factor, which we term p19, shows no biological activity by itself; instead, it combines with the p40 subunit of IL-12 to form a novel, biologically active, composite cytokine, which we term IL-23. Activated dendritic cells secrete detectable levels of this complex. IL-23 binds to IL-12Rβ1 but fails to engage IL-12Rβ2; nonetheless, IL-23 activates Stat4 in PHA blast T cells. IL-23 induces strong proliferation of mouse memory (CD4+CD45Rb(low)) T cells, a unique activity of IL-23 as IL-12 has no effect on this cell population. Similar to IL-12, human IL-23 stimulates IFN-γ production and proliferation in PHA blast T cells, as well as in CD45RO (memory) T cells.","author":[{"dropping-particle":"","family":"Oppmann","given":"Birgit","non-dropping-particle":"","parse-names":false,"suffix":""},{"dropping-particle":"","family":"Lesley","given":"Robin","non-dropping-particle":"","parse-names":false,"suffix":""},{"dropping-particle":"","family":"Blom","given":"Bianca","non-dropping-particle":"","parse-names":false,"suffix":""},{"dropping-particle":"","family":"Timans","given":"Jackie C.","non-dropping-particle":"","parse-names":false,"suffix":""},{"dropping-particle":"","family":"Xu","given":"Yuming","non-dropping-particle":"","parse-names":false,"suffix":""},{"dropping-particle":"","family":"Hunte","given":"Brisdell","non-dropping-particle":"","parse-names":false,"suffix":""},{"dropping-particle":"","family":"Vega","given":"Felix","non-dropping-particle":"","parse-names":false,"suffix":""},{"dropping-particle":"","family":"Yu","given":"Nancy","non-dropping-particle":"","parse-names":false,"suffix":""},{"dropping-particle":"","family":"Wang","given":"Jing","non-dropping-particle":"","parse-names":false,"suffix":""},{"dropping-particle":"","family":"Singh","given":"Komal","non-dropping-particle":"","parse-names":false,"suffix":""},{"dropping-particle":"","family":"Zonin","given":"Francesca","non-dropping-particle":"","parse-names":false,"suffix":""},{"dropping-particle":"","family":"Vaisberg","given":"Elena","non-dropping-particle":"","parse-names":false,"suffix":""},{"dropping-particle":"","family":"Churakova","given":"Tatyana","non-dropping-particle":"","parse-names":false,"suffix":""},{"dropping-particle":"","family":"Liu","given":"Man ru","non-dropping-particle":"","parse-names":false,"suffix":""},{"dropping-particle":"","family":"Gorman","given":"Daniel","non-dropping-particle":"","parse-names":false,"suffix":""},{"dropping-particle":"","family":"Wagner","given":"Janet","non-dropping-particle":"","parse-names":false,"suffix":""},{"dropping-particle":"","family":"Zurawski","given":"Sandra","non-dropping-particle":"","parse-names":false,"suffix":""},{"dropping-particle":"","family":"Liu","given":"Yong Jun","non-dropping-particle":"","parse-names":false,"suffix":""},{"dropping-particle":"","family":"Abrams","given":"John S.","non-dropping-particle":"","parse-names":false,"suffix":""},{"dropping-particle":"","family":"Moore","given":"Kevin W.","non-dropping-particle":"","parse-names":false,"suffix":""},{"dropping-particle":"","family":"Rennick","given":"Donna","non-dropping-particle":"","parse-names":false,"suffix":""},{"dropping-particle":"","family":"Waal-Malefyt","given":"Rene","non-dropping-particle":"De","parse-names":false,"suffix":""},{"dropping-particle":"","family":"Hannum","given":"Charles","non-dropping-particle":"","parse-names":false,"suffix":""},{"dropping-particle":"","family":"Bazan","given":"J. Fernando","non-dropping-particle":"","parse-names":false,"suffix":""},{"dropping-particle":"","family":"Kastelein","given":"Robert A.","non-dropping-particle":"","parse-names":false,"suffix":""}],"container-title":"Immunity","id":"ITEM-1","issue":"5","issued":{"date-parts":[["2000"]]},"page":"715-725","title":"Novel p19 protein engages IL-12p40 to form a cytokine, IL-23, with biological activities similar as well as distinct from IL-12","type":"article-journal","volume":"13"},"uris":["http://www.mendeley.com/documents/?uuid=d9755880-5fe3-48bb-b88b-3674aa553c96"]}],"mendeley":{"formattedCitation":"&lt;sup&gt;7&lt;/sup&gt;","plainTextFormattedCitation":"7","previouslyFormattedCitation":"&lt;sup&gt;7&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7</w:t>
            </w:r>
            <w:r w:rsidRPr="000300C6">
              <w:rPr>
                <w:sz w:val="18"/>
                <w:szCs w:val="18"/>
                <w:lang w:val="en-US"/>
              </w:rPr>
              <w:fldChar w:fldCharType="end"/>
            </w:r>
          </w:p>
          <w:p w14:paraId="2B0D68D0" w14:textId="77777777" w:rsidR="00CD6B23" w:rsidRPr="000300C6" w:rsidRDefault="00CD6B23" w:rsidP="006B2955">
            <w:pPr>
              <w:spacing w:line="300" w:lineRule="auto"/>
              <w:jc w:val="both"/>
              <w:rPr>
                <w:sz w:val="18"/>
                <w:szCs w:val="18"/>
              </w:rPr>
            </w:pPr>
            <w:r w:rsidRPr="000300C6">
              <w:rPr>
                <w:sz w:val="18"/>
                <w:szCs w:val="18"/>
                <w:lang w:val="en-US"/>
              </w:rPr>
              <w:t>Mediates local inflammatory response against infection through the innate immune system and is essential for the development of IBD.</w:t>
            </w:r>
            <w:r w:rsidRPr="000300C6">
              <w:rPr>
                <w:sz w:val="18"/>
                <w:szCs w:val="18"/>
                <w:lang w:val="en-US"/>
              </w:rPr>
              <w:fldChar w:fldCharType="begin" w:fldLock="1"/>
            </w:r>
            <w:r w:rsidRPr="000300C6">
              <w:rPr>
                <w:sz w:val="18"/>
                <w:szCs w:val="18"/>
                <w:lang w:val="en-US"/>
              </w:rPr>
              <w:instrText>ADDIN CSL_CITATION {"citationItems":[{"id":"ITEM-1","itemData":{"DOI":"10.1086/657143","ISSN":"0022-1899","abstract":"Background. Infants born prematurely are highly vulnerable to infections and also exhibit a high susceptibility to organ damage due to inflammation. Methods. To investigate homeostatic immune control early in life, we used advanced multiparameter flow cytometry to compare responses to multiple Toll-like receptor (TLR) ligands in single cells and mononuclear cell populations in term neonates versus preterm neonates born before 29 weeks of gestation. Results. Preterm neonates had globally attenuated TLR-stimulated interleukin (IL)-6, interferon-α, and, to a lesser extent, tumor necrosis factor-α responses but demonstrated relative preservation of anti-inflammatory IL10 responses in monocytes and dendritic cell subtypes. Remarkably, preterm neonates were also profoundly deficient in the common IL-12 and IL-23 cytokines' p40 subunit, which is critical for immunity against a wide variety of microbial pathogens in mice. Consistent with the increased susceptibility to infections resulting from the lack of IL-12/IL-23 in human newborns, significantly lower serum p40 concentrations were observed at birth in infants who developed early-onset sepsis. Conclusion. To our knowledge, this study is the first detailed analysis of multiple TLR function in neonates born extremely premature. Although attenuation of proinflammatory pathways may protect against tissue-damaging immunity early in life, this previously unrecognized p40 immune deficiency appears to result in considerably increased susceptibility to infection in human preterm newborns. ","author":[{"dropping-particle":"","family":"Lavoie","given":"Pascal M","non-dropping-particle":"","parse-names":false,"suffix":""},{"dropping-particle":"","family":"Huang","given":"Qing","non-dropping-particle":"","parse-names":false,"suffix":""},{"dropping-particle":"","family":"Jolette","given":"Elyse","non-dropping-particle":"","parse-names":false,"suffix":""},{"dropping-particle":"","family":"Whalen","given":"Mihoko","non-dropping-particle":"","parse-names":false,"suffix":""},{"dropping-particle":"","family":"Nuyt","given":"Anne Monique","non-dropping-particle":"","parse-names":false,"suffix":""},{"dropping-particle":"","family":"Audibert","given":"Francois","non-dropping-particle":"","parse-names":false,"suffix":""},{"dropping-particle":"","family":"Speert","given":"David P","non-dropping-particle":"","parse-names":false,"suffix":""},{"dropping-particle":"","family":"Lacaze-Masmonteil","given":"Thierry","non-dropping-particle":"","parse-names":false,"suffix":""},{"dropping-particle":"","family":"Soudeyns","given":"Hugo","non-dropping-particle":"","parse-names":false,"suffix":""},{"dropping-particle":"","family":"Kollmann","given":"Tobias R","non-dropping-particle":"","parse-names":false,"suffix":""}],"container-title":"The Journal of Infectious Diseases","id":"ITEM-1","issue":"11","issued":{"date-parts":[["2010","12","1"]]},"page":"1754-1763","publisher":"The University of Chicago Press","title":"Profound Lack of Interleukin (IL)-12/IL-23p40 in Neonates Born Early in Gestation Is Associated with an Increased Risk of Sepsis","type":"article-journal","volume":"202"},"uris":["http://www.mendeley.com/documents/?uuid=e3234964-ee2a-480b-a98e-da1ef7e9bf6d"]},{"id":"ITEM-2","itemData":{"DOI":"10.1016/j.immuni.2006.05.017","ISBN":"1074-7613 (Print)\\r1074-7613 (Linking)","ISSN":"10747613","PMID":"16919486","abstract":"The CD40-CD154 pathway is important in the pathogenesis of inflammatory bowel disease. Here we show that injection of an agonistic CD40 mAb to T and B cell-deficient mice was sufficient to induce a pathogenic systemic and intestinal innate inflammatory response that was functionally dependent on tumor necrosis factor-α and interferon-γ as well as interleukin-12 p40 and interleukin-23 p40 secretion. CD40-induced colitis, but not wasting disease or serum proinflammatory cytokine production, depended on interleukin-23 p19 secretion, whereas interleukin-12 p35 secretion controlled wasting disease and serum cytokine production but not mucosal immunopathology. Intestinal inflammation was associated with IL-23 (p19) mRNA-producing intestinal dendritic cells and IL-17A mRNA within the intestine. Our experiments identified IL-23 as an effector cytokine within the innate intestinal immune system. The differential role of IL-23 in local but not systemic inflammation suggests that it may make a more specific target for the treatment of IBD. © 2006 Elsevier Inc. All rights reserved.","author":[{"dropping-particle":"","family":"Uhlig","given":"Holm H.","non-dropping-particle":"","parse-names":false,"suffix":""},{"dropping-particle":"","family":"McKenzie","given":"Brent S.","non-dropping-particle":"","parse-names":false,"suffix":""},{"dropping-particle":"","family":"Hue","given":"Sophie","non-dropping-particle":"","parse-names":false,"suffix":""},{"dropping-particle":"","family":"Thompson","given":"Claire","non-dropping-particle":"","parse-names":false,"suffix":""},{"dropping-particle":"","family":"Joyce-Shaikh","given":"Barbara","non-dropping-particle":"","parse-names":false,"suffix":""},{"dropping-particle":"","family":"Stepankova","given":"Renata","non-dropping-particle":"","parse-names":false,"suffix":""},{"dropping-particle":"","family":"Robinson","given":"Nicolas","non-dropping-particle":"","parse-names":false,"suffix":""},{"dropping-particle":"","family":"Buonocore","given":"Sofia","non-dropping-particle":"","parse-names":false,"suffix":""},{"dropping-particle":"","family":"Tlaskalova-Hogenova","given":"Helena","non-dropping-particle":"","parse-names":false,"suffix":""},{"dropping-particle":"","family":"Cua","given":"Daniel J.","non-dropping-particle":"","parse-names":false,"suffix":""},{"dropping-particle":"","family":"Powrie","given":"Fiona","non-dropping-particle":"","parse-names":false,"suffix":""}],"container-title":"Immunity","id":"ITEM-2","issue":"2","issued":{"date-parts":[["2006"]]},"page":"309-318","title":"Differential Activity of IL-12 and IL-23 in Mucosal and Systemic Innate Immune Pathology","type":"article-journal","volume":"25"},"uris":["http://www.mendeley.com/documents/?uuid=5cfeac0f-c0e4-4e0d-88c8-45a29d36b79c"]}],"mendeley":{"formattedCitation":"&lt;sup&gt;8,9&lt;/sup&gt;","plainTextFormattedCitation":"8,9","previouslyFormattedCitation":"&lt;sup&gt;8,9&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8,9</w:t>
            </w:r>
            <w:r w:rsidRPr="000300C6">
              <w:rPr>
                <w:sz w:val="18"/>
                <w:szCs w:val="18"/>
                <w:lang w:val="en-US"/>
              </w:rPr>
              <w:fldChar w:fldCharType="end"/>
            </w:r>
            <w:r w:rsidRPr="000300C6">
              <w:rPr>
                <w:sz w:val="18"/>
                <w:szCs w:val="18"/>
                <w:lang w:val="en-US"/>
              </w:rPr>
              <w:t xml:space="preserve"> The IL-23/Th17 axis is associated to protective immunity and repair at mucosal surfaces.</w:t>
            </w:r>
            <w:r w:rsidRPr="000300C6">
              <w:rPr>
                <w:sz w:val="18"/>
                <w:szCs w:val="18"/>
                <w:lang w:val="en-US"/>
              </w:rPr>
              <w:fldChar w:fldCharType="begin" w:fldLock="1"/>
            </w:r>
            <w:r w:rsidRPr="000300C6">
              <w:rPr>
                <w:sz w:val="18"/>
                <w:szCs w:val="18"/>
                <w:lang w:val="en-US"/>
              </w:rPr>
              <w:instrText>ADDIN CSL_CITATION {"citationItems":[{"id":"ITEM-1","itemData":{"DOI":"10.1038/mi.2008.28","ISBN":"1935-3456 (Electronic)\\r1933-0219 (Linking)","ISSN":"1933-0219","PMID":"19079198","abstract":"The discovery of the Th1/Th2 paradigm of CD4(+) T-cell subsets redefined our understanding of immunity by highlighting the essential roles of cytokine networks in the induction and regulation of immune responses. Most recently, the identification of an additional subset, known as Th17 cells, has further illustrated the complexity and diversity of effector CD4(+) T cells. Th17 responses have been closely associated with the cytokine interleukin (IL)-23 and, although originally pinpointed as having a deleterious role in autoimmune tissue pathology, the IL-23/Th17 axis has also been associated with protective immunity at mucosal surfaces. Recent progress has highlighted the heterogeneous nature of Th17 responses, has demonstrated diverse cellular sources for Th17-associated cytokines, and has begun to dissect the individual roles of these cytokines in different disease processes. Here, we will review the evidence linking the IL-23/Th17 axis to chronic intestinal inflammation and also will discuss its beneficial roles in intestinal protection and homeostasis.","author":[{"dropping-particle":"","family":"Maloy","given":"K J","non-dropping-particle":"","parse-names":false,"suffix":""},{"dropping-particle":"","family":"Kullberg","given":"M C","non-dropping-particle":"","parse-names":false,"suffix":""}],"container-title":"Mucosal Immunology","id":"ITEM-1","issue":"5","issued":{"date-parts":[["2008"]]},"page":"339-349","title":"IL-23 and Th17 cytokines in intestinal homeostasis","type":"article-journal","volume":"1"},"uris":["http://www.mendeley.com/documents/?uuid=895e1d18-3c72-4696-8a59-aa759df6f117"]}],"mendeley":{"formattedCitation":"&lt;sup&gt;10&lt;/sup&gt;","plainTextFormattedCitation":"10","previouslyFormattedCitation":"&lt;sup&gt;10&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10</w:t>
            </w:r>
            <w:r w:rsidRPr="000300C6">
              <w:rPr>
                <w:sz w:val="18"/>
                <w:szCs w:val="18"/>
                <w:lang w:val="en-US"/>
              </w:rPr>
              <w:fldChar w:fldCharType="end"/>
            </w:r>
          </w:p>
        </w:tc>
        <w:tc>
          <w:tcPr>
            <w:tcW w:w="2693" w:type="dxa"/>
            <w:tcBorders>
              <w:left w:val="single" w:sz="4" w:space="0" w:color="auto"/>
            </w:tcBorders>
            <w:vAlign w:val="center"/>
          </w:tcPr>
          <w:p w14:paraId="3C7ACB3B" w14:textId="77777777" w:rsidR="00CD6B23" w:rsidRPr="000300C6" w:rsidRDefault="00CD6B23" w:rsidP="006B2955">
            <w:pPr>
              <w:spacing w:line="300" w:lineRule="auto"/>
              <w:jc w:val="center"/>
              <w:rPr>
                <w:b/>
                <w:sz w:val="18"/>
                <w:szCs w:val="18"/>
                <w:lang w:val="en-US"/>
              </w:rPr>
            </w:pPr>
            <w:r w:rsidRPr="000300C6">
              <w:rPr>
                <w:sz w:val="18"/>
                <w:szCs w:val="18"/>
                <w:lang w:val="en-US"/>
              </w:rPr>
              <w:t>Decreased in cases</w:t>
            </w:r>
          </w:p>
        </w:tc>
      </w:tr>
      <w:tr w:rsidR="00CD6B23" w:rsidRPr="000300C6" w14:paraId="33DE02D3" w14:textId="77777777" w:rsidTr="006B2955">
        <w:trPr>
          <w:trHeight w:val="314"/>
        </w:trPr>
        <w:tc>
          <w:tcPr>
            <w:tcW w:w="1413" w:type="dxa"/>
            <w:tcBorders>
              <w:top w:val="nil"/>
              <w:bottom w:val="nil"/>
              <w:right w:val="single" w:sz="4" w:space="0" w:color="auto"/>
            </w:tcBorders>
            <w:vAlign w:val="center"/>
            <w:hideMark/>
          </w:tcPr>
          <w:p w14:paraId="40C3DEEA" w14:textId="77777777" w:rsidR="00CD6B23" w:rsidRPr="000300C6" w:rsidRDefault="00CD6B23" w:rsidP="006B2955">
            <w:pPr>
              <w:spacing w:after="60" w:line="300" w:lineRule="auto"/>
              <w:jc w:val="center"/>
              <w:rPr>
                <w:b/>
                <w:caps/>
                <w:sz w:val="18"/>
                <w:szCs w:val="18"/>
              </w:rPr>
            </w:pPr>
            <w:r w:rsidRPr="000300C6">
              <w:rPr>
                <w:b/>
                <w:bCs/>
                <w:caps/>
                <w:sz w:val="18"/>
                <w:szCs w:val="18"/>
              </w:rPr>
              <w:t>IL-15</w:t>
            </w:r>
          </w:p>
        </w:tc>
        <w:tc>
          <w:tcPr>
            <w:tcW w:w="4967" w:type="dxa"/>
            <w:tcBorders>
              <w:left w:val="single" w:sz="4" w:space="0" w:color="auto"/>
            </w:tcBorders>
            <w:hideMark/>
          </w:tcPr>
          <w:p w14:paraId="354BA0BC" w14:textId="77777777" w:rsidR="00CD6B23" w:rsidRPr="000300C6" w:rsidRDefault="00CD6B23" w:rsidP="006B2955">
            <w:pPr>
              <w:spacing w:line="300" w:lineRule="auto"/>
              <w:jc w:val="both"/>
              <w:rPr>
                <w:sz w:val="18"/>
                <w:szCs w:val="18"/>
              </w:rPr>
            </w:pPr>
            <w:r w:rsidRPr="000300C6">
              <w:rPr>
                <w:sz w:val="18"/>
                <w:szCs w:val="18"/>
                <w:lang w:val="en-US"/>
              </w:rPr>
              <w:t>Upregulates T cell and NK cell activation and proliferation through the IL-2 receptor, for which it competes with IL-2.</w:t>
            </w:r>
            <w:r w:rsidRPr="000300C6">
              <w:rPr>
                <w:sz w:val="18"/>
                <w:szCs w:val="18"/>
                <w:lang w:val="en-US"/>
              </w:rPr>
              <w:fldChar w:fldCharType="begin" w:fldLock="1"/>
            </w:r>
            <w:r w:rsidRPr="000300C6">
              <w:rPr>
                <w:sz w:val="18"/>
                <w:szCs w:val="18"/>
                <w:lang w:val="en-US"/>
              </w:rPr>
              <w:instrText>ADDIN CSL_CITATION {"citationItems":[{"id":"ITEM-1","itemData":{"DOI":"10.1084/jem.180.4.1395","ISBN":"0022-1007 (Print) 0022-1007 (Linking)","ISSN":"0022-1007","PMID":"7523571","abstract":"Interleukin 15 (IL-15) is a novel cytokine that has recently been cloned and expressed. Whereas it has no sequence homology with IL-2, IL-15 interacts with components of the IL-2 receptor (IL-2R). In the present study we performed a functional analysis of recombinant IL-15 on phenotypically and functionally distinct populations of highly purified human natural killer (NK) cells. The CD56bright subset of human NK cells constitutively expresses the high affinity IL-2R and exhibits a brisk proliferative response after the binding of picomolar amounts of IL-2. Using a proliferation assay, IL-15 demonstrated a very steep dose-response curve that was distinct from the dose-response curve for IL-2. The proliferative effects of IL-15 could be abrogated by anti-IL-2R beta (p75), but not by anti-IL-2R alpha (p55). The proliferative effects of IL-2 on CD56bright NK cells could be inhibited by both antibodies. CD56dim NK cells express the intermediate affinity IL-2R in the absence of the high affinity IL-2R. Activation of CD56dim NK cells by IL-15 was similar to that of IL-2 as measured by enhanced NK cytotoxic activity, antibody-dependent cellular cytotoxicity, and NK cell production of interferon gamma, tumor necrosis factor alpha, and granulocyte/macrophage colony-stimulating factor. The IL-15-enhanced NK cytotoxic activity could be completely blocked by anti-IL-2R beta monoclonal antibody. The binding of radiolabeled IL-2 and IL-15 to CD56dim NK cells was inhibited in the presence of anti-IL-2R beta. Scatchard analysis of radiolabeled IL-15 and IL-2 binding to NK-enriched human lymphocytes revealed the presence of high and intermediate affinity receptors for both ligands. IL-15 is a ligand that activates human NK cells through components of the IL-2R in a pattern that is similar but not identical to that of IL-2. Unlike IL-2, IL-15 is produced by activated monocytes/macrophages. The discovery of IL-15 may increase our understanding of how monocytes/macrophages participate in the regulation of NK cell function.","author":[{"dropping-particle":"","family":"Carson","given":"W. E.","non-dropping-particle":"","parse-names":false,"suffix":""}],"container-title":"Journal of Experimental Medicine","id":"ITEM-1","issue":"4","issued":{"date-parts":[["1994"]]},"page":"1395-1403","title":"Interleukin (IL) 15 is a novel cytokine that activates human natural killer cells via components of the IL-2 receptor","type":"article-journal","volume":"180"},"uris":["http://www.mendeley.com/documents/?uuid=f6a78f9e-6de9-4e1b-ab54-5f31219d2659"]}],"mendeley":{"formattedCitation":"&lt;sup&gt;11&lt;/sup&gt;","plainTextFormattedCitation":"11","previouslyFormattedCitation":"&lt;sup&gt;11&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11</w:t>
            </w:r>
            <w:r w:rsidRPr="000300C6">
              <w:rPr>
                <w:sz w:val="18"/>
                <w:szCs w:val="18"/>
                <w:lang w:val="en-US"/>
              </w:rPr>
              <w:fldChar w:fldCharType="end"/>
            </w:r>
            <w:r w:rsidRPr="000300C6">
              <w:rPr>
                <w:sz w:val="18"/>
                <w:szCs w:val="18"/>
                <w:lang w:val="en-US"/>
              </w:rPr>
              <w:t xml:space="preserve"> </w:t>
            </w:r>
          </w:p>
          <w:p w14:paraId="31620B17" w14:textId="77777777" w:rsidR="00CD6B23" w:rsidRPr="000300C6" w:rsidRDefault="00CD6B23" w:rsidP="006B2955">
            <w:pPr>
              <w:spacing w:line="300" w:lineRule="auto"/>
              <w:jc w:val="both"/>
              <w:rPr>
                <w:sz w:val="18"/>
                <w:szCs w:val="18"/>
              </w:rPr>
            </w:pPr>
            <w:r w:rsidRPr="000300C6">
              <w:rPr>
                <w:sz w:val="18"/>
                <w:szCs w:val="18"/>
                <w:lang w:val="en-US"/>
              </w:rPr>
              <w:t>Is essential in the microbiota signal-detecting NOD2 pathway for maintenance of intestinal intra-epithelial lymphocytes (which reduce risk of colitis).</w:t>
            </w:r>
            <w:r w:rsidRPr="000300C6">
              <w:rPr>
                <w:sz w:val="18"/>
                <w:szCs w:val="18"/>
                <w:lang w:val="en-US"/>
              </w:rPr>
              <w:fldChar w:fldCharType="begin" w:fldLock="1"/>
            </w:r>
            <w:r w:rsidRPr="000300C6">
              <w:rPr>
                <w:sz w:val="18"/>
                <w:szCs w:val="18"/>
                <w:lang w:val="en-US"/>
              </w:rPr>
              <w:instrText>ADDIN CSL_CITATION {"citationItems":[{"id":"ITEM-1","itemData":{"DOI":"10.1084/jem.20122490","ISBN":"1540-9538 (Electronic)\\r0022-1007 (Linking)","ISSN":"0022-1007","PMID":"24062413","abstract":"NOD2 functions as an intracellular sensor for microbial pathogen and plays an important role in epithelial defense. The loss-of-function mutation of NOD2 is strongly associated with human Crohn's disease (CD). However, the mechanisms of how NOD2 maintains the intestinal homeostasis and regulates the susceptibility of CD are still unclear. Here we found that the numbers of intestinal intraepithelial lymphocytes (IELs) were reduced significantly in Nod2(-/-) mice and the residual IELs displayed reduced proliferation and increased apoptosis. Further study showed that NOD2 signaling maintained IELs via recognition of gut microbiota and IL-15 production. Notably, recovery of IELs by adoptive transfer could reduce the susceptibility of Nod2(-/-) mice to the 2,4,6-trinitrobenzene sulfonic acid (TNBS)-induced colitis. Our results demonstrate that recognition of gut microbiota by NOD2 is important to maintain the homeostasis of IELs and provide a clue that may link NOD2 variation to the impaired innate immunity and higher susceptibility in CD.","author":[{"dropping-particle":"","family":"Jiang","given":"Wei","non-dropping-particle":"","parse-names":false,"suffix":""},{"dropping-particle":"","family":"Wang","given":"Xiaqiong","non-dropping-particle":"","parse-names":false,"suffix":""},{"dropping-particle":"","family":"Zeng","given":"Benhua","non-dropping-particle":"","parse-names":false,"suffix":""},{"dropping-particle":"","family":"Liu","given":"Lei","non-dropping-particle":"","parse-names":false,"suffix":""},{"dropping-particle":"","family":"Tardivel","given":"Aubry","non-dropping-particle":"","parse-names":false,"suffix":""},{"dropping-particle":"","family":"Wei","given":"Hong","non-dropping-particle":"","parse-names":false,"suffix":""},{"dropping-particle":"","family":"Han","given":"Jiahuai","non-dropping-particle":"","parse-names":false,"suffix":""},{"dropping-particle":"","family":"MacDonald","given":"H. Robson","non-dropping-particle":"","parse-names":false,"suffix":""},{"dropping-particle":"","family":"Tschopp","given":"Jurg","non-dropping-particle":"","parse-names":false,"suffix":""},{"dropping-particle":"","family":"Tian","given":"Zhigang","non-dropping-particle":"","parse-names":false,"suffix":""},{"dropping-particle":"","family":"Zhou","given":"Rongbin","non-dropping-particle":"","parse-names":false,"suffix":""}],"container-title":"The Journal of Experimental Medicine","id":"ITEM-1","issue":"11","issued":{"date-parts":[["2013"]]},"page":"2465-2476","title":"Recognition of gut microbiota by NOD2 is essential for the homeostasis of intestinal intraepithelial lymphocytes","type":"article-journal","volume":"210"},"uris":["http://www.mendeley.com/documents/?uuid=af345854-93ca-4b9c-b247-14bf06cd7d7e"]}],"mendeley":{"formattedCitation":"&lt;sup&gt;12&lt;/sup&gt;","plainTextFormattedCitation":"12","previouslyFormattedCitation":"&lt;sup&gt;12&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12</w:t>
            </w:r>
            <w:r w:rsidRPr="000300C6">
              <w:rPr>
                <w:sz w:val="18"/>
                <w:szCs w:val="18"/>
                <w:lang w:val="en-US"/>
              </w:rPr>
              <w:fldChar w:fldCharType="end"/>
            </w:r>
            <w:r w:rsidRPr="000300C6">
              <w:rPr>
                <w:sz w:val="18"/>
                <w:szCs w:val="18"/>
                <w:lang w:val="en-US"/>
              </w:rPr>
              <w:t xml:space="preserve"> Also protects from colitis through inhibition of apoptosis of intestinal epithelial cells in a caspase 3-dependent mechanism.</w:t>
            </w:r>
            <w:r w:rsidRPr="000300C6">
              <w:rPr>
                <w:sz w:val="18"/>
                <w:szCs w:val="18"/>
                <w:lang w:val="en-US"/>
              </w:rPr>
              <w:fldChar w:fldCharType="begin" w:fldLock="1"/>
            </w:r>
            <w:r w:rsidRPr="000300C6">
              <w:rPr>
                <w:sz w:val="18"/>
                <w:szCs w:val="18"/>
                <w:lang w:val="en-US"/>
              </w:rPr>
              <w:instrText>ADDIN CSL_CITATION {"citationItems":[{"id":"ITEM-1","itemData":{"DOI":"10.1002/eji.200535173","ISBN":"1521-4141","ISSN":"00142980","PMID":"16981178","abstract":"IL-15, a T-cell growth factor, has been shown to be increased in inflammatory bowel disease (IBD). It has been suggested that neutralization of IL-15 could protect from T cell-dependent autoimmune inflammation. On the other hand, an anti-apoptotic effect of IL-15 has been demonstrated in kidney epithelial cells during nephritis. We therefore tested the role of IL-15 in two different experimental models of colitis in vivo, and in models of intestinal epithelial cell (IEC) apoptosis in vitro. IL-15 blockade in chronic dextran sulphate sodium-induced colitis resulted in aggravation of the disease with a significantly 2.1-fold increased epithelial damage score compared to controls. TUNEL staining clearly revealed increased apoptosis. IL-6, TNF and IFN-gamma secretion by mesenteric lymph node cells were increased. In the T cell-dependent SCID transfer model of colitis IL-15 neutralization reduced the inflammatory infiltration and proinflammatory cytokine production. Despite that, the intestinal epithelial damage was not reduced. In vitro, IL-15 pre-incubation prevented up to 75% of CH11 antibody-induced apoptosis in SW-480 cells and reduced caspase-3 activity. According to this, endogenously produced IL-15 in chronic colitis does not only act as a proinflammatory cytokine but has at the same time the potential to reduce mucosal damage by preventing IEC apoptosis.","author":[{"dropping-particle":"","family":"Obermeier","given":"Florian","non-dropping-particle":"","parse-names":false,"suffix":""},{"dropping-particle":"","family":"Hausmann","given":"Martin","non-dropping-particle":"","parse-names":false,"suffix":""},{"dropping-particle":"","family":"Kellermeier","given":"Silvia","non-dropping-particle":"","parse-names":false,"suffix":""},{"dropping-particle":"","family":"Kiessling","given":"Stefan","non-dropping-particle":"","parse-names":false,"suffix":""},{"dropping-particle":"","family":"Strauch","given":"Ulrike G.","non-dropping-particle":"","parse-names":false,"suffix":""},{"dropping-particle":"","family":"Duitman","given":"Erwin","non-dropping-particle":"","parse-names":false,"suffix":""},{"dropping-particle":"","family":"Bulfone-Paus","given":"Silvia","non-dropping-particle":"","parse-names":false,"suffix":""},{"dropping-particle":"","family":"Herfarth","given":"Hans","non-dropping-particle":"","parse-names":false,"suffix":""},{"dropping-particle":"","family":"Bock","given":"J??rgen","non-dropping-particle":"","parse-names":false,"suffix":""},{"dropping-particle":"","family":"Dunger","given":"Nadja","non-dropping-particle":"","parse-names":false,"suffix":""},{"dropping-particle":"","family":"Stoeck","given":"Michael","non-dropping-particle":"","parse-names":false,"suffix":""},{"dropping-particle":"","family":"Sch??lmerich","given":"J??rgen","non-dropping-particle":"","parse-names":false,"suffix":""},{"dropping-particle":"","family":"Falk","given":"Werner","non-dropping-particle":"","parse-names":false,"suffix":""},{"dropping-particle":"","family":"Rogler","given":"Gerhard","non-dropping-particle":"","parse-names":false,"suffix":""}],"container-title":"European Journal of Immunology","id":"ITEM-1","issue":"10","issued":{"date-parts":[["2006"]]},"page":"2691-2699","title":"IL-15 protects intestinal epithelial cells","type":"article-journal","volume":"36"},"uris":["http://www.mendeley.com/documents/?uuid=b7a802eb-fe4d-4820-9ebd-2731b9f60077"]}],"mendeley":{"formattedCitation":"&lt;sup&gt;13&lt;/sup&gt;","plainTextFormattedCitation":"13","previouslyFormattedCitation":"&lt;sup&gt;13&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13</w:t>
            </w:r>
            <w:r w:rsidRPr="000300C6">
              <w:rPr>
                <w:sz w:val="18"/>
                <w:szCs w:val="18"/>
                <w:lang w:val="en-US"/>
              </w:rPr>
              <w:fldChar w:fldCharType="end"/>
            </w:r>
          </w:p>
        </w:tc>
        <w:tc>
          <w:tcPr>
            <w:tcW w:w="2693" w:type="dxa"/>
            <w:tcBorders>
              <w:left w:val="single" w:sz="4" w:space="0" w:color="auto"/>
            </w:tcBorders>
            <w:vAlign w:val="center"/>
          </w:tcPr>
          <w:p w14:paraId="19502D13" w14:textId="77777777" w:rsidR="00CD6B23" w:rsidRPr="000300C6" w:rsidRDefault="00CD6B23" w:rsidP="006B2955">
            <w:pPr>
              <w:spacing w:line="300" w:lineRule="auto"/>
              <w:jc w:val="center"/>
              <w:rPr>
                <w:sz w:val="18"/>
                <w:szCs w:val="18"/>
                <w:lang w:val="en-US"/>
              </w:rPr>
            </w:pPr>
            <w:r w:rsidRPr="000300C6">
              <w:rPr>
                <w:sz w:val="18"/>
                <w:szCs w:val="18"/>
                <w:lang w:val="en-US"/>
              </w:rPr>
              <w:t>Decreased in cases</w:t>
            </w:r>
          </w:p>
        </w:tc>
      </w:tr>
      <w:tr w:rsidR="00CD6B23" w:rsidRPr="0090498C" w14:paraId="615139E7" w14:textId="77777777" w:rsidTr="006B2955">
        <w:trPr>
          <w:cnfStyle w:val="000000100000" w:firstRow="0" w:lastRow="0" w:firstColumn="0" w:lastColumn="0" w:oddVBand="0" w:evenVBand="0" w:oddHBand="1" w:evenHBand="0" w:firstRowFirstColumn="0" w:firstRowLastColumn="0" w:lastRowFirstColumn="0" w:lastRowLastColumn="0"/>
          <w:trHeight w:val="24"/>
        </w:trPr>
        <w:tc>
          <w:tcPr>
            <w:tcW w:w="1413" w:type="dxa"/>
            <w:tcBorders>
              <w:top w:val="nil"/>
              <w:bottom w:val="single" w:sz="4" w:space="0" w:color="auto"/>
              <w:right w:val="single" w:sz="4" w:space="0" w:color="auto"/>
            </w:tcBorders>
            <w:vAlign w:val="center"/>
            <w:hideMark/>
          </w:tcPr>
          <w:p w14:paraId="671F3915" w14:textId="77777777" w:rsidR="00CD6B23" w:rsidRPr="000300C6" w:rsidRDefault="00CD6B23" w:rsidP="006B2955">
            <w:pPr>
              <w:spacing w:after="60" w:line="300" w:lineRule="auto"/>
              <w:jc w:val="center"/>
              <w:rPr>
                <w:b/>
                <w:caps/>
                <w:sz w:val="18"/>
                <w:szCs w:val="18"/>
              </w:rPr>
            </w:pPr>
            <w:r w:rsidRPr="000300C6">
              <w:rPr>
                <w:b/>
                <w:bCs/>
                <w:caps/>
                <w:sz w:val="18"/>
                <w:szCs w:val="18"/>
              </w:rPr>
              <w:t>IL-16</w:t>
            </w:r>
          </w:p>
        </w:tc>
        <w:tc>
          <w:tcPr>
            <w:tcW w:w="4967" w:type="dxa"/>
            <w:tcBorders>
              <w:left w:val="single" w:sz="4" w:space="0" w:color="auto"/>
            </w:tcBorders>
            <w:hideMark/>
          </w:tcPr>
          <w:p w14:paraId="33DDD211" w14:textId="77777777" w:rsidR="00CD6B23" w:rsidRPr="000300C6" w:rsidRDefault="00CD6B23" w:rsidP="006B2955">
            <w:pPr>
              <w:spacing w:line="300" w:lineRule="auto"/>
              <w:jc w:val="both"/>
              <w:rPr>
                <w:sz w:val="18"/>
                <w:szCs w:val="18"/>
              </w:rPr>
            </w:pPr>
            <w:r w:rsidRPr="000300C6">
              <w:rPr>
                <w:sz w:val="18"/>
                <w:szCs w:val="18"/>
                <w:lang w:val="en-US"/>
              </w:rPr>
              <w:t>Chemoattractant which can be produced by cells including the lymphoid lineage and epithelial cells.</w:t>
            </w:r>
            <w:r w:rsidRPr="000300C6">
              <w:rPr>
                <w:sz w:val="18"/>
                <w:szCs w:val="18"/>
                <w:lang w:val="en-US"/>
              </w:rPr>
              <w:fldChar w:fldCharType="begin" w:fldLock="1"/>
            </w:r>
            <w:r w:rsidRPr="000300C6">
              <w:rPr>
                <w:sz w:val="18"/>
                <w:szCs w:val="18"/>
                <w:lang w:val="en-US"/>
              </w:rPr>
              <w:instrText>ADDIN CSL_CITATION {"citationItems":[{"id":"ITEM-1","itemData":{"DOI":"10.4049/jimmunol.168.9.4756","ISBN":"0022-1767 (Print)\\r0022-1767 (Linking)","ISSN":"0022-1767","PMID":"11971026","abstract":"Human eosinophils are potential sources of inflammatory and immunomodulatory mediators, including cysteinyl leukotrienes, chemokines, and cytokines, which are pertinent to allergic inflammation. We evaluated the means by which IL-16, a recognized eosinophil chemoattractant, might act on eosinophils to affect their capacity to release leukotriene C(4) (LTC(4)) or their preformed stores of chemokines (eotaxin, RANTES) or Th1 (IL-12) or Th2 (IL-4) cytokines. IL-16 dose dependently (0.01-100 nM) elicited new lipid body formation, intracellular LTC(4) formation at lipid bodies, and priming for enhanced calcium ionophore-activated LTC(4) release. IL-16 also elicited brefeldin A-inhibitable, vesicular transport-mediated release of preformed IL-4, but not IL-12, from eosinophils. CD4 is a recognized IL-16R, and accordingly anti-CD4 Fab, soluble CD4, and a CD4 domain 4-based IL-16 blocking peptide inhibited the actions of IL-16 on eosinophils. Although CD4 is not G-protein coupled, pertussis toxin inhibited IL-16-induced eosinophil activation. IL-16 actions were found to be mediated by the autocrine activity, not of platelet-activating factor, but rather of endogenous CCR3-acting chemokines. IL-16 induced the rapid vesicular transport-mediated release of RANTES. The effects of IL-16 were blocked by CCR3 inhibitors (met-RANTES, anti-CCR3 mAb) and by neutralizing anti-eotaxin and anti-RANTES mAbs, but not by platelet-activating factor receptor antagonists (CV6209, BN52021). RANTES and eotaxin each enhanced LTC(4) and IL-4 (but not IL-12) release. Therefore, IL-16 activation of eosinophils is CD4-mediated to elicit the extracellular release of preformed RANTES and eotaxin, which then in an autocrine fashion act on plasma membrane CCR3 receptors to stimulate both enhanced LTC(4) production and the preferential release of IL-4, but not IL-12, from within eosinophils.","author":[{"dropping-particle":"","family":"Bandeira-Melo","given":"Christianne","non-dropping-particle":"","parse-names":false,"suffix":""},{"dropping-particle":"","family":"Sugiyama","given":"Kumiya","non-dropping-particle":"","parse-names":false,"suffix":""},{"dropping-particle":"","family":"Woods","given":"Lesley J","non-dropping-particle":"","parse-names":false,"suffix":""},{"dropping-particle":"","family":"Phoofolo","given":"Mojabeng","non-dropping-particle":"","parse-names":false,"suffix":""},{"dropping-particle":"","family":"Center","given":"David M","non-dropping-particle":"","parse-names":false,"suffix":""},{"dropping-particle":"","family":"Cruikshank","given":"William W","non-dropping-particle":"","parse-names":false,"suffix":""},{"dropping-particle":"","family":"Weller","given":"Peter F","non-dropping-particle":"","parse-names":false,"suffix":""}],"container-title":"Journal of immunology (Baltimore, Md. : 1950)","id":"ITEM-1","issue":"9","issued":{"date-parts":[["2002"]]},"page":"4756-63","title":"IL-16 promotes leukotriene C(4) and IL-4 release from human eosinophils via CD4- and autocrine CCR3-chemokine-mediated signaling.","type":"article-journal","volume":"168"},"uris":["http://www.mendeley.com/documents/?uuid=e01f7789-7979-4562-bdb4-33965a9bb5bb"]}],"mendeley":{"formattedCitation":"&lt;sup&gt;14&lt;/sup&gt;","plainTextFormattedCitation":"14","previouslyFormattedCitation":"&lt;sup&gt;14&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14</w:t>
            </w:r>
            <w:r w:rsidRPr="000300C6">
              <w:rPr>
                <w:sz w:val="18"/>
                <w:szCs w:val="18"/>
                <w:lang w:val="en-US"/>
              </w:rPr>
              <w:fldChar w:fldCharType="end"/>
            </w:r>
            <w:r w:rsidRPr="000300C6">
              <w:rPr>
                <w:sz w:val="18"/>
                <w:szCs w:val="18"/>
                <w:lang w:val="en-US"/>
              </w:rPr>
              <w:t xml:space="preserve"> Recruits and reversibly activates CD4+ cells (lymphocytes, dendritic cells, monocytes, eosinophils).</w:t>
            </w:r>
            <w:r w:rsidRPr="000300C6">
              <w:rPr>
                <w:sz w:val="18"/>
                <w:szCs w:val="18"/>
                <w:lang w:val="en-US"/>
              </w:rPr>
              <w:fldChar w:fldCharType="begin" w:fldLock="1"/>
            </w:r>
            <w:r w:rsidRPr="000300C6">
              <w:rPr>
                <w:sz w:val="18"/>
                <w:szCs w:val="18"/>
                <w:lang w:val="en-US"/>
              </w:rPr>
              <w:instrText>ADDIN CSL_CITATION {"citationItems":[{"id":"ITEM-1","itemData":{"ISSN":"0741-5400","PMID":"10857846","abstract":"Interleukin 16 (IL-16) was initially described in 1982 as the first T cell chemoattractant. Through interaction with CD4, IL-16 has now been characterized as a chemoattractant for a variety of CD4+ immune cells. Recent in vivo studies have more fully characterized IL-16 as an immunomodulatory cytokine that contributes to the regulatory process of CD4+ cell recruitment and activation at sites of inflammation in association with asthma and several autoimmune diseases. Since its cloning in 1994, IL-16 structure and function have been studied extensively. This review addresses the current data regarding IL-16 protein and gene structure; the expanding list of cells capable of generating IL-16; the direct interaction of IL-16 with its receptor, CD4; and the functional bioactivities of IL-16 as they relate to inflammation and HIV-1 infection. In addition, potential therapeutic modalities for IL-16 relating to inflammation and immune reconstitution in HIV-1 infection are also discussed.","author":[{"dropping-particle":"","family":"Cruikshank","given":"W W","non-dropping-particle":"","parse-names":false,"suffix":""},{"dropping-particle":"","family":"Kornfeld","given":"H","non-dropping-particle":"","parse-names":false,"suffix":""},{"dropping-particle":"","family":"Center","given":"D M","non-dropping-particle":"","parse-names":false,"suffix":""}],"container-title":"Journal of leukocyte biology","id":"ITEM-1","issue":"6","issued":{"date-parts":[["2000"]]},"page":"757-66","title":"Interleukin-16.","type":"article-journal","volume":"67"},"uris":["http://www.mendeley.com/documents/?uuid=b52288bf-981a-4ae4-89c6-315c26d6512d"]}],"mendeley":{"formattedCitation":"&lt;sup&gt;15&lt;/sup&gt;","plainTextFormattedCitation":"15","previouslyFormattedCitation":"&lt;sup&gt;15&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15</w:t>
            </w:r>
            <w:r w:rsidRPr="000300C6">
              <w:rPr>
                <w:sz w:val="18"/>
                <w:szCs w:val="18"/>
                <w:lang w:val="en-US"/>
              </w:rPr>
              <w:fldChar w:fldCharType="end"/>
            </w:r>
            <w:r w:rsidRPr="000300C6">
              <w:rPr>
                <w:sz w:val="18"/>
                <w:szCs w:val="18"/>
                <w:lang w:val="en-US"/>
              </w:rPr>
              <w:t xml:space="preserve"> Induces the expression of the IL-2 receptor and epidermal growth factor (which promotes intestinal barrier function).</w:t>
            </w:r>
            <w:r w:rsidRPr="000300C6">
              <w:rPr>
                <w:sz w:val="18"/>
                <w:szCs w:val="18"/>
                <w:lang w:val="en-US"/>
              </w:rPr>
              <w:fldChar w:fldCharType="begin" w:fldLock="1"/>
            </w:r>
            <w:r w:rsidRPr="000300C6">
              <w:rPr>
                <w:sz w:val="18"/>
                <w:szCs w:val="18"/>
                <w:lang w:val="en-US"/>
              </w:rPr>
              <w:instrText>ADDIN CSL_CITATION {"citationItems":[{"id":"ITEM-1","itemData":{"author":[{"dropping-particle":"","family":"Dembic","given":"Zlatko","non-dropping-particle":"","parse-names":false,"suffix":""}],"chapter-number":"IL-16","container-title":"The Cytokines of the Immune System","edition":"1st editio","editor":[{"dropping-particle":"","family":"Dembic","given":"Zlatko","non-dropping-particle":"","parse-names":false,"suffix":""}],"id":"ITEM-1","issued":{"date-parts":[["2015"]]},"page":"197-199","publisher":"Academic Press","publisher-place":"London","title":"IL-16","type":"chapter"},"uris":["http://www.mendeley.com/documents/?uuid=6ecbaf68-c2ef-4a76-979e-911b5ee327fb"]},{"id":"ITEM-2","itemData":{"DOI":"10.1155/2016/1927348","ISSN":"14661861","abstract":"Epidermal growth factor (EGF) is a 53-amino acid peptide that plays an important role in regulating cell growth, survival, migration, apoptosis, proliferation, and differentiation. In addition, EGF has been established to be an effective intestinal regulator helping to protect intestinal barrier integrity, which was essential for the absorption of nutrients and health in humans and animals. Several researches have demonstrated that EGF via binding to the EGF receptor and subsequent activation of Ras/MAPK, PI3K/AKT, PLC-&amp;#x3b3;/PKC, and STATS signal pathways regulates intestinal barrier function. In this review, the relationship between epidermal growth factor and intestinal development and intestinal barrier is described, to provide a better understanding of the effects of EGF on intestine development and health.","author":[{"dropping-particle":"","family":"Tang","given":"Xiaopeng","non-dropping-particle":"","parse-names":false,"suffix":""},{"dropping-particle":"","family":"Liu","given":"Hu","non-dropping-particle":"","parse-names":false,"suffix":""},{"dropping-particle":"","family":"Yang","given":"Shufen","non-dropping-particle":"","parse-names":false,"suffix":""},{"dropping-particle":"","family":"Li","given":"Zuohua","non-dropping-particle":"","parse-names":false,"suffix":""},{"dropping-particle":"","family":"Zhong","given":"Jinfeng","non-dropping-particle":"","parse-names":false,"suffix":""},{"dropping-particle":"","family":"Fang","given":"Rejun","non-dropping-particle":"","parse-names":false,"suffix":""}],"container-title":"Mediators of Inflammation","id":"ITEM-2","issued":{"date-parts":[["2016"]]},"title":"Epidermal Growth Factor and Intestinal Barrier Function","type":"article","volume":"2016"},"uris":["http://www.mendeley.com/documents/?uuid=d2009321-ed78-44e9-a48d-fe8626bd5ca6"]}],"mendeley":{"formattedCitation":"&lt;sup&gt;16,17&lt;/sup&gt;","plainTextFormattedCitation":"16,17","previouslyFormattedCitation":"&lt;sup&gt;16,17&lt;/sup&gt;"},"properties":{"noteIndex":0},"schema":"https://github.com/citation-style-language/schema/raw/master/csl-citation.json"}</w:instrText>
            </w:r>
            <w:r w:rsidRPr="000300C6">
              <w:rPr>
                <w:sz w:val="18"/>
                <w:szCs w:val="18"/>
                <w:lang w:val="en-US"/>
              </w:rPr>
              <w:fldChar w:fldCharType="separate"/>
            </w:r>
            <w:r w:rsidRPr="000300C6">
              <w:rPr>
                <w:noProof/>
                <w:sz w:val="18"/>
                <w:szCs w:val="18"/>
                <w:vertAlign w:val="superscript"/>
                <w:lang w:val="en-US"/>
              </w:rPr>
              <w:t>16,17</w:t>
            </w:r>
            <w:r w:rsidRPr="000300C6">
              <w:rPr>
                <w:sz w:val="18"/>
                <w:szCs w:val="18"/>
                <w:lang w:val="en-US"/>
              </w:rPr>
              <w:fldChar w:fldCharType="end"/>
            </w:r>
          </w:p>
        </w:tc>
        <w:tc>
          <w:tcPr>
            <w:tcW w:w="2693" w:type="dxa"/>
            <w:tcBorders>
              <w:left w:val="single" w:sz="4" w:space="0" w:color="auto"/>
            </w:tcBorders>
            <w:vAlign w:val="center"/>
          </w:tcPr>
          <w:p w14:paraId="5FD09E2E" w14:textId="77777777" w:rsidR="00CD6B23" w:rsidRPr="00F7346C" w:rsidRDefault="00CD6B23" w:rsidP="006B2955">
            <w:pPr>
              <w:spacing w:line="300" w:lineRule="auto"/>
              <w:jc w:val="center"/>
              <w:rPr>
                <w:sz w:val="18"/>
                <w:szCs w:val="18"/>
                <w:lang w:val="en-US"/>
              </w:rPr>
            </w:pPr>
            <w:r w:rsidRPr="000300C6">
              <w:rPr>
                <w:sz w:val="18"/>
                <w:szCs w:val="18"/>
                <w:lang w:val="en-US"/>
              </w:rPr>
              <w:t>Decreased in cases</w:t>
            </w:r>
          </w:p>
        </w:tc>
      </w:tr>
    </w:tbl>
    <w:p w14:paraId="65226760" w14:textId="02BDEF9C" w:rsidR="00A90B3B" w:rsidRDefault="00A90B3B">
      <w:pPr>
        <w:spacing w:after="160" w:line="259" w:lineRule="auto"/>
        <w:rPr>
          <w:rFonts w:asciiTheme="minorHAnsi" w:eastAsiaTheme="minorHAnsi" w:hAnsiTheme="minorHAnsi" w:cstheme="minorBidi"/>
          <w:b/>
          <w:bCs/>
          <w:iCs/>
          <w:color w:val="000000" w:themeColor="text1"/>
          <w:sz w:val="20"/>
          <w:szCs w:val="20"/>
          <w:lang w:val="en-GB"/>
        </w:rPr>
      </w:pPr>
    </w:p>
    <w:sectPr w:rsidR="00A90B3B">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9274D" w14:textId="77777777" w:rsidR="00CD7E74" w:rsidRDefault="00CD7E74" w:rsidP="00DB5DA5">
      <w:pPr>
        <w:spacing w:after="0" w:line="240" w:lineRule="auto"/>
      </w:pPr>
      <w:r>
        <w:separator/>
      </w:r>
    </w:p>
  </w:endnote>
  <w:endnote w:type="continuationSeparator" w:id="0">
    <w:p w14:paraId="2B4DEB15" w14:textId="77777777" w:rsidR="00CD7E74" w:rsidRDefault="00CD7E74" w:rsidP="00DB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003371"/>
      <w:docPartObj>
        <w:docPartGallery w:val="Page Numbers (Bottom of Page)"/>
        <w:docPartUnique/>
      </w:docPartObj>
    </w:sdtPr>
    <w:sdtEndPr>
      <w:rPr>
        <w:noProof/>
      </w:rPr>
    </w:sdtEndPr>
    <w:sdtContent>
      <w:p w14:paraId="20429745" w14:textId="051BD309" w:rsidR="00CD7E74" w:rsidRDefault="00CD7E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DB052" w14:textId="77777777" w:rsidR="00CD7E74" w:rsidRDefault="00CD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6FB66" w14:textId="77777777" w:rsidR="00CD7E74" w:rsidRDefault="00CD7E74" w:rsidP="00DB5DA5">
      <w:pPr>
        <w:spacing w:after="0" w:line="240" w:lineRule="auto"/>
      </w:pPr>
      <w:r>
        <w:separator/>
      </w:r>
    </w:p>
  </w:footnote>
  <w:footnote w:type="continuationSeparator" w:id="0">
    <w:p w14:paraId="63E9DAAC" w14:textId="77777777" w:rsidR="00CD7E74" w:rsidRDefault="00CD7E74" w:rsidP="00DB5D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54DC7"/>
    <w:multiLevelType w:val="hybridMultilevel"/>
    <w:tmpl w:val="6C8826F8"/>
    <w:lvl w:ilvl="0" w:tplc="618A6BFE">
      <w:start w:val="9"/>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CF"/>
    <w:rsid w:val="000221D1"/>
    <w:rsid w:val="000300C6"/>
    <w:rsid w:val="00052955"/>
    <w:rsid w:val="00054B8E"/>
    <w:rsid w:val="000739DC"/>
    <w:rsid w:val="000A534A"/>
    <w:rsid w:val="000C26A0"/>
    <w:rsid w:val="000C6873"/>
    <w:rsid w:val="00103D0C"/>
    <w:rsid w:val="001170AE"/>
    <w:rsid w:val="00130F90"/>
    <w:rsid w:val="00156305"/>
    <w:rsid w:val="001B4FA0"/>
    <w:rsid w:val="001C3D75"/>
    <w:rsid w:val="001D121C"/>
    <w:rsid w:val="001D7453"/>
    <w:rsid w:val="00205DF4"/>
    <w:rsid w:val="002538AB"/>
    <w:rsid w:val="002615AD"/>
    <w:rsid w:val="0027262D"/>
    <w:rsid w:val="0027551C"/>
    <w:rsid w:val="00277BA4"/>
    <w:rsid w:val="00277C1F"/>
    <w:rsid w:val="00280863"/>
    <w:rsid w:val="00286371"/>
    <w:rsid w:val="002D7B1C"/>
    <w:rsid w:val="002F33A3"/>
    <w:rsid w:val="00355AA7"/>
    <w:rsid w:val="003654B1"/>
    <w:rsid w:val="00385AA9"/>
    <w:rsid w:val="003B5BC9"/>
    <w:rsid w:val="003B72B5"/>
    <w:rsid w:val="003D2B29"/>
    <w:rsid w:val="003D3564"/>
    <w:rsid w:val="00405A6E"/>
    <w:rsid w:val="00422FF2"/>
    <w:rsid w:val="004570FF"/>
    <w:rsid w:val="004605EC"/>
    <w:rsid w:val="004A7A7C"/>
    <w:rsid w:val="004B04F1"/>
    <w:rsid w:val="004C1DFF"/>
    <w:rsid w:val="004E27EE"/>
    <w:rsid w:val="005079D9"/>
    <w:rsid w:val="00540E79"/>
    <w:rsid w:val="005E315A"/>
    <w:rsid w:val="005F20D0"/>
    <w:rsid w:val="005F40FD"/>
    <w:rsid w:val="00603F7E"/>
    <w:rsid w:val="0060612A"/>
    <w:rsid w:val="006619DD"/>
    <w:rsid w:val="00661B9B"/>
    <w:rsid w:val="006704A3"/>
    <w:rsid w:val="00683199"/>
    <w:rsid w:val="00686BA3"/>
    <w:rsid w:val="006B1AEA"/>
    <w:rsid w:val="006B1F91"/>
    <w:rsid w:val="006B2955"/>
    <w:rsid w:val="006C1C17"/>
    <w:rsid w:val="006C4962"/>
    <w:rsid w:val="006D56CF"/>
    <w:rsid w:val="006F0831"/>
    <w:rsid w:val="00712A17"/>
    <w:rsid w:val="007341ED"/>
    <w:rsid w:val="007422B9"/>
    <w:rsid w:val="00791FF6"/>
    <w:rsid w:val="007B33B9"/>
    <w:rsid w:val="007B53B7"/>
    <w:rsid w:val="007D2686"/>
    <w:rsid w:val="007E1E6A"/>
    <w:rsid w:val="00814988"/>
    <w:rsid w:val="00852525"/>
    <w:rsid w:val="00854A6C"/>
    <w:rsid w:val="008673EA"/>
    <w:rsid w:val="0089385F"/>
    <w:rsid w:val="008A6541"/>
    <w:rsid w:val="008E4DFD"/>
    <w:rsid w:val="008F2327"/>
    <w:rsid w:val="008F7845"/>
    <w:rsid w:val="00910320"/>
    <w:rsid w:val="00910321"/>
    <w:rsid w:val="009311FD"/>
    <w:rsid w:val="00952564"/>
    <w:rsid w:val="00981025"/>
    <w:rsid w:val="009A4096"/>
    <w:rsid w:val="009C0C8B"/>
    <w:rsid w:val="009F7341"/>
    <w:rsid w:val="00A14C16"/>
    <w:rsid w:val="00A63D38"/>
    <w:rsid w:val="00A81394"/>
    <w:rsid w:val="00A90B3B"/>
    <w:rsid w:val="00A93A67"/>
    <w:rsid w:val="00A957AD"/>
    <w:rsid w:val="00AA6EB8"/>
    <w:rsid w:val="00AB0235"/>
    <w:rsid w:val="00AB0B68"/>
    <w:rsid w:val="00AD1207"/>
    <w:rsid w:val="00B463C1"/>
    <w:rsid w:val="00B657DA"/>
    <w:rsid w:val="00BB1426"/>
    <w:rsid w:val="00BC2AB8"/>
    <w:rsid w:val="00BD506F"/>
    <w:rsid w:val="00C2062E"/>
    <w:rsid w:val="00C46D41"/>
    <w:rsid w:val="00C6057C"/>
    <w:rsid w:val="00CB709B"/>
    <w:rsid w:val="00CD3BD9"/>
    <w:rsid w:val="00CD6B23"/>
    <w:rsid w:val="00CD7E74"/>
    <w:rsid w:val="00D208E3"/>
    <w:rsid w:val="00D27029"/>
    <w:rsid w:val="00D92FCA"/>
    <w:rsid w:val="00DB3C90"/>
    <w:rsid w:val="00DB5DA5"/>
    <w:rsid w:val="00DB7C8F"/>
    <w:rsid w:val="00DC245E"/>
    <w:rsid w:val="00DF2489"/>
    <w:rsid w:val="00E16650"/>
    <w:rsid w:val="00E37373"/>
    <w:rsid w:val="00E37850"/>
    <w:rsid w:val="00E57C00"/>
    <w:rsid w:val="00E949DA"/>
    <w:rsid w:val="00ED11A3"/>
    <w:rsid w:val="00ED27CE"/>
    <w:rsid w:val="00EE38D2"/>
    <w:rsid w:val="00F20F81"/>
    <w:rsid w:val="00F358D5"/>
    <w:rsid w:val="00F50C02"/>
    <w:rsid w:val="00FA38D9"/>
    <w:rsid w:val="00FB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AF1E"/>
  <w15:chartTrackingRefBased/>
  <w15:docId w15:val="{9AEBB4C9-77B7-4B65-BF20-CFC84564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845"/>
    <w:pPr>
      <w:spacing w:after="200" w:line="276" w:lineRule="auto"/>
    </w:pPr>
    <w:rPr>
      <w:rFonts w:ascii="Calibri" w:eastAsia="Calibri" w:hAnsi="Calibri" w:cs="Times New Roman"/>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B657DA"/>
    <w:pPr>
      <w:keepNext/>
      <w:spacing w:after="120" w:line="240" w:lineRule="auto"/>
      <w:jc w:val="center"/>
    </w:pPr>
    <w:rPr>
      <w:rFonts w:asciiTheme="minorHAnsi" w:eastAsiaTheme="minorHAnsi" w:hAnsiTheme="minorHAnsi" w:cstheme="minorBidi"/>
      <w:b/>
      <w:bCs/>
      <w:iCs/>
      <w:color w:val="000000" w:themeColor="text1"/>
      <w:sz w:val="18"/>
      <w:szCs w:val="18"/>
      <w:lang w:val="en-GB"/>
    </w:rPr>
  </w:style>
  <w:style w:type="table" w:styleId="PlainTable4">
    <w:name w:val="Plain Table 4"/>
    <w:basedOn w:val="TableNormal"/>
    <w:uiPriority w:val="44"/>
    <w:rsid w:val="00385AA9"/>
    <w:pPr>
      <w:spacing w:after="0" w:line="240" w:lineRule="auto"/>
    </w:pPr>
    <w:rPr>
      <w:rFonts w:ascii="Calibri" w:eastAsia="Calibri" w:hAnsi="Calibri" w:cs="Times New Roman"/>
      <w:sz w:val="20"/>
      <w:szCs w:val="20"/>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6831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7B1C"/>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0B3B"/>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AD12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538AB"/>
    <w:pPr>
      <w:ind w:left="720"/>
      <w:contextualSpacing/>
    </w:pPr>
  </w:style>
  <w:style w:type="table" w:styleId="TableGrid">
    <w:name w:val="Table Grid"/>
    <w:basedOn w:val="TableNormal"/>
    <w:uiPriority w:val="39"/>
    <w:rsid w:val="0011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1D12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854A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A6C"/>
    <w:rPr>
      <w:rFonts w:ascii="Segoe UI" w:eastAsia="Calibri" w:hAnsi="Segoe UI" w:cs="Segoe UI"/>
      <w:sz w:val="18"/>
      <w:szCs w:val="18"/>
      <w:lang w:val="pt-PT"/>
    </w:rPr>
  </w:style>
  <w:style w:type="paragraph" w:styleId="Header">
    <w:name w:val="header"/>
    <w:basedOn w:val="Normal"/>
    <w:link w:val="HeaderChar"/>
    <w:uiPriority w:val="99"/>
    <w:unhideWhenUsed/>
    <w:rsid w:val="00DB5D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DA5"/>
    <w:rPr>
      <w:rFonts w:ascii="Calibri" w:eastAsia="Calibri" w:hAnsi="Calibri" w:cs="Times New Roman"/>
      <w:lang w:val="pt-PT"/>
    </w:rPr>
  </w:style>
  <w:style w:type="paragraph" w:styleId="Footer">
    <w:name w:val="footer"/>
    <w:basedOn w:val="Normal"/>
    <w:link w:val="FooterChar"/>
    <w:uiPriority w:val="99"/>
    <w:unhideWhenUsed/>
    <w:rsid w:val="00DB5D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DA5"/>
    <w:rPr>
      <w:rFonts w:ascii="Calibri" w:eastAsia="Calibri" w:hAnsi="Calibr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70.png"/><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4.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chart" Target="charts/chart2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9.png"/><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ARS\A%20-%20STRUCTURED%20THESIS%20WORK\New%20Cohort%202\Clinical%20metadata\MARS%20C2%20tox%20over%20time.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oleObject" Target="file:///E:\THESIS\Papers\The%20MARS%20paper\Utilities\New%20late%20cohort%20PRO%20plot.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1" Type="http://schemas.openxmlformats.org/officeDocument/2006/relationships/oleObject" Target="file:///E:\MARS\A%20-%20STRUCTURED%20THESIS%20WORK\New%20Cohort%203\Clinical%20metadata\Historical%20data\Historical%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MARS\A%20-%20STRUCTURED%20THESIS%20WORK\New%20Cohort%203\Clinical%20metadata\Historical%20data\Historical%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MARS\A%20-%20STRUCTURED%20THESIS%20WORK\New%20Cohort%203\By%20dosimetry%20&amp;%20ADT%20&amp;%20diet\Di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MARS\A%20-%20STRUCTURED%20THESIS%20WORK\New%20Cohort%203\By%20dosimetry%20&amp;%20ADT%20&amp;%20diet\Diet.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3" Type="http://schemas.openxmlformats.org/officeDocument/2006/relationships/oleObject" Target="file:///E:\MARS\A%20-%20STRUCTURED%20THESIS%20WORK\New%20Cohort%201\Symptoms\Metadata%20new%20C1.xls"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E:\MARS\A%20-%20STRUCTURED%20THESIS%20WORK\New%20Cohort%201\Symptoms\Symptoms%20and%20diet.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E:\MARS\A%20-%20STRUCTURED%20THESIS%20WORK\New%20Cohort%201\Symptoms\Symptoms%20and%20diet.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MARS\A%20-%20STRUCTURED%20THESIS%20WORK\New%20Cohort%202\Clinical%20metadata\MARS%20C2%20tox%20over%20time.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MARS\A%20-%20STRUCTURED%20THESIS%20WORK\New%20Cohort%203\Diversity\Diversity%20comparisons.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MARS\A%20-%20STRUCTURED%20THESIS%20WORK\New%20Cohort%202\Clinical%20metadata\MARS%20C2%20tox%20over%20tim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MARS\A%20-%20STRUCTURED%20THESIS%20WORK\New%20cohort%202\Diet\Die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MARS\A%20-%20STRUCTURED%20THESIS%20WORK\New%20cohort%202\Diet\Die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MARS\A%20-%20STRUCTURED%20THESIS%20WORK\New%20cohort%202\Diet\Die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MARS\A%20-%20STRUCTURED%20THESIS%20WORK\New%20cohort%202\Diet\Diet.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A</a:t>
            </a:r>
          </a:p>
        </c:rich>
      </c:tx>
      <c:layout>
        <c:manualLayout>
          <c:xMode val="edge"/>
          <c:yMode val="edge"/>
          <c:x val="0.97431891025641026"/>
          <c:y val="1.247771836007130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14763779527559"/>
          <c:y val="6.1979166666666689E-2"/>
          <c:w val="0.8112363298337707"/>
          <c:h val="0.60601176628489617"/>
        </c:manualLayout>
      </c:layout>
      <c:barChart>
        <c:barDir val="col"/>
        <c:grouping val="percentStacked"/>
        <c:varyColors val="0"/>
        <c:ser>
          <c:idx val="0"/>
          <c:order val="0"/>
          <c:tx>
            <c:strRef>
              <c:f>'Composite PLOT BASELINE'!$A$3</c:f>
              <c:strCache>
                <c:ptCount val="1"/>
                <c:pt idx="0">
                  <c:v>Grade 0</c:v>
                </c:pt>
              </c:strCache>
            </c:strRef>
          </c:tx>
          <c:spPr>
            <a:solidFill>
              <a:schemeClr val="accent3"/>
            </a:solidFill>
            <a:ln>
              <a:solidFill>
                <a:schemeClr val="tx1"/>
              </a:solidFill>
            </a:ln>
            <a:effectLst/>
          </c:spPr>
          <c:invertIfNegative val="0"/>
          <c:cat>
            <c:multiLvlStrRef>
              <c:f>'Composite PLOT BASELINE'!$B$1:$J$2</c:f>
              <c:multiLvlStrCache>
                <c:ptCount val="9"/>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lvl>
                <c:lvl>
                  <c:pt idx="0">
                    <c:v>Baseline</c:v>
                  </c:pt>
                </c:lvl>
              </c:multiLvlStrCache>
            </c:multiLvlStrRef>
          </c:cat>
          <c:val>
            <c:numRef>
              <c:f>'Composite PLOT BASELINE'!$B$3:$J$3</c:f>
              <c:numCache>
                <c:formatCode>General</c:formatCode>
                <c:ptCount val="9"/>
                <c:pt idx="0">
                  <c:v>29</c:v>
                </c:pt>
                <c:pt idx="1">
                  <c:v>29</c:v>
                </c:pt>
                <c:pt idx="2">
                  <c:v>27</c:v>
                </c:pt>
                <c:pt idx="3">
                  <c:v>31</c:v>
                </c:pt>
                <c:pt idx="4">
                  <c:v>30</c:v>
                </c:pt>
                <c:pt idx="5">
                  <c:v>31</c:v>
                </c:pt>
                <c:pt idx="6">
                  <c:v>32</c:v>
                </c:pt>
                <c:pt idx="7">
                  <c:v>32</c:v>
                </c:pt>
                <c:pt idx="8">
                  <c:v>26</c:v>
                </c:pt>
              </c:numCache>
            </c:numRef>
          </c:val>
          <c:extLst>
            <c:ext xmlns:c16="http://schemas.microsoft.com/office/drawing/2014/chart" uri="{C3380CC4-5D6E-409C-BE32-E72D297353CC}">
              <c16:uniqueId val="{00000000-9656-4412-83C2-809B0F832FCE}"/>
            </c:ext>
          </c:extLst>
        </c:ser>
        <c:ser>
          <c:idx val="1"/>
          <c:order val="1"/>
          <c:tx>
            <c:strRef>
              <c:f>'Composite PLOT BASELINE'!$A$4</c:f>
              <c:strCache>
                <c:ptCount val="1"/>
                <c:pt idx="0">
                  <c:v>Grade 1</c:v>
                </c:pt>
              </c:strCache>
            </c:strRef>
          </c:tx>
          <c:spPr>
            <a:solidFill>
              <a:schemeClr val="accent6"/>
            </a:solidFill>
            <a:ln>
              <a:solidFill>
                <a:schemeClr val="tx1"/>
              </a:solidFill>
            </a:ln>
            <a:effectLst/>
          </c:spPr>
          <c:invertIfNegative val="0"/>
          <c:cat>
            <c:multiLvlStrRef>
              <c:f>'Composite PLOT BASELINE'!$B$1:$J$2</c:f>
              <c:multiLvlStrCache>
                <c:ptCount val="9"/>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lvl>
                <c:lvl>
                  <c:pt idx="0">
                    <c:v>Baseline</c:v>
                  </c:pt>
                </c:lvl>
              </c:multiLvlStrCache>
            </c:multiLvlStrRef>
          </c:cat>
          <c:val>
            <c:numRef>
              <c:f>'Composite PLOT BASELINE'!$B$4:$J$4</c:f>
              <c:numCache>
                <c:formatCode>General</c:formatCode>
                <c:ptCount val="9"/>
                <c:pt idx="0">
                  <c:v>2</c:v>
                </c:pt>
                <c:pt idx="1">
                  <c:v>2</c:v>
                </c:pt>
                <c:pt idx="2">
                  <c:v>4</c:v>
                </c:pt>
                <c:pt idx="3">
                  <c:v>1</c:v>
                </c:pt>
                <c:pt idx="4">
                  <c:v>1</c:v>
                </c:pt>
                <c:pt idx="5">
                  <c:v>1</c:v>
                </c:pt>
                <c:pt idx="6">
                  <c:v>0</c:v>
                </c:pt>
                <c:pt idx="7">
                  <c:v>0</c:v>
                </c:pt>
                <c:pt idx="8">
                  <c:v>5</c:v>
                </c:pt>
              </c:numCache>
            </c:numRef>
          </c:val>
          <c:extLst>
            <c:ext xmlns:c16="http://schemas.microsoft.com/office/drawing/2014/chart" uri="{C3380CC4-5D6E-409C-BE32-E72D297353CC}">
              <c16:uniqueId val="{00000001-9656-4412-83C2-809B0F832FCE}"/>
            </c:ext>
          </c:extLst>
        </c:ser>
        <c:ser>
          <c:idx val="2"/>
          <c:order val="2"/>
          <c:tx>
            <c:strRef>
              <c:f>'Composite PLOT BASELINE'!$A$5</c:f>
              <c:strCache>
                <c:ptCount val="1"/>
                <c:pt idx="0">
                  <c:v>Grade 2+</c:v>
                </c:pt>
              </c:strCache>
            </c:strRef>
          </c:tx>
          <c:spPr>
            <a:solidFill>
              <a:schemeClr val="accent2"/>
            </a:solidFill>
            <a:ln>
              <a:solidFill>
                <a:schemeClr val="tx1"/>
              </a:solidFill>
            </a:ln>
            <a:effectLst/>
          </c:spPr>
          <c:invertIfNegative val="0"/>
          <c:cat>
            <c:multiLvlStrRef>
              <c:f>'Composite PLOT BASELINE'!$B$1:$J$2</c:f>
              <c:multiLvlStrCache>
                <c:ptCount val="9"/>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lvl>
                <c:lvl>
                  <c:pt idx="0">
                    <c:v>Baseline</c:v>
                  </c:pt>
                </c:lvl>
              </c:multiLvlStrCache>
            </c:multiLvlStrRef>
          </c:cat>
          <c:val>
            <c:numRef>
              <c:f>'Composite PLOT BASELINE'!$B$5:$J$5</c:f>
              <c:numCache>
                <c:formatCode>General</c:formatCode>
                <c:ptCount val="9"/>
                <c:pt idx="0">
                  <c:v>1</c:v>
                </c:pt>
                <c:pt idx="1">
                  <c:v>1</c:v>
                </c:pt>
                <c:pt idx="2">
                  <c:v>1</c:v>
                </c:pt>
                <c:pt idx="3">
                  <c:v>0</c:v>
                </c:pt>
                <c:pt idx="4">
                  <c:v>1</c:v>
                </c:pt>
                <c:pt idx="5">
                  <c:v>0</c:v>
                </c:pt>
                <c:pt idx="6">
                  <c:v>0</c:v>
                </c:pt>
                <c:pt idx="7">
                  <c:v>0</c:v>
                </c:pt>
                <c:pt idx="8">
                  <c:v>1</c:v>
                </c:pt>
              </c:numCache>
            </c:numRef>
          </c:val>
          <c:extLst>
            <c:ext xmlns:c16="http://schemas.microsoft.com/office/drawing/2014/chart" uri="{C3380CC4-5D6E-409C-BE32-E72D297353CC}">
              <c16:uniqueId val="{00000002-9656-4412-83C2-809B0F832FCE}"/>
            </c:ext>
          </c:extLst>
        </c:ser>
        <c:dLbls>
          <c:showLegendKey val="0"/>
          <c:showVal val="0"/>
          <c:showCatName val="0"/>
          <c:showSerName val="0"/>
          <c:showPercent val="0"/>
          <c:showBubbleSize val="0"/>
        </c:dLbls>
        <c:gapWidth val="150"/>
        <c:overlap val="100"/>
        <c:axId val="434019456"/>
        <c:axId val="434010928"/>
      </c:barChart>
      <c:catAx>
        <c:axId val="4340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0928"/>
        <c:crosses val="autoZero"/>
        <c:auto val="1"/>
        <c:lblAlgn val="ctr"/>
        <c:lblOffset val="100"/>
        <c:noMultiLvlLbl val="0"/>
      </c:catAx>
      <c:valAx>
        <c:axId val="4340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GB" sz="600" b="0"/>
                  <a:t>Percentage</a:t>
                </a:r>
                <a:r>
                  <a:rPr lang="en-GB" sz="600" b="0" baseline="0"/>
                  <a:t> of patients</a:t>
                </a:r>
                <a:endParaRPr lang="en-GB" sz="600" b="0"/>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9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'CRO plot'!$H$7</c:f>
              <c:strCache>
                <c:ptCount val="1"/>
                <c:pt idx="0">
                  <c:v>Grade 0</c:v>
                </c:pt>
              </c:strCache>
            </c:strRef>
          </c:tx>
          <c:spPr>
            <a:solidFill>
              <a:schemeClr val="accent6"/>
            </a:solidFill>
            <a:ln>
              <a:solidFill>
                <a:schemeClr val="tx1"/>
              </a:solidFill>
            </a:ln>
            <a:effectLst/>
          </c:spPr>
          <c:invertIfNegative val="0"/>
          <c:cat>
            <c:strRef>
              <c:f>'CRO plot'!$I$6:$K$6</c:f>
              <c:strCache>
                <c:ptCount val="3"/>
                <c:pt idx="0">
                  <c:v>RTOG Diarrhoea</c:v>
                </c:pt>
                <c:pt idx="1">
                  <c:v>RTOG Proctitis</c:v>
                </c:pt>
                <c:pt idx="2">
                  <c:v>RTOG max.</c:v>
                </c:pt>
              </c:strCache>
            </c:strRef>
          </c:cat>
          <c:val>
            <c:numRef>
              <c:f>'CRO plot'!$I$7:$K$7</c:f>
              <c:numCache>
                <c:formatCode>General</c:formatCode>
                <c:ptCount val="3"/>
                <c:pt idx="0">
                  <c:v>65.116279069767458</c:v>
                </c:pt>
                <c:pt idx="1">
                  <c:v>43.023255813953497</c:v>
                </c:pt>
                <c:pt idx="2">
                  <c:v>38.372093023255815</c:v>
                </c:pt>
              </c:numCache>
            </c:numRef>
          </c:val>
          <c:extLst>
            <c:ext xmlns:c16="http://schemas.microsoft.com/office/drawing/2014/chart" uri="{C3380CC4-5D6E-409C-BE32-E72D297353CC}">
              <c16:uniqueId val="{00000000-3655-43AA-A513-ACD56EBA8FB8}"/>
            </c:ext>
          </c:extLst>
        </c:ser>
        <c:ser>
          <c:idx val="1"/>
          <c:order val="1"/>
          <c:tx>
            <c:strRef>
              <c:f>'CRO plot'!$H$8</c:f>
              <c:strCache>
                <c:ptCount val="1"/>
                <c:pt idx="0">
                  <c:v>Grade 1</c:v>
                </c:pt>
              </c:strCache>
            </c:strRef>
          </c:tx>
          <c:spPr>
            <a:solidFill>
              <a:schemeClr val="accent2"/>
            </a:solidFill>
            <a:ln>
              <a:solidFill>
                <a:schemeClr val="tx1"/>
              </a:solidFill>
            </a:ln>
            <a:effectLst/>
          </c:spPr>
          <c:invertIfNegative val="0"/>
          <c:cat>
            <c:strRef>
              <c:f>'CRO plot'!$I$6:$K$6</c:f>
              <c:strCache>
                <c:ptCount val="3"/>
                <c:pt idx="0">
                  <c:v>RTOG Diarrhoea</c:v>
                </c:pt>
                <c:pt idx="1">
                  <c:v>RTOG Proctitis</c:v>
                </c:pt>
                <c:pt idx="2">
                  <c:v>RTOG max.</c:v>
                </c:pt>
              </c:strCache>
            </c:strRef>
          </c:cat>
          <c:val>
            <c:numRef>
              <c:f>'CRO plot'!$I$8:$K$8</c:f>
              <c:numCache>
                <c:formatCode>General</c:formatCode>
                <c:ptCount val="3"/>
                <c:pt idx="0">
                  <c:v>15.11627906976744</c:v>
                </c:pt>
                <c:pt idx="1">
                  <c:v>39.534883720930225</c:v>
                </c:pt>
                <c:pt idx="2">
                  <c:v>32.558139534883729</c:v>
                </c:pt>
              </c:numCache>
            </c:numRef>
          </c:val>
          <c:extLst>
            <c:ext xmlns:c16="http://schemas.microsoft.com/office/drawing/2014/chart" uri="{C3380CC4-5D6E-409C-BE32-E72D297353CC}">
              <c16:uniqueId val="{00000001-3655-43AA-A513-ACD56EBA8FB8}"/>
            </c:ext>
          </c:extLst>
        </c:ser>
        <c:ser>
          <c:idx val="2"/>
          <c:order val="2"/>
          <c:tx>
            <c:strRef>
              <c:f>'CRO plot'!$H$9</c:f>
              <c:strCache>
                <c:ptCount val="1"/>
                <c:pt idx="0">
                  <c:v>Grade 2+</c:v>
                </c:pt>
              </c:strCache>
            </c:strRef>
          </c:tx>
          <c:spPr>
            <a:solidFill>
              <a:srgbClr val="C00000"/>
            </a:solidFill>
            <a:ln>
              <a:solidFill>
                <a:schemeClr val="tx1"/>
              </a:solidFill>
            </a:ln>
            <a:effectLst/>
          </c:spPr>
          <c:invertIfNegative val="0"/>
          <c:cat>
            <c:strRef>
              <c:f>'CRO plot'!$I$6:$K$6</c:f>
              <c:strCache>
                <c:ptCount val="3"/>
                <c:pt idx="0">
                  <c:v>RTOG Diarrhoea</c:v>
                </c:pt>
                <c:pt idx="1">
                  <c:v>RTOG Proctitis</c:v>
                </c:pt>
                <c:pt idx="2">
                  <c:v>RTOG max.</c:v>
                </c:pt>
              </c:strCache>
            </c:strRef>
          </c:cat>
          <c:val>
            <c:numRef>
              <c:f>'CRO plot'!$I$9:$K$9</c:f>
              <c:numCache>
                <c:formatCode>General</c:formatCode>
                <c:ptCount val="3"/>
                <c:pt idx="0">
                  <c:v>19.767441860465112</c:v>
                </c:pt>
                <c:pt idx="1">
                  <c:v>17.441860465116282</c:v>
                </c:pt>
                <c:pt idx="2">
                  <c:v>29.069767441860467</c:v>
                </c:pt>
              </c:numCache>
            </c:numRef>
          </c:val>
          <c:extLst>
            <c:ext xmlns:c16="http://schemas.microsoft.com/office/drawing/2014/chart" uri="{C3380CC4-5D6E-409C-BE32-E72D297353CC}">
              <c16:uniqueId val="{00000002-3655-43AA-A513-ACD56EBA8FB8}"/>
            </c:ext>
          </c:extLst>
        </c:ser>
        <c:dLbls>
          <c:showLegendKey val="0"/>
          <c:showVal val="0"/>
          <c:showCatName val="0"/>
          <c:showSerName val="0"/>
          <c:showPercent val="0"/>
          <c:showBubbleSize val="0"/>
        </c:dLbls>
        <c:gapWidth val="150"/>
        <c:overlap val="100"/>
        <c:axId val="84124800"/>
        <c:axId val="84126336"/>
      </c:barChart>
      <c:catAx>
        <c:axId val="8412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26336"/>
        <c:crosses val="autoZero"/>
        <c:auto val="1"/>
        <c:lblAlgn val="ctr"/>
        <c:lblOffset val="100"/>
        <c:noMultiLvlLbl val="0"/>
      </c:catAx>
      <c:valAx>
        <c:axId val="841263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2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'TOX PRO plots'!$U$1</c:f>
              <c:strCache>
                <c:ptCount val="1"/>
                <c:pt idx="0">
                  <c:v>IBDQ-bowel subset score</c:v>
                </c:pt>
              </c:strCache>
            </c:strRef>
          </c:tx>
          <c:spPr>
            <a:solidFill>
              <a:schemeClr val="accent1"/>
            </a:solidFill>
            <a:ln>
              <a:solidFill>
                <a:schemeClr val="tx1"/>
              </a:solidFill>
            </a:ln>
            <a:effectLst/>
          </c:spPr>
          <c:invertIfNegative val="0"/>
          <c:errBars>
            <c:errBarType val="plus"/>
            <c:errValType val="cust"/>
            <c:noEndCap val="0"/>
            <c:plus>
              <c:numRef>
                <c:f>'TOX PRO plots'!$U$4</c:f>
                <c:numCache>
                  <c:formatCode>General</c:formatCode>
                  <c:ptCount val="1"/>
                  <c:pt idx="0">
                    <c:v>8.7240385472899877</c:v>
                  </c:pt>
                </c:numCache>
              </c:numRef>
            </c:plus>
            <c:minus>
              <c:numRef>
                <c:f>'TOX PRO plots'!$U$4</c:f>
                <c:numCache>
                  <c:formatCode>General</c:formatCode>
                  <c:ptCount val="1"/>
                  <c:pt idx="0">
                    <c:v>8.7240385472899877</c:v>
                  </c:pt>
                </c:numCache>
              </c:numRef>
            </c:minus>
            <c:spPr>
              <a:noFill/>
              <a:ln w="12700" cap="flat" cmpd="sng" algn="ctr">
                <a:solidFill>
                  <a:schemeClr val="accent1"/>
                </a:solidFill>
                <a:round/>
              </a:ln>
              <a:effectLst/>
            </c:spPr>
          </c:errBars>
          <c:val>
            <c:numRef>
              <c:f>'TOX PRO plots'!$U$2</c:f>
              <c:numCache>
                <c:formatCode>General</c:formatCode>
                <c:ptCount val="1"/>
                <c:pt idx="0">
                  <c:v>64.027027027027032</c:v>
                </c:pt>
              </c:numCache>
            </c:numRef>
          </c:val>
          <c:extLst>
            <c:ext xmlns:c16="http://schemas.microsoft.com/office/drawing/2014/chart" uri="{C3380CC4-5D6E-409C-BE32-E72D297353CC}">
              <c16:uniqueId val="{00000000-B2E5-4E7C-922E-AEF90D641B0C}"/>
            </c:ext>
          </c:extLst>
        </c:ser>
        <c:dLbls>
          <c:showLegendKey val="0"/>
          <c:showVal val="0"/>
          <c:showCatName val="0"/>
          <c:showSerName val="0"/>
          <c:showPercent val="0"/>
          <c:showBubbleSize val="0"/>
        </c:dLbls>
        <c:gapWidth val="219"/>
        <c:overlap val="-27"/>
        <c:axId val="502985736"/>
        <c:axId val="502979176"/>
      </c:barChart>
      <c:catAx>
        <c:axId val="502985736"/>
        <c:scaling>
          <c:orientation val="minMax"/>
        </c:scaling>
        <c:delete val="1"/>
        <c:axPos val="b"/>
        <c:majorTickMark val="none"/>
        <c:minorTickMark val="none"/>
        <c:tickLblPos val="nextTo"/>
        <c:crossAx val="502979176"/>
        <c:crosses val="autoZero"/>
        <c:auto val="1"/>
        <c:lblAlgn val="ctr"/>
        <c:lblOffset val="100"/>
        <c:noMultiLvlLbl val="0"/>
      </c:catAx>
      <c:valAx>
        <c:axId val="502979176"/>
        <c:scaling>
          <c:orientation val="minMax"/>
          <c:max val="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85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A</a:t>
            </a:r>
          </a:p>
        </c:rich>
      </c:tx>
      <c:layout>
        <c:manualLayout>
          <c:xMode val="edge"/>
          <c:yMode val="edge"/>
          <c:x val="0.91056547619047623"/>
          <c:y val="2.7450981804898453E-2"/>
        </c:manualLayout>
      </c:layout>
      <c:overlay val="0"/>
      <c:spPr>
        <a:noFill/>
        <a:ln>
          <a:noFill/>
        </a:ln>
        <a:effectLst/>
      </c:spPr>
    </c:title>
    <c:autoTitleDeleted val="0"/>
    <c:plotArea>
      <c:layout/>
      <c:barChart>
        <c:barDir val="col"/>
        <c:grouping val="clustered"/>
        <c:varyColors val="0"/>
        <c:ser>
          <c:idx val="0"/>
          <c:order val="0"/>
          <c:tx>
            <c:strRef>
              <c:f>'PRO plot'!$I$8</c:f>
              <c:strCache>
                <c:ptCount val="1"/>
                <c:pt idx="0">
                  <c:v>Bowel distress</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2B8A-4AF1-91D6-394DAFA6E9EF}"/>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2B8A-4AF1-91D6-394DAFA6E9EF}"/>
              </c:ext>
            </c:extLst>
          </c:dPt>
          <c:dPt>
            <c:idx val="2"/>
            <c:invertIfNegative val="0"/>
            <c:bubble3D val="0"/>
            <c:spPr>
              <a:solidFill>
                <a:schemeClr val="accent4"/>
              </a:solidFill>
              <a:ln>
                <a:solidFill>
                  <a:schemeClr val="tx1"/>
                </a:solidFill>
              </a:ln>
              <a:effectLst/>
            </c:spPr>
            <c:extLst>
              <c:ext xmlns:c16="http://schemas.microsoft.com/office/drawing/2014/chart" uri="{C3380CC4-5D6E-409C-BE32-E72D297353CC}">
                <c16:uniqueId val="{00000005-2B8A-4AF1-91D6-394DAFA6E9EF}"/>
              </c:ext>
            </c:extLst>
          </c:dPt>
          <c:dPt>
            <c:idx val="3"/>
            <c:invertIfNegative val="0"/>
            <c:bubble3D val="0"/>
            <c:spPr>
              <a:solidFill>
                <a:schemeClr val="accent6"/>
              </a:solidFill>
              <a:ln>
                <a:solidFill>
                  <a:schemeClr val="tx1"/>
                </a:solidFill>
              </a:ln>
              <a:effectLst/>
            </c:spPr>
            <c:extLst>
              <c:ext xmlns:c16="http://schemas.microsoft.com/office/drawing/2014/chart" uri="{C3380CC4-5D6E-409C-BE32-E72D297353CC}">
                <c16:uniqueId val="{00000007-2B8A-4AF1-91D6-394DAFA6E9EF}"/>
              </c:ext>
            </c:extLst>
          </c:dPt>
          <c:cat>
            <c:strRef>
              <c:f>'PRO plot'!$H$9:$H$12</c:f>
              <c:strCache>
                <c:ptCount val="4"/>
                <c:pt idx="0">
                  <c:v>Severe distress</c:v>
                </c:pt>
                <c:pt idx="1">
                  <c:v>Moderate distress</c:v>
                </c:pt>
                <c:pt idx="2">
                  <c:v>Little distress</c:v>
                </c:pt>
                <c:pt idx="3">
                  <c:v>No distress</c:v>
                </c:pt>
              </c:strCache>
            </c:strRef>
          </c:cat>
          <c:val>
            <c:numRef>
              <c:f>'PRO plot'!$I$9:$I$12</c:f>
              <c:numCache>
                <c:formatCode>0</c:formatCode>
                <c:ptCount val="4"/>
                <c:pt idx="0">
                  <c:v>8.3333333333333321</c:v>
                </c:pt>
                <c:pt idx="1">
                  <c:v>26.190476190476193</c:v>
                </c:pt>
                <c:pt idx="2">
                  <c:v>36.904761904761905</c:v>
                </c:pt>
                <c:pt idx="3">
                  <c:v>28.571428571428569</c:v>
                </c:pt>
              </c:numCache>
            </c:numRef>
          </c:val>
          <c:extLst>
            <c:ext xmlns:c16="http://schemas.microsoft.com/office/drawing/2014/chart" uri="{C3380CC4-5D6E-409C-BE32-E72D297353CC}">
              <c16:uniqueId val="{00000008-2B8A-4AF1-91D6-394DAFA6E9EF}"/>
            </c:ext>
          </c:extLst>
        </c:ser>
        <c:dLbls>
          <c:showLegendKey val="0"/>
          <c:showVal val="0"/>
          <c:showCatName val="0"/>
          <c:showSerName val="0"/>
          <c:showPercent val="0"/>
          <c:showBubbleSize val="0"/>
        </c:dLbls>
        <c:gapWidth val="219"/>
        <c:overlap val="-27"/>
        <c:axId val="85849600"/>
        <c:axId val="85851136"/>
      </c:barChart>
      <c:catAx>
        <c:axId val="858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1136"/>
        <c:crosses val="autoZero"/>
        <c:auto val="1"/>
        <c:lblAlgn val="ctr"/>
        <c:lblOffset val="100"/>
        <c:noMultiLvlLbl val="0"/>
      </c:catAx>
      <c:valAx>
        <c:axId val="8585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patients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4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B</a:t>
            </a:r>
          </a:p>
        </c:rich>
      </c:tx>
      <c:layout>
        <c:manualLayout>
          <c:xMode val="edge"/>
          <c:yMode val="edge"/>
          <c:x val="0.90235845519310109"/>
          <c:y val="2.7450981804898453E-2"/>
        </c:manualLayout>
      </c:layout>
      <c:overlay val="0"/>
      <c:spPr>
        <a:noFill/>
        <a:ln>
          <a:noFill/>
        </a:ln>
        <a:effectLst/>
      </c:spPr>
    </c:title>
    <c:autoTitleDeleted val="0"/>
    <c:plotArea>
      <c:layout/>
      <c:barChart>
        <c:barDir val="col"/>
        <c:grouping val="stacked"/>
        <c:varyColors val="0"/>
        <c:ser>
          <c:idx val="0"/>
          <c:order val="0"/>
          <c:tx>
            <c:strRef>
              <c:f>'PRO plot'!$M$8</c:f>
              <c:strCache>
                <c:ptCount val="1"/>
                <c:pt idx="0">
                  <c:v>Bowel problem</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EAA9-450A-B008-768E57D26307}"/>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EAA9-450A-B008-768E57D26307}"/>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EAA9-450A-B008-768E57D26307}"/>
              </c:ext>
            </c:extLst>
          </c:dPt>
          <c:dPt>
            <c:idx val="3"/>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07-EAA9-450A-B008-768E57D26307}"/>
              </c:ext>
            </c:extLst>
          </c:dPt>
          <c:dPt>
            <c:idx val="4"/>
            <c:invertIfNegative val="0"/>
            <c:bubble3D val="0"/>
            <c:spPr>
              <a:solidFill>
                <a:schemeClr val="accent6"/>
              </a:solidFill>
              <a:ln>
                <a:solidFill>
                  <a:schemeClr val="tx1"/>
                </a:solidFill>
              </a:ln>
              <a:effectLst/>
            </c:spPr>
            <c:extLst>
              <c:ext xmlns:c16="http://schemas.microsoft.com/office/drawing/2014/chart" uri="{C3380CC4-5D6E-409C-BE32-E72D297353CC}">
                <c16:uniqueId val="{00000009-EAA9-450A-B008-768E57D26307}"/>
              </c:ext>
            </c:extLst>
          </c:dPt>
          <c:cat>
            <c:strRef>
              <c:f>'PRO plot'!$L$9:$L$13</c:f>
              <c:strCache>
                <c:ptCount val="5"/>
                <c:pt idx="0">
                  <c:v>Big problem</c:v>
                </c:pt>
                <c:pt idx="1">
                  <c:v>Moderate problem</c:v>
                </c:pt>
                <c:pt idx="2">
                  <c:v>Small problem</c:v>
                </c:pt>
                <c:pt idx="3">
                  <c:v>Very small problem</c:v>
                </c:pt>
                <c:pt idx="4">
                  <c:v>No problem</c:v>
                </c:pt>
              </c:strCache>
            </c:strRef>
          </c:cat>
          <c:val>
            <c:numRef>
              <c:f>'PRO plot'!$M$9:$M$13</c:f>
              <c:numCache>
                <c:formatCode>0</c:formatCode>
                <c:ptCount val="5"/>
                <c:pt idx="0">
                  <c:v>8.3333333333333321</c:v>
                </c:pt>
                <c:pt idx="1">
                  <c:v>25</c:v>
                </c:pt>
                <c:pt idx="2">
                  <c:v>21.428571428571427</c:v>
                </c:pt>
                <c:pt idx="3">
                  <c:v>26.190476190476193</c:v>
                </c:pt>
                <c:pt idx="4">
                  <c:v>19.047619047619044</c:v>
                </c:pt>
              </c:numCache>
            </c:numRef>
          </c:val>
          <c:extLst>
            <c:ext xmlns:c16="http://schemas.microsoft.com/office/drawing/2014/chart" uri="{C3380CC4-5D6E-409C-BE32-E72D297353CC}">
              <c16:uniqueId val="{0000000A-EAA9-450A-B008-768E57D26307}"/>
            </c:ext>
          </c:extLst>
        </c:ser>
        <c:dLbls>
          <c:showLegendKey val="0"/>
          <c:showVal val="0"/>
          <c:showCatName val="0"/>
          <c:showSerName val="0"/>
          <c:showPercent val="0"/>
          <c:showBubbleSize val="0"/>
        </c:dLbls>
        <c:gapWidth val="150"/>
        <c:overlap val="100"/>
        <c:axId val="85929344"/>
        <c:axId val="85947520"/>
      </c:barChart>
      <c:catAx>
        <c:axId val="859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47520"/>
        <c:crosses val="autoZero"/>
        <c:auto val="1"/>
        <c:lblAlgn val="ctr"/>
        <c:lblOffset val="100"/>
        <c:noMultiLvlLbl val="0"/>
      </c:catAx>
      <c:valAx>
        <c:axId val="8594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patients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2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A</a:t>
            </a:r>
          </a:p>
        </c:rich>
      </c:tx>
      <c:layout>
        <c:manualLayout>
          <c:xMode val="edge"/>
          <c:yMode val="edge"/>
          <c:x val="0.9360380116959065"/>
          <c:y val="2.6178010471204199E-2"/>
        </c:manualLayout>
      </c:layout>
      <c:overlay val="0"/>
      <c:spPr>
        <a:noFill/>
        <a:ln>
          <a:noFill/>
        </a:ln>
        <a:effectLst/>
      </c:spPr>
    </c:title>
    <c:autoTitleDeleted val="0"/>
    <c:plotArea>
      <c:layout/>
      <c:barChart>
        <c:barDir val="col"/>
        <c:grouping val="clustered"/>
        <c:varyColors val="0"/>
        <c:ser>
          <c:idx val="0"/>
          <c:order val="0"/>
          <c:tx>
            <c:strRef>
              <c:f>Tabelle1!$K$2</c:f>
              <c:strCache>
                <c:ptCount val="1"/>
                <c:pt idx="0">
                  <c:v>Grade 0</c:v>
                </c:pt>
              </c:strCache>
            </c:strRef>
          </c:tx>
          <c:spPr>
            <a:solidFill>
              <a:schemeClr val="accent6"/>
            </a:solidFill>
            <a:ln>
              <a:solidFill>
                <a:schemeClr val="tx1"/>
              </a:solidFill>
            </a:ln>
            <a:effectLst/>
          </c:spPr>
          <c:invertIfNegative val="0"/>
          <c:errBars>
            <c:errBarType val="plus"/>
            <c:errValType val="cust"/>
            <c:noEndCap val="0"/>
            <c:plus>
              <c:numRef>
                <c:f>Tabelle1!$L$6:$O$6</c:f>
                <c:numCache>
                  <c:formatCode>General</c:formatCode>
                  <c:ptCount val="4"/>
                  <c:pt idx="0">
                    <c:v>3.2498138904529061</c:v>
                  </c:pt>
                  <c:pt idx="1">
                    <c:v>1.3780147790146504</c:v>
                  </c:pt>
                  <c:pt idx="2">
                    <c:v>8.5297707617093543</c:v>
                  </c:pt>
                  <c:pt idx="3">
                    <c:v>6.0857669311094211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Tabelle1!$L$1:$O$1</c:f>
              <c:strCache>
                <c:ptCount val="4"/>
                <c:pt idx="0">
                  <c:v>Meat portions/week</c:v>
                </c:pt>
                <c:pt idx="1">
                  <c:v>Fish portions/week</c:v>
                </c:pt>
                <c:pt idx="2">
                  <c:v>Vegetable portions/week</c:v>
                </c:pt>
                <c:pt idx="3">
                  <c:v>Cereal portions/week</c:v>
                </c:pt>
              </c:strCache>
            </c:strRef>
          </c:cat>
          <c:val>
            <c:numRef>
              <c:f>Tabelle1!$L$2:$O$2</c:f>
              <c:numCache>
                <c:formatCode>General</c:formatCode>
                <c:ptCount val="4"/>
                <c:pt idx="0">
                  <c:v>8.1935483870967722</c:v>
                </c:pt>
                <c:pt idx="1">
                  <c:v>1.9677419354838712</c:v>
                </c:pt>
                <c:pt idx="2">
                  <c:v>22.903225806451612</c:v>
                </c:pt>
                <c:pt idx="3">
                  <c:v>19.354838709677427</c:v>
                </c:pt>
              </c:numCache>
            </c:numRef>
          </c:val>
          <c:extLst>
            <c:ext xmlns:c16="http://schemas.microsoft.com/office/drawing/2014/chart" uri="{C3380CC4-5D6E-409C-BE32-E72D297353CC}">
              <c16:uniqueId val="{00000000-F73D-4FCB-BF43-190D23C0256C}"/>
            </c:ext>
          </c:extLst>
        </c:ser>
        <c:ser>
          <c:idx val="1"/>
          <c:order val="1"/>
          <c:tx>
            <c:strRef>
              <c:f>Tabelle1!$K$3</c:f>
              <c:strCache>
                <c:ptCount val="1"/>
                <c:pt idx="0">
                  <c:v>Grade 1</c:v>
                </c:pt>
              </c:strCache>
            </c:strRef>
          </c:tx>
          <c:spPr>
            <a:solidFill>
              <a:schemeClr val="accent4"/>
            </a:solidFill>
            <a:ln>
              <a:solidFill>
                <a:schemeClr val="tx1"/>
              </a:solidFill>
            </a:ln>
            <a:effectLst/>
          </c:spPr>
          <c:invertIfNegative val="0"/>
          <c:errBars>
            <c:errBarType val="plus"/>
            <c:errValType val="cust"/>
            <c:noEndCap val="0"/>
            <c:plus>
              <c:numRef>
                <c:f>Tabelle1!$L$7:$O$7</c:f>
                <c:numCache>
                  <c:formatCode>General</c:formatCode>
                  <c:ptCount val="4"/>
                  <c:pt idx="0">
                    <c:v>4.6666666666666661</c:v>
                  </c:pt>
                  <c:pt idx="1">
                    <c:v>1.9002923751652301</c:v>
                  </c:pt>
                  <c:pt idx="2">
                    <c:v>14.611639196202457</c:v>
                  </c:pt>
                  <c:pt idx="3">
                    <c:v>8.3881530214410756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Tabelle1!$L$1:$O$1</c:f>
              <c:strCache>
                <c:ptCount val="4"/>
                <c:pt idx="0">
                  <c:v>Meat portions/week</c:v>
                </c:pt>
                <c:pt idx="1">
                  <c:v>Fish portions/week</c:v>
                </c:pt>
                <c:pt idx="2">
                  <c:v>Vegetable portions/week</c:v>
                </c:pt>
                <c:pt idx="3">
                  <c:v>Cereal portions/week</c:v>
                </c:pt>
              </c:strCache>
            </c:strRef>
          </c:cat>
          <c:val>
            <c:numRef>
              <c:f>Tabelle1!$L$3:$O$3</c:f>
              <c:numCache>
                <c:formatCode>General</c:formatCode>
                <c:ptCount val="4"/>
                <c:pt idx="0">
                  <c:v>9.5555555555555571</c:v>
                </c:pt>
                <c:pt idx="1">
                  <c:v>2.1111111111111112</c:v>
                </c:pt>
                <c:pt idx="2">
                  <c:v>22</c:v>
                </c:pt>
                <c:pt idx="3">
                  <c:v>19.111111111111114</c:v>
                </c:pt>
              </c:numCache>
            </c:numRef>
          </c:val>
          <c:extLst>
            <c:ext xmlns:c16="http://schemas.microsoft.com/office/drawing/2014/chart" uri="{C3380CC4-5D6E-409C-BE32-E72D297353CC}">
              <c16:uniqueId val="{00000001-F73D-4FCB-BF43-190D23C0256C}"/>
            </c:ext>
          </c:extLst>
        </c:ser>
        <c:ser>
          <c:idx val="2"/>
          <c:order val="2"/>
          <c:tx>
            <c:strRef>
              <c:f>Tabelle1!$K$4</c:f>
              <c:strCache>
                <c:ptCount val="1"/>
                <c:pt idx="0">
                  <c:v>Grade 2</c:v>
                </c:pt>
              </c:strCache>
            </c:strRef>
          </c:tx>
          <c:spPr>
            <a:solidFill>
              <a:schemeClr val="accent2"/>
            </a:solidFill>
            <a:ln>
              <a:solidFill>
                <a:schemeClr val="tx1"/>
              </a:solidFill>
            </a:ln>
            <a:effectLst/>
          </c:spPr>
          <c:invertIfNegative val="0"/>
          <c:errBars>
            <c:errBarType val="plus"/>
            <c:errValType val="cust"/>
            <c:noEndCap val="0"/>
            <c:plus>
              <c:numRef>
                <c:f>Tabelle1!$L$8:$O$8</c:f>
                <c:numCache>
                  <c:formatCode>General</c:formatCode>
                  <c:ptCount val="4"/>
                  <c:pt idx="0">
                    <c:v>3.2877840272018797</c:v>
                  </c:pt>
                  <c:pt idx="1">
                    <c:v>1.7593288763724917</c:v>
                  </c:pt>
                  <c:pt idx="2">
                    <c:v>10.097147168996841</c:v>
                  </c:pt>
                  <c:pt idx="3">
                    <c:v>11.325067013362126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Tabelle1!$L$1:$O$1</c:f>
              <c:strCache>
                <c:ptCount val="4"/>
                <c:pt idx="0">
                  <c:v>Meat portions/week</c:v>
                </c:pt>
                <c:pt idx="1">
                  <c:v>Fish portions/week</c:v>
                </c:pt>
                <c:pt idx="2">
                  <c:v>Vegetable portions/week</c:v>
                </c:pt>
                <c:pt idx="3">
                  <c:v>Cereal portions/week</c:v>
                </c:pt>
              </c:strCache>
            </c:strRef>
          </c:cat>
          <c:val>
            <c:numRef>
              <c:f>Tabelle1!$L$4:$O$4</c:f>
              <c:numCache>
                <c:formatCode>General</c:formatCode>
                <c:ptCount val="4"/>
                <c:pt idx="0">
                  <c:v>8.3333333333333357</c:v>
                </c:pt>
                <c:pt idx="1">
                  <c:v>2.3333333333333335</c:v>
                </c:pt>
                <c:pt idx="2">
                  <c:v>22.333333333333325</c:v>
                </c:pt>
                <c:pt idx="3">
                  <c:v>21.4</c:v>
                </c:pt>
              </c:numCache>
            </c:numRef>
          </c:val>
          <c:extLst>
            <c:ext xmlns:c16="http://schemas.microsoft.com/office/drawing/2014/chart" uri="{C3380CC4-5D6E-409C-BE32-E72D297353CC}">
              <c16:uniqueId val="{00000002-F73D-4FCB-BF43-190D23C0256C}"/>
            </c:ext>
          </c:extLst>
        </c:ser>
        <c:ser>
          <c:idx val="3"/>
          <c:order val="3"/>
          <c:tx>
            <c:strRef>
              <c:f>Tabelle1!$K$5</c:f>
              <c:strCache>
                <c:ptCount val="1"/>
                <c:pt idx="0">
                  <c:v>Grade 3</c:v>
                </c:pt>
              </c:strCache>
            </c:strRef>
          </c:tx>
          <c:spPr>
            <a:solidFill>
              <a:srgbClr val="C00000"/>
            </a:solidFill>
            <a:ln>
              <a:solidFill>
                <a:schemeClr val="tx1"/>
              </a:solidFill>
            </a:ln>
            <a:effectLst/>
          </c:spPr>
          <c:invertIfNegative val="0"/>
          <c:errBars>
            <c:errBarType val="plus"/>
            <c:errValType val="cust"/>
            <c:noEndCap val="0"/>
            <c:plus>
              <c:numRef>
                <c:f>Tabelle1!$L$9:$O$9</c:f>
                <c:numCache>
                  <c:formatCode>General</c:formatCode>
                  <c:ptCount val="4"/>
                  <c:pt idx="0">
                    <c:v>2.2509257354845533</c:v>
                  </c:pt>
                  <c:pt idx="1">
                    <c:v>2.6583202716502519</c:v>
                  </c:pt>
                  <c:pt idx="2">
                    <c:v>6.4704456312271574</c:v>
                  </c:pt>
                  <c:pt idx="3">
                    <c:v>4.5898438608156056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Tabelle1!$L$1:$O$1</c:f>
              <c:strCache>
                <c:ptCount val="4"/>
                <c:pt idx="0">
                  <c:v>Meat portions/week</c:v>
                </c:pt>
                <c:pt idx="1">
                  <c:v>Fish portions/week</c:v>
                </c:pt>
                <c:pt idx="2">
                  <c:v>Vegetable portions/week</c:v>
                </c:pt>
                <c:pt idx="3">
                  <c:v>Cereal portions/week</c:v>
                </c:pt>
              </c:strCache>
            </c:strRef>
          </c:cat>
          <c:val>
            <c:numRef>
              <c:f>Tabelle1!$L$5:$O$5</c:f>
              <c:numCache>
                <c:formatCode>General</c:formatCode>
                <c:ptCount val="4"/>
                <c:pt idx="0">
                  <c:v>10.333333333333334</c:v>
                </c:pt>
                <c:pt idx="1">
                  <c:v>1.6666666666666667</c:v>
                </c:pt>
                <c:pt idx="2">
                  <c:v>28.333333333333325</c:v>
                </c:pt>
                <c:pt idx="3">
                  <c:v>23.666666666666668</c:v>
                </c:pt>
              </c:numCache>
            </c:numRef>
          </c:val>
          <c:extLst>
            <c:ext xmlns:c16="http://schemas.microsoft.com/office/drawing/2014/chart" uri="{C3380CC4-5D6E-409C-BE32-E72D297353CC}">
              <c16:uniqueId val="{00000003-F73D-4FCB-BF43-190D23C0256C}"/>
            </c:ext>
          </c:extLst>
        </c:ser>
        <c:dLbls>
          <c:showLegendKey val="0"/>
          <c:showVal val="0"/>
          <c:showCatName val="0"/>
          <c:showSerName val="0"/>
          <c:showPercent val="0"/>
          <c:showBubbleSize val="0"/>
        </c:dLbls>
        <c:gapWidth val="219"/>
        <c:overlap val="-27"/>
        <c:axId val="86420096"/>
        <c:axId val="86438272"/>
      </c:barChart>
      <c:catAx>
        <c:axId val="864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38272"/>
        <c:crosses val="autoZero"/>
        <c:auto val="1"/>
        <c:lblAlgn val="ctr"/>
        <c:lblOffset val="100"/>
        <c:noMultiLvlLbl val="0"/>
      </c:catAx>
      <c:valAx>
        <c:axId val="8643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Portions/week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B</a:t>
            </a:r>
          </a:p>
        </c:rich>
      </c:tx>
      <c:layout>
        <c:manualLayout>
          <c:xMode val="edge"/>
          <c:yMode val="edge"/>
          <c:x val="0.94361441671507662"/>
          <c:y val="2.1881838074398256E-2"/>
        </c:manualLayout>
      </c:layout>
      <c:overlay val="0"/>
      <c:spPr>
        <a:noFill/>
        <a:ln>
          <a:noFill/>
        </a:ln>
        <a:effectLst/>
      </c:spPr>
    </c:title>
    <c:autoTitleDeleted val="0"/>
    <c:plotArea>
      <c:layout/>
      <c:barChart>
        <c:barDir val="col"/>
        <c:grouping val="clustered"/>
        <c:varyColors val="0"/>
        <c:ser>
          <c:idx val="0"/>
          <c:order val="0"/>
          <c:tx>
            <c:strRef>
              <c:f>Tabelle1!$U$1</c:f>
              <c:strCache>
                <c:ptCount val="1"/>
                <c:pt idx="0">
                  <c:v>Alcohol/week (g)</c:v>
                </c:pt>
              </c:strCache>
            </c:strRef>
          </c:tx>
          <c:spPr>
            <a:solidFill>
              <a:schemeClr val="accent1"/>
            </a:solidFill>
            <a:ln>
              <a:solidFill>
                <a:schemeClr val="tx1"/>
              </a:solidFill>
            </a:ln>
            <a:effectLst/>
          </c:spPr>
          <c:invertIfNegative val="0"/>
          <c:dPt>
            <c:idx val="0"/>
            <c:invertIfNegative val="0"/>
            <c:bubble3D val="0"/>
            <c:spPr>
              <a:solidFill>
                <a:schemeClr val="accent6"/>
              </a:solidFill>
              <a:ln>
                <a:solidFill>
                  <a:schemeClr val="tx1"/>
                </a:solidFill>
              </a:ln>
              <a:effectLst/>
            </c:spPr>
            <c:extLst>
              <c:ext xmlns:c16="http://schemas.microsoft.com/office/drawing/2014/chart" uri="{C3380CC4-5D6E-409C-BE32-E72D297353CC}">
                <c16:uniqueId val="{00000001-4DA0-4E05-B2CE-3ABBEB6DA6DB}"/>
              </c:ext>
            </c:extLst>
          </c:dPt>
          <c:dPt>
            <c:idx val="1"/>
            <c:invertIfNegative val="0"/>
            <c:bubble3D val="0"/>
            <c:spPr>
              <a:solidFill>
                <a:schemeClr val="accent4"/>
              </a:solidFill>
              <a:ln>
                <a:solidFill>
                  <a:schemeClr val="tx1"/>
                </a:solidFill>
              </a:ln>
              <a:effectLst/>
            </c:spPr>
            <c:extLst>
              <c:ext xmlns:c16="http://schemas.microsoft.com/office/drawing/2014/chart" uri="{C3380CC4-5D6E-409C-BE32-E72D297353CC}">
                <c16:uniqueId val="{00000003-4DA0-4E05-B2CE-3ABBEB6DA6DB}"/>
              </c:ext>
            </c:extLst>
          </c:dPt>
          <c:dPt>
            <c:idx val="2"/>
            <c:invertIfNegative val="0"/>
            <c:bubble3D val="0"/>
            <c:spPr>
              <a:solidFill>
                <a:schemeClr val="accent2"/>
              </a:solidFill>
              <a:ln>
                <a:solidFill>
                  <a:schemeClr val="tx1"/>
                </a:solidFill>
              </a:ln>
              <a:effectLst/>
            </c:spPr>
            <c:extLst>
              <c:ext xmlns:c16="http://schemas.microsoft.com/office/drawing/2014/chart" uri="{C3380CC4-5D6E-409C-BE32-E72D297353CC}">
                <c16:uniqueId val="{00000005-4DA0-4E05-B2CE-3ABBEB6DA6DB}"/>
              </c:ext>
            </c:extLst>
          </c:dPt>
          <c:dPt>
            <c:idx val="3"/>
            <c:invertIfNegative val="0"/>
            <c:bubble3D val="0"/>
            <c:spPr>
              <a:solidFill>
                <a:srgbClr val="C00000"/>
              </a:solidFill>
              <a:ln>
                <a:solidFill>
                  <a:schemeClr val="tx1"/>
                </a:solidFill>
              </a:ln>
              <a:effectLst/>
            </c:spPr>
            <c:extLst>
              <c:ext xmlns:c16="http://schemas.microsoft.com/office/drawing/2014/chart" uri="{C3380CC4-5D6E-409C-BE32-E72D297353CC}">
                <c16:uniqueId val="{00000007-4DA0-4E05-B2CE-3ABBEB6DA6DB}"/>
              </c:ext>
            </c:extLst>
          </c:dPt>
          <c:errBars>
            <c:errBarType val="plus"/>
            <c:errValType val="cust"/>
            <c:noEndCap val="0"/>
            <c:plus>
              <c:numRef>
                <c:f>Tabelle1!$U$6:$U$9</c:f>
                <c:numCache>
                  <c:formatCode>General</c:formatCode>
                  <c:ptCount val="4"/>
                  <c:pt idx="0">
                    <c:v>117.03738521884783</c:v>
                  </c:pt>
                  <c:pt idx="1">
                    <c:v>58.078765698840158</c:v>
                  </c:pt>
                  <c:pt idx="2">
                    <c:v>116.22248801153286</c:v>
                  </c:pt>
                  <c:pt idx="3">
                    <c:v>82.730139017412981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Tabelle1!$T$2:$T$5</c:f>
              <c:strCache>
                <c:ptCount val="4"/>
                <c:pt idx="0">
                  <c:v>Grade 0</c:v>
                </c:pt>
                <c:pt idx="1">
                  <c:v>Grade 1</c:v>
                </c:pt>
                <c:pt idx="2">
                  <c:v>Grade 2</c:v>
                </c:pt>
                <c:pt idx="3">
                  <c:v>Grade 3</c:v>
                </c:pt>
              </c:strCache>
            </c:strRef>
          </c:cat>
          <c:val>
            <c:numRef>
              <c:f>Tabelle1!$U$2:$U$5</c:f>
              <c:numCache>
                <c:formatCode>General</c:formatCode>
                <c:ptCount val="4"/>
                <c:pt idx="0">
                  <c:v>80.791032258064519</c:v>
                </c:pt>
                <c:pt idx="1">
                  <c:v>51.889135000000003</c:v>
                </c:pt>
                <c:pt idx="2">
                  <c:v>87.231312000000003</c:v>
                </c:pt>
                <c:pt idx="3">
                  <c:v>86.486959999999996</c:v>
                </c:pt>
              </c:numCache>
            </c:numRef>
          </c:val>
          <c:extLst>
            <c:ext xmlns:c16="http://schemas.microsoft.com/office/drawing/2014/chart" uri="{C3380CC4-5D6E-409C-BE32-E72D297353CC}">
              <c16:uniqueId val="{00000008-4DA0-4E05-B2CE-3ABBEB6DA6DB}"/>
            </c:ext>
          </c:extLst>
        </c:ser>
        <c:dLbls>
          <c:showLegendKey val="0"/>
          <c:showVal val="0"/>
          <c:showCatName val="0"/>
          <c:showSerName val="0"/>
          <c:showPercent val="0"/>
          <c:showBubbleSize val="0"/>
        </c:dLbls>
        <c:gapWidth val="219"/>
        <c:overlap val="-27"/>
        <c:axId val="89814144"/>
        <c:axId val="89815680"/>
      </c:barChart>
      <c:catAx>
        <c:axId val="898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15680"/>
        <c:crosses val="autoZero"/>
        <c:auto val="1"/>
        <c:lblAlgn val="ctr"/>
        <c:lblOffset val="100"/>
        <c:noMultiLvlLbl val="0"/>
      </c:catAx>
      <c:valAx>
        <c:axId val="89815680"/>
        <c:scaling>
          <c:orientation val="minMax"/>
          <c:max val="2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Alcohol (g/week)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1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'CRO plots'!$C$26</c:f>
              <c:strCache>
                <c:ptCount val="1"/>
                <c:pt idx="0">
                  <c:v>Cases</c:v>
                </c:pt>
              </c:strCache>
            </c:strRef>
          </c:tx>
          <c:spPr>
            <a:solidFill>
              <a:schemeClr val="accent1"/>
            </a:solidFill>
            <a:ln>
              <a:solidFill>
                <a:schemeClr val="tx1"/>
              </a:solidFill>
            </a:ln>
            <a:effectLst/>
          </c:spPr>
          <c:invertIfNegative val="0"/>
          <c:errBars>
            <c:errBarType val="plus"/>
            <c:errValType val="cust"/>
            <c:noEndCap val="0"/>
            <c:plus>
              <c:numRef>
                <c:f>'CRO plots'!$D$28:$L$28</c:f>
                <c:numCache>
                  <c:formatCode>General</c:formatCode>
                  <c:ptCount val="9"/>
                  <c:pt idx="0">
                    <c:v>0.7867957924694432</c:v>
                  </c:pt>
                  <c:pt idx="1">
                    <c:v>1.1877349391654208</c:v>
                  </c:pt>
                  <c:pt idx="2">
                    <c:v>0.99103120896511487</c:v>
                  </c:pt>
                  <c:pt idx="3">
                    <c:v>1.3562026818605375</c:v>
                  </c:pt>
                  <c:pt idx="4">
                    <c:v>1.3562026818605375</c:v>
                  </c:pt>
                  <c:pt idx="5">
                    <c:v>0.74402380914284494</c:v>
                  </c:pt>
                  <c:pt idx="6">
                    <c:v>0.74402380914284494</c:v>
                  </c:pt>
                  <c:pt idx="7">
                    <c:v>0.70710678118654757</c:v>
                  </c:pt>
                  <c:pt idx="8">
                    <c:v>1.3333333333333333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'CRO plots'!$D$25:$L$25</c:f>
              <c:strCache>
                <c:ptCount val="9"/>
                <c:pt idx="0">
                  <c:v>RTOG Diarrhoea</c:v>
                </c:pt>
                <c:pt idx="1">
                  <c:v>RTOG Proctitis</c:v>
                </c:pt>
                <c:pt idx="2">
                  <c:v>RTOG maximum</c:v>
                </c:pt>
                <c:pt idx="3">
                  <c:v>LS Sphincter-control</c:v>
                </c:pt>
                <c:pt idx="4">
                  <c:v>LS Tenesmus</c:v>
                </c:pt>
                <c:pt idx="5">
                  <c:v>LS Bleeding objective</c:v>
                </c:pt>
                <c:pt idx="6">
                  <c:v>LS Pain</c:v>
                </c:pt>
                <c:pt idx="7">
                  <c:v>LS Bleeding management</c:v>
                </c:pt>
                <c:pt idx="8">
                  <c:v>LS maximum</c:v>
                </c:pt>
              </c:strCache>
            </c:strRef>
          </c:cat>
          <c:val>
            <c:numRef>
              <c:f>'CRO plots'!$D$26:$L$26</c:f>
              <c:numCache>
                <c:formatCode>0</c:formatCode>
                <c:ptCount val="9"/>
                <c:pt idx="0">
                  <c:v>0.5714285714285714</c:v>
                </c:pt>
                <c:pt idx="1">
                  <c:v>1.625</c:v>
                </c:pt>
                <c:pt idx="2">
                  <c:v>1.875</c:v>
                </c:pt>
                <c:pt idx="3">
                  <c:v>0.875</c:v>
                </c:pt>
                <c:pt idx="4">
                  <c:v>1.125</c:v>
                </c:pt>
                <c:pt idx="5">
                  <c:v>0.625</c:v>
                </c:pt>
                <c:pt idx="6">
                  <c:v>0.375</c:v>
                </c:pt>
                <c:pt idx="7">
                  <c:v>0.25</c:v>
                </c:pt>
                <c:pt idx="8">
                  <c:v>1.5555555555555556</c:v>
                </c:pt>
              </c:numCache>
            </c:numRef>
          </c:val>
          <c:extLst>
            <c:ext xmlns:c16="http://schemas.microsoft.com/office/drawing/2014/chart" uri="{C3380CC4-5D6E-409C-BE32-E72D297353CC}">
              <c16:uniqueId val="{00000000-4829-4342-9076-A1B2CBA10A3E}"/>
            </c:ext>
          </c:extLst>
        </c:ser>
        <c:ser>
          <c:idx val="1"/>
          <c:order val="1"/>
          <c:tx>
            <c:strRef>
              <c:f>'CRO plots'!$C$27</c:f>
              <c:strCache>
                <c:ptCount val="1"/>
                <c:pt idx="0">
                  <c:v>Controls</c:v>
                </c:pt>
              </c:strCache>
            </c:strRef>
          </c:tx>
          <c:spPr>
            <a:solidFill>
              <a:schemeClr val="accent2"/>
            </a:solidFill>
            <a:ln>
              <a:solidFill>
                <a:schemeClr val="tx1"/>
              </a:solidFill>
            </a:ln>
            <a:effectLst/>
          </c:spPr>
          <c:invertIfNegative val="0"/>
          <c:errBars>
            <c:errBarType val="plus"/>
            <c:errValType val="cust"/>
            <c:noEndCap val="0"/>
            <c:plus>
              <c:numRef>
                <c:f>'CRO plots'!$D$29:$L$29</c:f>
                <c:numCache>
                  <c:formatCode>General</c:formatCode>
                  <c:ptCount val="9"/>
                  <c:pt idx="0">
                    <c:v>0</c:v>
                  </c:pt>
                  <c:pt idx="1">
                    <c:v>0.40824829046386302</c:v>
                  </c:pt>
                  <c:pt idx="2">
                    <c:v>0.40824829046386302</c:v>
                  </c:pt>
                  <c:pt idx="3">
                    <c:v>0.81649658092772603</c:v>
                  </c:pt>
                  <c:pt idx="4">
                    <c:v>0</c:v>
                  </c:pt>
                  <c:pt idx="5">
                    <c:v>0</c:v>
                  </c:pt>
                  <c:pt idx="6">
                    <c:v>0</c:v>
                  </c:pt>
                  <c:pt idx="7">
                    <c:v>0</c:v>
                  </c:pt>
                  <c:pt idx="8">
                    <c:v>0.81649658092772603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'CRO plots'!$D$25:$L$25</c:f>
              <c:strCache>
                <c:ptCount val="9"/>
                <c:pt idx="0">
                  <c:v>RTOG Diarrhoea</c:v>
                </c:pt>
                <c:pt idx="1">
                  <c:v>RTOG Proctitis</c:v>
                </c:pt>
                <c:pt idx="2">
                  <c:v>RTOG maximum</c:v>
                </c:pt>
                <c:pt idx="3">
                  <c:v>LS Sphincter-control</c:v>
                </c:pt>
                <c:pt idx="4">
                  <c:v>LS Tenesmus</c:v>
                </c:pt>
                <c:pt idx="5">
                  <c:v>LS Bleeding objective</c:v>
                </c:pt>
                <c:pt idx="6">
                  <c:v>LS Pain</c:v>
                </c:pt>
                <c:pt idx="7">
                  <c:v>LS Bleeding management</c:v>
                </c:pt>
                <c:pt idx="8">
                  <c:v>LS maximum</c:v>
                </c:pt>
              </c:strCache>
            </c:strRef>
          </c:cat>
          <c:val>
            <c:numRef>
              <c:f>'CRO plots'!$D$27:$L$27</c:f>
              <c:numCache>
                <c:formatCode>0</c:formatCode>
                <c:ptCount val="9"/>
                <c:pt idx="0">
                  <c:v>0</c:v>
                </c:pt>
                <c:pt idx="1">
                  <c:v>0.16666666666666666</c:v>
                </c:pt>
                <c:pt idx="2">
                  <c:v>0.16666666666666666</c:v>
                </c:pt>
                <c:pt idx="3">
                  <c:v>0.33333333333333331</c:v>
                </c:pt>
                <c:pt idx="4">
                  <c:v>0</c:v>
                </c:pt>
                <c:pt idx="5">
                  <c:v>0</c:v>
                </c:pt>
                <c:pt idx="6">
                  <c:v>0</c:v>
                </c:pt>
                <c:pt idx="7">
                  <c:v>0</c:v>
                </c:pt>
                <c:pt idx="8">
                  <c:v>0.33333333333333331</c:v>
                </c:pt>
              </c:numCache>
            </c:numRef>
          </c:val>
          <c:extLst>
            <c:ext xmlns:c16="http://schemas.microsoft.com/office/drawing/2014/chart" uri="{C3380CC4-5D6E-409C-BE32-E72D297353CC}">
              <c16:uniqueId val="{00000001-4829-4342-9076-A1B2CBA10A3E}"/>
            </c:ext>
          </c:extLst>
        </c:ser>
        <c:dLbls>
          <c:showLegendKey val="0"/>
          <c:showVal val="0"/>
          <c:showCatName val="0"/>
          <c:showSerName val="0"/>
          <c:showPercent val="0"/>
          <c:showBubbleSize val="0"/>
        </c:dLbls>
        <c:gapWidth val="219"/>
        <c:overlap val="-27"/>
        <c:axId val="552133624"/>
        <c:axId val="552132640"/>
      </c:barChart>
      <c:catAx>
        <c:axId val="55213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32640"/>
        <c:crosses val="autoZero"/>
        <c:auto val="1"/>
        <c:lblAlgn val="ctr"/>
        <c:lblOffset val="100"/>
        <c:noMultiLvlLbl val="0"/>
      </c:catAx>
      <c:valAx>
        <c:axId val="552132640"/>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33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'IBDQ bowel plots'!$H$2</c:f>
              <c:strCache>
                <c:ptCount val="1"/>
                <c:pt idx="0">
                  <c:v>IBDQ bowel</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09FC-466D-86B8-2D74588061B0}"/>
              </c:ext>
            </c:extLst>
          </c:dPt>
          <c:errBars>
            <c:errBarType val="plus"/>
            <c:errValType val="cust"/>
            <c:noEndCap val="0"/>
            <c:plus>
              <c:numRef>
                <c:f>'IBDQ bowel plots'!$I$3:$I$4</c:f>
                <c:numCache>
                  <c:formatCode>General</c:formatCode>
                  <c:ptCount val="2"/>
                  <c:pt idx="0">
                    <c:v>11.360960723962942</c:v>
                  </c:pt>
                  <c:pt idx="1">
                    <c:v>3.488074922742725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'IBDQ bowel plots'!$G$3:$G$4</c:f>
              <c:strCache>
                <c:ptCount val="2"/>
                <c:pt idx="0">
                  <c:v>Cases</c:v>
                </c:pt>
                <c:pt idx="1">
                  <c:v>Controls</c:v>
                </c:pt>
              </c:strCache>
            </c:strRef>
          </c:cat>
          <c:val>
            <c:numRef>
              <c:f>'IBDQ bowel plots'!$H$3:$H$4</c:f>
              <c:numCache>
                <c:formatCode>General</c:formatCode>
                <c:ptCount val="2"/>
                <c:pt idx="0">
                  <c:v>57.25</c:v>
                </c:pt>
                <c:pt idx="1">
                  <c:v>64.166666666666671</c:v>
                </c:pt>
              </c:numCache>
            </c:numRef>
          </c:val>
          <c:extLst>
            <c:ext xmlns:c16="http://schemas.microsoft.com/office/drawing/2014/chart" uri="{C3380CC4-5D6E-409C-BE32-E72D297353CC}">
              <c16:uniqueId val="{00000002-09FC-466D-86B8-2D74588061B0}"/>
            </c:ext>
          </c:extLst>
        </c:ser>
        <c:dLbls>
          <c:showLegendKey val="0"/>
          <c:showVal val="0"/>
          <c:showCatName val="0"/>
          <c:showSerName val="0"/>
          <c:showPercent val="0"/>
          <c:showBubbleSize val="0"/>
        </c:dLbls>
        <c:gapWidth val="219"/>
        <c:overlap val="-27"/>
        <c:axId val="438762696"/>
        <c:axId val="438765320"/>
      </c:barChart>
      <c:catAx>
        <c:axId val="43876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765320"/>
        <c:crosses val="autoZero"/>
        <c:auto val="1"/>
        <c:lblAlgn val="ctr"/>
        <c:lblOffset val="100"/>
        <c:noMultiLvlLbl val="0"/>
      </c:catAx>
      <c:valAx>
        <c:axId val="438765320"/>
        <c:scaling>
          <c:orientation val="minMax"/>
          <c:max val="7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762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t>
            </a:r>
          </a:p>
        </c:rich>
      </c:tx>
      <c:layout>
        <c:manualLayout>
          <c:xMode val="edge"/>
          <c:yMode val="edge"/>
          <c:x val="0.91651785714285716"/>
          <c:y val="2.8409090909090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Cases</c:v>
                </c:pt>
              </c:strCache>
            </c:strRef>
          </c:tx>
          <c:spPr>
            <a:solidFill>
              <a:srgbClr val="C00000"/>
            </a:solidFill>
            <a:ln>
              <a:solidFill>
                <a:schemeClr val="tx1"/>
              </a:solidFill>
            </a:ln>
            <a:effectLst/>
          </c:spPr>
          <c:invertIfNegative val="0"/>
          <c:errBars>
            <c:errBarType val="plus"/>
            <c:errValType val="cust"/>
            <c:noEndCap val="0"/>
            <c:plus>
              <c:numRef>
                <c:f>Sheet3!$B$4:$E$4</c:f>
                <c:numCache>
                  <c:formatCode>General</c:formatCode>
                  <c:ptCount val="4"/>
                  <c:pt idx="0">
                    <c:v>5.652643713553946</c:v>
                  </c:pt>
                  <c:pt idx="1">
                    <c:v>1.8898223650461361</c:v>
                  </c:pt>
                  <c:pt idx="2">
                    <c:v>12.311434870535139</c:v>
                  </c:pt>
                  <c:pt idx="3">
                    <c:v>10.752629800148782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Sheet3!$B$1:$E$1</c:f>
              <c:strCache>
                <c:ptCount val="4"/>
                <c:pt idx="0">
                  <c:v>Meat portions/wk</c:v>
                </c:pt>
                <c:pt idx="1">
                  <c:v>Fish portions/wk</c:v>
                </c:pt>
                <c:pt idx="2">
                  <c:v>Vegetable portions/wk</c:v>
                </c:pt>
                <c:pt idx="3">
                  <c:v>Cereal portions/wk</c:v>
                </c:pt>
              </c:strCache>
            </c:strRef>
          </c:cat>
          <c:val>
            <c:numRef>
              <c:f>Sheet3!$B$2:$E$2</c:f>
              <c:numCache>
                <c:formatCode>General</c:formatCode>
                <c:ptCount val="4"/>
                <c:pt idx="0">
                  <c:v>9.4285714285714288</c:v>
                </c:pt>
                <c:pt idx="1">
                  <c:v>2.2857142857142856</c:v>
                </c:pt>
                <c:pt idx="2">
                  <c:v>22.714285714285715</c:v>
                </c:pt>
                <c:pt idx="3">
                  <c:v>23.428571428571427</c:v>
                </c:pt>
              </c:numCache>
            </c:numRef>
          </c:val>
          <c:extLst>
            <c:ext xmlns:c16="http://schemas.microsoft.com/office/drawing/2014/chart" uri="{C3380CC4-5D6E-409C-BE32-E72D297353CC}">
              <c16:uniqueId val="{00000000-DC93-4259-AE14-4B74A9E86EF4}"/>
            </c:ext>
          </c:extLst>
        </c:ser>
        <c:ser>
          <c:idx val="1"/>
          <c:order val="1"/>
          <c:tx>
            <c:strRef>
              <c:f>Sheet3!$A$3</c:f>
              <c:strCache>
                <c:ptCount val="1"/>
                <c:pt idx="0">
                  <c:v>Controls</c:v>
                </c:pt>
              </c:strCache>
            </c:strRef>
          </c:tx>
          <c:spPr>
            <a:solidFill>
              <a:schemeClr val="accent1"/>
            </a:solidFill>
            <a:ln>
              <a:solidFill>
                <a:schemeClr val="tx1"/>
              </a:solidFill>
            </a:ln>
            <a:effectLst/>
          </c:spPr>
          <c:invertIfNegative val="0"/>
          <c:errBars>
            <c:errBarType val="plus"/>
            <c:errValType val="cust"/>
            <c:noEndCap val="0"/>
            <c:plus>
              <c:numRef>
                <c:f>Sheet3!$B$5:$E$5</c:f>
                <c:numCache>
                  <c:formatCode>General</c:formatCode>
                  <c:ptCount val="4"/>
                  <c:pt idx="0">
                    <c:v>4.3817804600413286</c:v>
                  </c:pt>
                  <c:pt idx="1">
                    <c:v>1.7888543819998317</c:v>
                  </c:pt>
                  <c:pt idx="2">
                    <c:v>13.57448587117268</c:v>
                  </c:pt>
                  <c:pt idx="3">
                    <c:v>4.7749345545253288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Sheet3!$B$1:$E$1</c:f>
              <c:strCache>
                <c:ptCount val="4"/>
                <c:pt idx="0">
                  <c:v>Meat portions/wk</c:v>
                </c:pt>
                <c:pt idx="1">
                  <c:v>Fish portions/wk</c:v>
                </c:pt>
                <c:pt idx="2">
                  <c:v>Vegetable portions/wk</c:v>
                </c:pt>
                <c:pt idx="3">
                  <c:v>Cereal portions/wk</c:v>
                </c:pt>
              </c:strCache>
            </c:strRef>
          </c:cat>
          <c:val>
            <c:numRef>
              <c:f>Sheet3!$B$3:$E$3</c:f>
              <c:numCache>
                <c:formatCode>General</c:formatCode>
                <c:ptCount val="4"/>
                <c:pt idx="0">
                  <c:v>8</c:v>
                </c:pt>
                <c:pt idx="1">
                  <c:v>2</c:v>
                </c:pt>
                <c:pt idx="2">
                  <c:v>23.666666666666668</c:v>
                </c:pt>
                <c:pt idx="3">
                  <c:v>22</c:v>
                </c:pt>
              </c:numCache>
            </c:numRef>
          </c:val>
          <c:extLst>
            <c:ext xmlns:c16="http://schemas.microsoft.com/office/drawing/2014/chart" uri="{C3380CC4-5D6E-409C-BE32-E72D297353CC}">
              <c16:uniqueId val="{00000001-DC93-4259-AE14-4B74A9E86EF4}"/>
            </c:ext>
          </c:extLst>
        </c:ser>
        <c:dLbls>
          <c:showLegendKey val="0"/>
          <c:showVal val="0"/>
          <c:showCatName val="0"/>
          <c:showSerName val="0"/>
          <c:showPercent val="0"/>
          <c:showBubbleSize val="0"/>
        </c:dLbls>
        <c:gapWidth val="219"/>
        <c:overlap val="-27"/>
        <c:axId val="441070928"/>
        <c:axId val="441072568"/>
      </c:barChart>
      <c:catAx>
        <c:axId val="44107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072568"/>
        <c:crosses val="autoZero"/>
        <c:auto val="1"/>
        <c:lblAlgn val="ctr"/>
        <c:lblOffset val="100"/>
        <c:noMultiLvlLbl val="0"/>
      </c:catAx>
      <c:valAx>
        <c:axId val="44107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Portions/week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07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t>
            </a:r>
          </a:p>
        </c:rich>
      </c:tx>
      <c:layout>
        <c:manualLayout>
          <c:xMode val="edge"/>
          <c:yMode val="edge"/>
          <c:x val="0.92914416947881528"/>
          <c:y val="2.8409090909090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Sheet3!$M$1</c:f>
              <c:strCache>
                <c:ptCount val="1"/>
                <c:pt idx="0">
                  <c:v>Alcohol (g/week)</c:v>
                </c:pt>
              </c:strCache>
            </c:strRef>
          </c:tx>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80E1-488E-9829-DB8492EF8ECF}"/>
              </c:ext>
            </c:extLst>
          </c:dPt>
          <c:errBars>
            <c:errBarType val="plus"/>
            <c:errValType val="cust"/>
            <c:noEndCap val="0"/>
            <c:plus>
              <c:numRef>
                <c:f>Sheet3!$M$4:$M$5</c:f>
                <c:numCache>
                  <c:formatCode>General</c:formatCode>
                  <c:ptCount val="2"/>
                  <c:pt idx="0">
                    <c:v>251.77769156681586</c:v>
                  </c:pt>
                  <c:pt idx="1">
                    <c:v>88.317608663278463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Sheet3!$L$2:$L$3</c:f>
              <c:strCache>
                <c:ptCount val="2"/>
                <c:pt idx="0">
                  <c:v>Cases</c:v>
                </c:pt>
                <c:pt idx="1">
                  <c:v>Controls</c:v>
                </c:pt>
              </c:strCache>
            </c:strRef>
          </c:cat>
          <c:val>
            <c:numRef>
              <c:f>Sheet3!$M$2:$M$3</c:f>
              <c:numCache>
                <c:formatCode>General</c:formatCode>
                <c:ptCount val="2"/>
                <c:pt idx="0">
                  <c:v>199.47249333333335</c:v>
                </c:pt>
                <c:pt idx="1">
                  <c:v>86</c:v>
                </c:pt>
              </c:numCache>
            </c:numRef>
          </c:val>
          <c:extLst>
            <c:ext xmlns:c16="http://schemas.microsoft.com/office/drawing/2014/chart" uri="{C3380CC4-5D6E-409C-BE32-E72D297353CC}">
              <c16:uniqueId val="{00000002-80E1-488E-9829-DB8492EF8ECF}"/>
            </c:ext>
          </c:extLst>
        </c:ser>
        <c:dLbls>
          <c:showLegendKey val="0"/>
          <c:showVal val="0"/>
          <c:showCatName val="0"/>
          <c:showSerName val="0"/>
          <c:showPercent val="0"/>
          <c:showBubbleSize val="0"/>
        </c:dLbls>
        <c:gapWidth val="219"/>
        <c:overlap val="-27"/>
        <c:axId val="430258016"/>
        <c:axId val="430259000"/>
      </c:barChart>
      <c:catAx>
        <c:axId val="4302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59000"/>
        <c:crosses val="autoZero"/>
        <c:auto val="1"/>
        <c:lblAlgn val="ctr"/>
        <c:lblOffset val="100"/>
        <c:noMultiLvlLbl val="0"/>
      </c:catAx>
      <c:valAx>
        <c:axId val="430259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Alcohol (g/week)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5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B</a:t>
            </a:r>
          </a:p>
        </c:rich>
      </c:tx>
      <c:layout>
        <c:manualLayout>
          <c:xMode val="edge"/>
          <c:yMode val="edge"/>
          <c:x val="0.93786447148651875"/>
          <c:y val="1.061007957559681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'Composite PLOT AC'!$A$3</c:f>
              <c:strCache>
                <c:ptCount val="1"/>
                <c:pt idx="0">
                  <c:v>Grade 0</c:v>
                </c:pt>
              </c:strCache>
            </c:strRef>
          </c:tx>
          <c:spPr>
            <a:solidFill>
              <a:schemeClr val="accent3"/>
            </a:solidFill>
            <a:ln>
              <a:solidFill>
                <a:schemeClr val="tx1"/>
              </a:solidFill>
            </a:ln>
            <a:effectLst/>
          </c:spPr>
          <c:invertIfNegative val="0"/>
          <c:cat>
            <c:multiLvlStrRef>
              <c:f>'Composite PLOT AC'!$B$1:$D$2</c:f>
              <c:multiLvlStrCache>
                <c:ptCount val="3"/>
                <c:lvl>
                  <c:pt idx="0">
                    <c:v>RTOG acute</c:v>
                  </c:pt>
                  <c:pt idx="1">
                    <c:v>RTOG acute</c:v>
                  </c:pt>
                  <c:pt idx="2">
                    <c:v>RTOG acute</c:v>
                  </c:pt>
                </c:lvl>
                <c:lvl>
                  <c:pt idx="0">
                    <c:v>2/3 weeks</c:v>
                  </c:pt>
                  <c:pt idx="1">
                    <c:v>4/5 weeks</c:v>
                  </c:pt>
                  <c:pt idx="2">
                    <c:v>12 weeks</c:v>
                  </c:pt>
                </c:lvl>
              </c:multiLvlStrCache>
            </c:multiLvlStrRef>
          </c:cat>
          <c:val>
            <c:numRef>
              <c:f>'Composite PLOT AC'!$B$3:$D$3</c:f>
              <c:numCache>
                <c:formatCode>General</c:formatCode>
                <c:ptCount val="3"/>
                <c:pt idx="0">
                  <c:v>10</c:v>
                </c:pt>
                <c:pt idx="1">
                  <c:v>5</c:v>
                </c:pt>
                <c:pt idx="2">
                  <c:v>9</c:v>
                </c:pt>
              </c:numCache>
            </c:numRef>
          </c:val>
          <c:extLst>
            <c:ext xmlns:c16="http://schemas.microsoft.com/office/drawing/2014/chart" uri="{C3380CC4-5D6E-409C-BE32-E72D297353CC}">
              <c16:uniqueId val="{00000000-8CC4-4651-A9CD-9FB32CEBCA6B}"/>
            </c:ext>
          </c:extLst>
        </c:ser>
        <c:ser>
          <c:idx val="1"/>
          <c:order val="1"/>
          <c:tx>
            <c:strRef>
              <c:f>'Composite PLOT AC'!$A$4</c:f>
              <c:strCache>
                <c:ptCount val="1"/>
                <c:pt idx="0">
                  <c:v>Grade 1</c:v>
                </c:pt>
              </c:strCache>
            </c:strRef>
          </c:tx>
          <c:spPr>
            <a:solidFill>
              <a:schemeClr val="accent6"/>
            </a:solidFill>
            <a:ln>
              <a:solidFill>
                <a:schemeClr val="tx1"/>
              </a:solidFill>
            </a:ln>
            <a:effectLst/>
          </c:spPr>
          <c:invertIfNegative val="0"/>
          <c:cat>
            <c:multiLvlStrRef>
              <c:f>'Composite PLOT AC'!$B$1:$D$2</c:f>
              <c:multiLvlStrCache>
                <c:ptCount val="3"/>
                <c:lvl>
                  <c:pt idx="0">
                    <c:v>RTOG acute</c:v>
                  </c:pt>
                  <c:pt idx="1">
                    <c:v>RTOG acute</c:v>
                  </c:pt>
                  <c:pt idx="2">
                    <c:v>RTOG acute</c:v>
                  </c:pt>
                </c:lvl>
                <c:lvl>
                  <c:pt idx="0">
                    <c:v>2/3 weeks</c:v>
                  </c:pt>
                  <c:pt idx="1">
                    <c:v>4/5 weeks</c:v>
                  </c:pt>
                  <c:pt idx="2">
                    <c:v>12 weeks</c:v>
                  </c:pt>
                </c:lvl>
              </c:multiLvlStrCache>
            </c:multiLvlStrRef>
          </c:cat>
          <c:val>
            <c:numRef>
              <c:f>'Composite PLOT AC'!$B$4:$D$4</c:f>
              <c:numCache>
                <c:formatCode>General</c:formatCode>
                <c:ptCount val="3"/>
                <c:pt idx="0">
                  <c:v>18</c:v>
                </c:pt>
                <c:pt idx="1">
                  <c:v>16</c:v>
                </c:pt>
                <c:pt idx="2">
                  <c:v>19</c:v>
                </c:pt>
              </c:numCache>
            </c:numRef>
          </c:val>
          <c:extLst>
            <c:ext xmlns:c16="http://schemas.microsoft.com/office/drawing/2014/chart" uri="{C3380CC4-5D6E-409C-BE32-E72D297353CC}">
              <c16:uniqueId val="{00000001-8CC4-4651-A9CD-9FB32CEBCA6B}"/>
            </c:ext>
          </c:extLst>
        </c:ser>
        <c:ser>
          <c:idx val="2"/>
          <c:order val="2"/>
          <c:tx>
            <c:strRef>
              <c:f>'Composite PLOT AC'!$A$5</c:f>
              <c:strCache>
                <c:ptCount val="1"/>
                <c:pt idx="0">
                  <c:v>Grade 2+</c:v>
                </c:pt>
              </c:strCache>
            </c:strRef>
          </c:tx>
          <c:spPr>
            <a:solidFill>
              <a:schemeClr val="accent2"/>
            </a:solidFill>
            <a:ln>
              <a:solidFill>
                <a:schemeClr val="tx1"/>
              </a:solidFill>
            </a:ln>
            <a:effectLst/>
          </c:spPr>
          <c:invertIfNegative val="0"/>
          <c:cat>
            <c:multiLvlStrRef>
              <c:f>'Composite PLOT AC'!$B$1:$D$2</c:f>
              <c:multiLvlStrCache>
                <c:ptCount val="3"/>
                <c:lvl>
                  <c:pt idx="0">
                    <c:v>RTOG acute</c:v>
                  </c:pt>
                  <c:pt idx="1">
                    <c:v>RTOG acute</c:v>
                  </c:pt>
                  <c:pt idx="2">
                    <c:v>RTOG acute</c:v>
                  </c:pt>
                </c:lvl>
                <c:lvl>
                  <c:pt idx="0">
                    <c:v>2/3 weeks</c:v>
                  </c:pt>
                  <c:pt idx="1">
                    <c:v>4/5 weeks</c:v>
                  </c:pt>
                  <c:pt idx="2">
                    <c:v>12 weeks</c:v>
                  </c:pt>
                </c:lvl>
              </c:multiLvlStrCache>
            </c:multiLvlStrRef>
          </c:cat>
          <c:val>
            <c:numRef>
              <c:f>'Composite PLOT AC'!$B$5:$D$5</c:f>
              <c:numCache>
                <c:formatCode>General</c:formatCode>
                <c:ptCount val="3"/>
                <c:pt idx="0">
                  <c:v>4</c:v>
                </c:pt>
                <c:pt idx="1">
                  <c:v>11</c:v>
                </c:pt>
                <c:pt idx="2">
                  <c:v>4</c:v>
                </c:pt>
              </c:numCache>
            </c:numRef>
          </c:val>
          <c:extLst>
            <c:ext xmlns:c16="http://schemas.microsoft.com/office/drawing/2014/chart" uri="{C3380CC4-5D6E-409C-BE32-E72D297353CC}">
              <c16:uniqueId val="{00000002-8CC4-4651-A9CD-9FB32CEBCA6B}"/>
            </c:ext>
          </c:extLst>
        </c:ser>
        <c:dLbls>
          <c:showLegendKey val="0"/>
          <c:showVal val="0"/>
          <c:showCatName val="0"/>
          <c:showSerName val="0"/>
          <c:showPercent val="0"/>
          <c:showBubbleSize val="0"/>
        </c:dLbls>
        <c:gapWidth val="150"/>
        <c:overlap val="100"/>
        <c:axId val="434019456"/>
        <c:axId val="434010928"/>
      </c:barChart>
      <c:catAx>
        <c:axId val="4340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0928"/>
        <c:crosses val="autoZero"/>
        <c:auto val="1"/>
        <c:lblAlgn val="ctr"/>
        <c:lblOffset val="100"/>
        <c:noMultiLvlLbl val="0"/>
      </c:catAx>
      <c:valAx>
        <c:axId val="4340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GB" sz="600" b="0"/>
                  <a:t>Percentage</a:t>
                </a:r>
                <a:r>
                  <a:rPr lang="en-GB" sz="600" b="0" baseline="0"/>
                  <a:t> of patients</a:t>
                </a:r>
                <a:endParaRPr lang="en-GB" sz="600" b="0"/>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9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chemeClr val="accent6"/>
              </a:solidFill>
              <a:ln>
                <a:solidFill>
                  <a:schemeClr val="tx1"/>
                </a:solidFill>
              </a:ln>
              <a:effectLst/>
            </c:spPr>
            <c:extLst>
              <c:ext xmlns:c16="http://schemas.microsoft.com/office/drawing/2014/chart" uri="{C3380CC4-5D6E-409C-BE32-E72D297353CC}">
                <c16:uniqueId val="{00000001-0DBE-4D7D-96AC-6157CE55B798}"/>
              </c:ext>
            </c:extLst>
          </c:dPt>
          <c:dPt>
            <c:idx val="1"/>
            <c:invertIfNegative val="0"/>
            <c:bubble3D val="0"/>
            <c:spPr>
              <a:solidFill>
                <a:schemeClr val="accent4"/>
              </a:solidFill>
              <a:ln>
                <a:solidFill>
                  <a:schemeClr val="tx1"/>
                </a:solidFill>
              </a:ln>
              <a:effectLst/>
            </c:spPr>
            <c:extLst>
              <c:ext xmlns:c16="http://schemas.microsoft.com/office/drawing/2014/chart" uri="{C3380CC4-5D6E-409C-BE32-E72D297353CC}">
                <c16:uniqueId val="{00000003-0DBE-4D7D-96AC-6157CE55B798}"/>
              </c:ext>
            </c:extLst>
          </c:dPt>
          <c:dPt>
            <c:idx val="2"/>
            <c:invertIfNegative val="0"/>
            <c:bubble3D val="0"/>
            <c:spPr>
              <a:solidFill>
                <a:schemeClr val="accent2"/>
              </a:solidFill>
              <a:ln>
                <a:solidFill>
                  <a:schemeClr val="tx1"/>
                </a:solidFill>
              </a:ln>
              <a:effectLst/>
            </c:spPr>
            <c:extLst>
              <c:ext xmlns:c16="http://schemas.microsoft.com/office/drawing/2014/chart" uri="{C3380CC4-5D6E-409C-BE32-E72D297353CC}">
                <c16:uniqueId val="{00000005-0DBE-4D7D-96AC-6157CE55B798}"/>
              </c:ext>
            </c:extLst>
          </c:dPt>
          <c:dPt>
            <c:idx val="3"/>
            <c:invertIfNegative val="0"/>
            <c:bubble3D val="0"/>
            <c:spPr>
              <a:solidFill>
                <a:srgbClr val="C00000"/>
              </a:solidFill>
              <a:ln>
                <a:solidFill>
                  <a:schemeClr val="tx1"/>
                </a:solidFill>
              </a:ln>
              <a:effectLst/>
            </c:spPr>
            <c:extLst>
              <c:ext xmlns:c16="http://schemas.microsoft.com/office/drawing/2014/chart" uri="{C3380CC4-5D6E-409C-BE32-E72D297353CC}">
                <c16:uniqueId val="{00000007-0DBE-4D7D-96AC-6157CE55B798}"/>
              </c:ext>
            </c:extLst>
          </c:dPt>
          <c:errBars>
            <c:errBarType val="plus"/>
            <c:errValType val="cust"/>
            <c:noEndCap val="0"/>
            <c:plus>
              <c:numRef>
                <c:f>ActPRO!$P$10:$S$10</c:f>
                <c:numCache>
                  <c:formatCode>General</c:formatCode>
                  <c:ptCount val="4"/>
                  <c:pt idx="0">
                    <c:v>29.182528891272241</c:v>
                  </c:pt>
                  <c:pt idx="1">
                    <c:v>27.258836603159203</c:v>
                  </c:pt>
                  <c:pt idx="2">
                    <c:v>35.148225963810631</c:v>
                  </c:pt>
                  <c:pt idx="3">
                    <c:v>26.920771597493292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ActPRO!$P$8:$S$8</c:f>
              <c:strCache>
                <c:ptCount val="4"/>
                <c:pt idx="0">
                  <c:v>No symptoms</c:v>
                </c:pt>
                <c:pt idx="1">
                  <c:v>Mild symptoms</c:v>
                </c:pt>
                <c:pt idx="2">
                  <c:v>Moderate symptoms</c:v>
                </c:pt>
                <c:pt idx="3">
                  <c:v>Severe symptoms</c:v>
                </c:pt>
              </c:strCache>
            </c:strRef>
          </c:cat>
          <c:val>
            <c:numRef>
              <c:f>ActPRO!$P$9:$S$9</c:f>
              <c:numCache>
                <c:formatCode>General</c:formatCode>
                <c:ptCount val="4"/>
                <c:pt idx="0">
                  <c:v>67.85486104166668</c:v>
                </c:pt>
                <c:pt idx="1">
                  <c:v>64.767857100000015</c:v>
                </c:pt>
                <c:pt idx="2">
                  <c:v>67.483611100000005</c:v>
                </c:pt>
                <c:pt idx="3">
                  <c:v>67.480601249999992</c:v>
                </c:pt>
              </c:numCache>
            </c:numRef>
          </c:val>
          <c:extLst>
            <c:ext xmlns:c16="http://schemas.microsoft.com/office/drawing/2014/chart" uri="{C3380CC4-5D6E-409C-BE32-E72D297353CC}">
              <c16:uniqueId val="{00000008-0DBE-4D7D-96AC-6157CE55B798}"/>
            </c:ext>
          </c:extLst>
        </c:ser>
        <c:dLbls>
          <c:showLegendKey val="0"/>
          <c:showVal val="0"/>
          <c:showCatName val="0"/>
          <c:showSerName val="0"/>
          <c:showPercent val="0"/>
          <c:showBubbleSize val="0"/>
        </c:dLbls>
        <c:gapWidth val="219"/>
        <c:overlap val="-27"/>
        <c:axId val="408561112"/>
        <c:axId val="408558816"/>
      </c:barChart>
      <c:catAx>
        <c:axId val="40856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58816"/>
        <c:crosses val="autoZero"/>
        <c:auto val="1"/>
        <c:lblAlgn val="ctr"/>
        <c:lblOffset val="100"/>
        <c:noMultiLvlLbl val="0"/>
      </c:catAx>
      <c:valAx>
        <c:axId val="4085588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61112"/>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C</a:t>
            </a:r>
          </a:p>
        </c:rich>
      </c:tx>
      <c:layout>
        <c:manualLayout>
          <c:xMode val="edge"/>
          <c:yMode val="edge"/>
          <c:x val="0.97297073743185958"/>
          <c:y val="8.9126559714795012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088582677165349E-2"/>
          <c:y val="6.1979166666666689E-2"/>
          <c:w val="0.88999475065616795"/>
          <c:h val="0.48624060486757331"/>
        </c:manualLayout>
      </c:layout>
      <c:barChart>
        <c:barDir val="col"/>
        <c:grouping val="percentStacked"/>
        <c:varyColors val="0"/>
        <c:ser>
          <c:idx val="0"/>
          <c:order val="0"/>
          <c:tx>
            <c:strRef>
              <c:f>'Composite PLOT LATE'!$A$3</c:f>
              <c:strCache>
                <c:ptCount val="1"/>
                <c:pt idx="0">
                  <c:v>Grade 0</c:v>
                </c:pt>
              </c:strCache>
            </c:strRef>
          </c:tx>
          <c:spPr>
            <a:solidFill>
              <a:schemeClr val="accent3"/>
            </a:solidFill>
            <a:ln>
              <a:solidFill>
                <a:schemeClr val="tx1"/>
              </a:solidFill>
            </a:ln>
            <a:effectLst/>
          </c:spPr>
          <c:invertIfNegative val="0"/>
          <c:cat>
            <c:multiLvlStrRef>
              <c:f>'Composite PLOT LATE'!$B$1:$S$2</c:f>
              <c:multiLvlStrCache>
                <c:ptCount val="18"/>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pt idx="9">
                    <c:v>RTOG Diarrhoea</c:v>
                  </c:pt>
                  <c:pt idx="10">
                    <c:v>RTOG Proctitis</c:v>
                  </c:pt>
                  <c:pt idx="11">
                    <c:v>RTOG max</c:v>
                  </c:pt>
                  <c:pt idx="12">
                    <c:v>LS Sphincter control</c:v>
                  </c:pt>
                  <c:pt idx="13">
                    <c:v>LS Tenesmus</c:v>
                  </c:pt>
                  <c:pt idx="14">
                    <c:v>LS Bleeding obj</c:v>
                  </c:pt>
                  <c:pt idx="15">
                    <c:v>LS Pain</c:v>
                  </c:pt>
                  <c:pt idx="16">
                    <c:v>LS Bleeding mgt</c:v>
                  </c:pt>
                  <c:pt idx="17">
                    <c:v>Composite max</c:v>
                  </c:pt>
                </c:lvl>
                <c:lvl>
                  <c:pt idx="0">
                    <c:v>6 months</c:v>
                  </c:pt>
                  <c:pt idx="9">
                    <c:v>12 months</c:v>
                  </c:pt>
                </c:lvl>
              </c:multiLvlStrCache>
            </c:multiLvlStrRef>
          </c:cat>
          <c:val>
            <c:numRef>
              <c:f>'Composite PLOT LATE'!$B$3:$S$3</c:f>
              <c:numCache>
                <c:formatCode>General</c:formatCode>
                <c:ptCount val="18"/>
                <c:pt idx="0">
                  <c:v>24</c:v>
                </c:pt>
                <c:pt idx="1">
                  <c:v>16</c:v>
                </c:pt>
                <c:pt idx="2">
                  <c:v>15</c:v>
                </c:pt>
                <c:pt idx="3">
                  <c:v>29</c:v>
                </c:pt>
                <c:pt idx="4">
                  <c:v>22</c:v>
                </c:pt>
                <c:pt idx="5">
                  <c:v>31</c:v>
                </c:pt>
                <c:pt idx="6">
                  <c:v>30</c:v>
                </c:pt>
                <c:pt idx="7">
                  <c:v>32</c:v>
                </c:pt>
                <c:pt idx="8">
                  <c:v>13</c:v>
                </c:pt>
                <c:pt idx="9">
                  <c:v>22</c:v>
                </c:pt>
                <c:pt idx="10">
                  <c:v>23</c:v>
                </c:pt>
                <c:pt idx="11">
                  <c:v>20</c:v>
                </c:pt>
                <c:pt idx="12">
                  <c:v>29</c:v>
                </c:pt>
                <c:pt idx="13">
                  <c:v>25</c:v>
                </c:pt>
                <c:pt idx="14">
                  <c:v>30</c:v>
                </c:pt>
                <c:pt idx="15">
                  <c:v>28</c:v>
                </c:pt>
                <c:pt idx="16">
                  <c:v>31</c:v>
                </c:pt>
                <c:pt idx="17">
                  <c:v>19</c:v>
                </c:pt>
              </c:numCache>
            </c:numRef>
          </c:val>
          <c:extLst>
            <c:ext xmlns:c16="http://schemas.microsoft.com/office/drawing/2014/chart" uri="{C3380CC4-5D6E-409C-BE32-E72D297353CC}">
              <c16:uniqueId val="{00000000-E380-4329-9F12-500B2E6929E3}"/>
            </c:ext>
          </c:extLst>
        </c:ser>
        <c:ser>
          <c:idx val="1"/>
          <c:order val="1"/>
          <c:tx>
            <c:strRef>
              <c:f>'Composite PLOT LATE'!$A$4</c:f>
              <c:strCache>
                <c:ptCount val="1"/>
                <c:pt idx="0">
                  <c:v>Grade 1</c:v>
                </c:pt>
              </c:strCache>
            </c:strRef>
          </c:tx>
          <c:spPr>
            <a:solidFill>
              <a:schemeClr val="accent6"/>
            </a:solidFill>
            <a:ln>
              <a:solidFill>
                <a:schemeClr val="tx1"/>
              </a:solidFill>
            </a:ln>
            <a:effectLst/>
          </c:spPr>
          <c:invertIfNegative val="0"/>
          <c:cat>
            <c:multiLvlStrRef>
              <c:f>'Composite PLOT LATE'!$B$1:$S$2</c:f>
              <c:multiLvlStrCache>
                <c:ptCount val="18"/>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pt idx="9">
                    <c:v>RTOG Diarrhoea</c:v>
                  </c:pt>
                  <c:pt idx="10">
                    <c:v>RTOG Proctitis</c:v>
                  </c:pt>
                  <c:pt idx="11">
                    <c:v>RTOG max</c:v>
                  </c:pt>
                  <c:pt idx="12">
                    <c:v>LS Sphincter control</c:v>
                  </c:pt>
                  <c:pt idx="13">
                    <c:v>LS Tenesmus</c:v>
                  </c:pt>
                  <c:pt idx="14">
                    <c:v>LS Bleeding obj</c:v>
                  </c:pt>
                  <c:pt idx="15">
                    <c:v>LS Pain</c:v>
                  </c:pt>
                  <c:pt idx="16">
                    <c:v>LS Bleeding mgt</c:v>
                  </c:pt>
                  <c:pt idx="17">
                    <c:v>Composite max</c:v>
                  </c:pt>
                </c:lvl>
                <c:lvl>
                  <c:pt idx="0">
                    <c:v>6 months</c:v>
                  </c:pt>
                  <c:pt idx="9">
                    <c:v>12 months</c:v>
                  </c:pt>
                </c:lvl>
              </c:multiLvlStrCache>
            </c:multiLvlStrRef>
          </c:cat>
          <c:val>
            <c:numRef>
              <c:f>'Composite PLOT LATE'!$B$4:$S$4</c:f>
              <c:numCache>
                <c:formatCode>General</c:formatCode>
                <c:ptCount val="18"/>
                <c:pt idx="0">
                  <c:v>8</c:v>
                </c:pt>
                <c:pt idx="1">
                  <c:v>14</c:v>
                </c:pt>
                <c:pt idx="2">
                  <c:v>15</c:v>
                </c:pt>
                <c:pt idx="3">
                  <c:v>3</c:v>
                </c:pt>
                <c:pt idx="4">
                  <c:v>8</c:v>
                </c:pt>
                <c:pt idx="5">
                  <c:v>1</c:v>
                </c:pt>
                <c:pt idx="6">
                  <c:v>2</c:v>
                </c:pt>
                <c:pt idx="7">
                  <c:v>0</c:v>
                </c:pt>
                <c:pt idx="8">
                  <c:v>16</c:v>
                </c:pt>
                <c:pt idx="9">
                  <c:v>8</c:v>
                </c:pt>
                <c:pt idx="10">
                  <c:v>8</c:v>
                </c:pt>
                <c:pt idx="11">
                  <c:v>10</c:v>
                </c:pt>
                <c:pt idx="12">
                  <c:v>2</c:v>
                </c:pt>
                <c:pt idx="13">
                  <c:v>5</c:v>
                </c:pt>
                <c:pt idx="14">
                  <c:v>1</c:v>
                </c:pt>
                <c:pt idx="15">
                  <c:v>2</c:v>
                </c:pt>
                <c:pt idx="16">
                  <c:v>0</c:v>
                </c:pt>
                <c:pt idx="17">
                  <c:v>11</c:v>
                </c:pt>
              </c:numCache>
            </c:numRef>
          </c:val>
          <c:extLst>
            <c:ext xmlns:c16="http://schemas.microsoft.com/office/drawing/2014/chart" uri="{C3380CC4-5D6E-409C-BE32-E72D297353CC}">
              <c16:uniqueId val="{00000001-E380-4329-9F12-500B2E6929E3}"/>
            </c:ext>
          </c:extLst>
        </c:ser>
        <c:ser>
          <c:idx val="2"/>
          <c:order val="2"/>
          <c:tx>
            <c:strRef>
              <c:f>'Composite PLOT LATE'!$A$5</c:f>
              <c:strCache>
                <c:ptCount val="1"/>
                <c:pt idx="0">
                  <c:v>Grade 2+</c:v>
                </c:pt>
              </c:strCache>
            </c:strRef>
          </c:tx>
          <c:spPr>
            <a:solidFill>
              <a:schemeClr val="accent2"/>
            </a:solidFill>
            <a:ln>
              <a:solidFill>
                <a:schemeClr val="tx1"/>
              </a:solidFill>
            </a:ln>
            <a:effectLst/>
          </c:spPr>
          <c:invertIfNegative val="0"/>
          <c:cat>
            <c:multiLvlStrRef>
              <c:f>'Composite PLOT LATE'!$B$1:$S$2</c:f>
              <c:multiLvlStrCache>
                <c:ptCount val="18"/>
                <c:lvl>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pt idx="9">
                    <c:v>RTOG Diarrhoea</c:v>
                  </c:pt>
                  <c:pt idx="10">
                    <c:v>RTOG Proctitis</c:v>
                  </c:pt>
                  <c:pt idx="11">
                    <c:v>RTOG max</c:v>
                  </c:pt>
                  <c:pt idx="12">
                    <c:v>LS Sphincter control</c:v>
                  </c:pt>
                  <c:pt idx="13">
                    <c:v>LS Tenesmus</c:v>
                  </c:pt>
                  <c:pt idx="14">
                    <c:v>LS Bleeding obj</c:v>
                  </c:pt>
                  <c:pt idx="15">
                    <c:v>LS Pain</c:v>
                  </c:pt>
                  <c:pt idx="16">
                    <c:v>LS Bleeding mgt</c:v>
                  </c:pt>
                  <c:pt idx="17">
                    <c:v>Composite max</c:v>
                  </c:pt>
                </c:lvl>
                <c:lvl>
                  <c:pt idx="0">
                    <c:v>6 months</c:v>
                  </c:pt>
                  <c:pt idx="9">
                    <c:v>12 months</c:v>
                  </c:pt>
                </c:lvl>
              </c:multiLvlStrCache>
            </c:multiLvlStrRef>
          </c:cat>
          <c:val>
            <c:numRef>
              <c:f>'Composite PLOT LATE'!$B$5:$S$5</c:f>
              <c:numCache>
                <c:formatCode>General</c:formatCode>
                <c:ptCount val="18"/>
                <c:pt idx="0">
                  <c:v>0</c:v>
                </c:pt>
                <c:pt idx="1">
                  <c:v>2</c:v>
                </c:pt>
                <c:pt idx="2">
                  <c:v>2</c:v>
                </c:pt>
                <c:pt idx="3">
                  <c:v>0</c:v>
                </c:pt>
                <c:pt idx="4">
                  <c:v>2</c:v>
                </c:pt>
                <c:pt idx="5">
                  <c:v>0</c:v>
                </c:pt>
                <c:pt idx="6">
                  <c:v>0</c:v>
                </c:pt>
                <c:pt idx="7">
                  <c:v>0</c:v>
                </c:pt>
                <c:pt idx="8">
                  <c:v>3</c:v>
                </c:pt>
                <c:pt idx="9">
                  <c:v>1</c:v>
                </c:pt>
                <c:pt idx="10">
                  <c:v>0</c:v>
                </c:pt>
                <c:pt idx="11">
                  <c:v>1</c:v>
                </c:pt>
                <c:pt idx="12">
                  <c:v>0</c:v>
                </c:pt>
                <c:pt idx="13">
                  <c:v>1</c:v>
                </c:pt>
                <c:pt idx="14">
                  <c:v>0</c:v>
                </c:pt>
                <c:pt idx="15">
                  <c:v>1</c:v>
                </c:pt>
                <c:pt idx="16">
                  <c:v>0</c:v>
                </c:pt>
                <c:pt idx="17">
                  <c:v>1</c:v>
                </c:pt>
              </c:numCache>
            </c:numRef>
          </c:val>
          <c:extLst>
            <c:ext xmlns:c16="http://schemas.microsoft.com/office/drawing/2014/chart" uri="{C3380CC4-5D6E-409C-BE32-E72D297353CC}">
              <c16:uniqueId val="{00000002-E380-4329-9F12-500B2E6929E3}"/>
            </c:ext>
          </c:extLst>
        </c:ser>
        <c:dLbls>
          <c:showLegendKey val="0"/>
          <c:showVal val="0"/>
          <c:showCatName val="0"/>
          <c:showSerName val="0"/>
          <c:showPercent val="0"/>
          <c:showBubbleSize val="0"/>
        </c:dLbls>
        <c:gapWidth val="150"/>
        <c:overlap val="100"/>
        <c:axId val="434019456"/>
        <c:axId val="434010928"/>
      </c:barChart>
      <c:catAx>
        <c:axId val="4340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0928"/>
        <c:crosses val="autoZero"/>
        <c:auto val="1"/>
        <c:lblAlgn val="ctr"/>
        <c:lblOffset val="100"/>
        <c:noMultiLvlLbl val="0"/>
      </c:catAx>
      <c:valAx>
        <c:axId val="4340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GB" sz="600" b="0"/>
                  <a:t>Percentage</a:t>
                </a:r>
                <a:r>
                  <a:rPr lang="en-GB" sz="600" b="0" baseline="0"/>
                  <a:t> of patients</a:t>
                </a:r>
                <a:endParaRPr lang="en-GB" sz="600" b="0"/>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3401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'IBDQb (2)'!$AE$2</c:f>
              <c:strCache>
                <c:ptCount val="1"/>
                <c:pt idx="0">
                  <c:v>IBDQ - bowel subset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'IBDQb (2)'!$AF$3:$AK$3</c:f>
                <c:numCache>
                  <c:formatCode>General</c:formatCode>
                  <c:ptCount val="6"/>
                  <c:pt idx="0">
                    <c:v>3.4899122022605646</c:v>
                  </c:pt>
                  <c:pt idx="1">
                    <c:v>11.964026539358851</c:v>
                  </c:pt>
                  <c:pt idx="2">
                    <c:v>13.89734663114665</c:v>
                  </c:pt>
                  <c:pt idx="3">
                    <c:v>7.3154486857392671</c:v>
                  </c:pt>
                  <c:pt idx="4">
                    <c:v>8.8454747889768104</c:v>
                  </c:pt>
                  <c:pt idx="5">
                    <c:v>8.0545018467935066</c:v>
                  </c:pt>
                </c:numCache>
              </c:numRef>
            </c:plus>
            <c:minus>
              <c:numRef>
                <c:f>'IBDQb (2)'!$AF$3:$AK$3</c:f>
                <c:numCache>
                  <c:formatCode>General</c:formatCode>
                  <c:ptCount val="6"/>
                  <c:pt idx="0">
                    <c:v>3.4899122022605646</c:v>
                  </c:pt>
                  <c:pt idx="1">
                    <c:v>11.964026539358851</c:v>
                  </c:pt>
                  <c:pt idx="2">
                    <c:v>13.89734663114665</c:v>
                  </c:pt>
                  <c:pt idx="3">
                    <c:v>7.3154486857392671</c:v>
                  </c:pt>
                  <c:pt idx="4">
                    <c:v>8.8454747889768104</c:v>
                  </c:pt>
                  <c:pt idx="5">
                    <c:v>8.0545018467935066</c:v>
                  </c:pt>
                </c:numCache>
              </c:numRef>
            </c:minus>
            <c:spPr>
              <a:noFill/>
              <a:ln w="15875" cap="flat" cmpd="sng" algn="ctr">
                <a:solidFill>
                  <a:schemeClr val="accent2"/>
                </a:solidFill>
                <a:round/>
              </a:ln>
              <a:effectLst/>
            </c:spPr>
          </c:errBars>
          <c:cat>
            <c:strRef>
              <c:f>'IBDQb (2)'!$AF$1:$AK$1</c:f>
              <c:strCache>
                <c:ptCount val="6"/>
                <c:pt idx="0">
                  <c:v>Baseline</c:v>
                </c:pt>
                <c:pt idx="1">
                  <c:v>2/3 weeks</c:v>
                </c:pt>
                <c:pt idx="2">
                  <c:v>4/5 weeks</c:v>
                </c:pt>
                <c:pt idx="3">
                  <c:v>12 weeks</c:v>
                </c:pt>
                <c:pt idx="4">
                  <c:v>6 months</c:v>
                </c:pt>
                <c:pt idx="5">
                  <c:v>12 months</c:v>
                </c:pt>
              </c:strCache>
            </c:strRef>
          </c:cat>
          <c:val>
            <c:numRef>
              <c:f>'IBDQb (2)'!$AF$2:$AK$2</c:f>
              <c:numCache>
                <c:formatCode>General</c:formatCode>
                <c:ptCount val="6"/>
                <c:pt idx="0">
                  <c:v>67.111111111111114</c:v>
                </c:pt>
                <c:pt idx="1">
                  <c:v>58.931034482758619</c:v>
                </c:pt>
                <c:pt idx="2">
                  <c:v>54.392857142857146</c:v>
                </c:pt>
                <c:pt idx="3">
                  <c:v>63.6</c:v>
                </c:pt>
                <c:pt idx="4">
                  <c:v>62.636363636363633</c:v>
                </c:pt>
                <c:pt idx="5">
                  <c:v>63</c:v>
                </c:pt>
              </c:numCache>
            </c:numRef>
          </c:val>
          <c:smooth val="0"/>
          <c:extLst>
            <c:ext xmlns:c16="http://schemas.microsoft.com/office/drawing/2014/chart" uri="{C3380CC4-5D6E-409C-BE32-E72D297353CC}">
              <c16:uniqueId val="{00000000-C0A0-44F9-9AA3-E7644C672DDE}"/>
            </c:ext>
          </c:extLst>
        </c:ser>
        <c:dLbls>
          <c:showLegendKey val="0"/>
          <c:showVal val="0"/>
          <c:showCatName val="0"/>
          <c:showSerName val="0"/>
          <c:showPercent val="0"/>
          <c:showBubbleSize val="0"/>
        </c:dLbls>
        <c:marker val="1"/>
        <c:smooth val="0"/>
        <c:axId val="610762200"/>
        <c:axId val="610758920"/>
      </c:lineChart>
      <c:catAx>
        <c:axId val="61076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58920"/>
        <c:crosses val="autoZero"/>
        <c:auto val="1"/>
        <c:lblAlgn val="ctr"/>
        <c:lblOffset val="100"/>
        <c:noMultiLvlLbl val="0"/>
      </c:catAx>
      <c:valAx>
        <c:axId val="610758920"/>
        <c:scaling>
          <c:orientation val="minMax"/>
          <c:max val="75"/>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 </a:t>
                </a:r>
                <a:r>
                  <a:rPr lang="en-GB" baseline="0"/>
                  <a:t>score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6220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A</a:t>
            </a:r>
          </a:p>
        </c:rich>
      </c:tx>
      <c:layout>
        <c:manualLayout>
          <c:xMode val="edge"/>
          <c:yMode val="edge"/>
          <c:x val="0.9081944444444443"/>
          <c:y val="2.29077553394009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Sheet1!$L$2</c:f>
              <c:strCache>
                <c:ptCount val="1"/>
                <c:pt idx="0">
                  <c:v>No symptoms</c:v>
                </c:pt>
              </c:strCache>
            </c:strRef>
          </c:tx>
          <c:spPr>
            <a:solidFill>
              <a:schemeClr val="accent3"/>
            </a:solidFill>
            <a:ln>
              <a:solidFill>
                <a:schemeClr val="tx1"/>
              </a:solidFill>
            </a:ln>
            <a:effectLst/>
          </c:spPr>
          <c:invertIfNegative val="0"/>
          <c:errBars>
            <c:errBarType val="plus"/>
            <c:errValType val="cust"/>
            <c:noEndCap val="0"/>
            <c:plus>
              <c:numRef>
                <c:f>Sheet1!$M$5:$Q$5</c:f>
                <c:numCache>
                  <c:formatCode>General</c:formatCode>
                  <c:ptCount val="5"/>
                  <c:pt idx="0">
                    <c:v>2.3804761428476167</c:v>
                  </c:pt>
                  <c:pt idx="1">
                    <c:v>0.57735026918962573</c:v>
                  </c:pt>
                  <c:pt idx="2">
                    <c:v>5.9721576223896387</c:v>
                  </c:pt>
                  <c:pt idx="3">
                    <c:v>4.5734742446707477</c:v>
                  </c:pt>
                  <c:pt idx="4">
                    <c:v>0</c:v>
                  </c:pt>
                </c:numCache>
              </c:numRef>
            </c:plus>
            <c:minus>
              <c:numLit>
                <c:formatCode>General</c:formatCode>
                <c:ptCount val="1"/>
                <c:pt idx="0">
                  <c:v>1</c:v>
                </c:pt>
              </c:numLit>
            </c:minus>
            <c:spPr>
              <a:noFill/>
              <a:ln w="12700" cap="flat" cmpd="sng" algn="ctr">
                <a:solidFill>
                  <a:schemeClr val="accent3"/>
                </a:solidFill>
                <a:round/>
              </a:ln>
              <a:effectLst/>
            </c:spPr>
          </c:errBars>
          <c:cat>
            <c:strRef>
              <c:f>Sheet1!$M$1:$P$1</c:f>
              <c:strCache>
                <c:ptCount val="4"/>
                <c:pt idx="0">
                  <c:v>Meat portions/week</c:v>
                </c:pt>
                <c:pt idx="1">
                  <c:v>Fish portions/week</c:v>
                </c:pt>
                <c:pt idx="2">
                  <c:v>Vegetable portions/week</c:v>
                </c:pt>
                <c:pt idx="3">
                  <c:v>Cereal portions/week</c:v>
                </c:pt>
              </c:strCache>
            </c:strRef>
          </c:cat>
          <c:val>
            <c:numRef>
              <c:f>Sheet1!$M$2:$P$2</c:f>
              <c:numCache>
                <c:formatCode>General</c:formatCode>
                <c:ptCount val="4"/>
                <c:pt idx="0">
                  <c:v>9.5</c:v>
                </c:pt>
                <c:pt idx="1">
                  <c:v>0.5</c:v>
                </c:pt>
                <c:pt idx="2">
                  <c:v>17.5</c:v>
                </c:pt>
                <c:pt idx="3">
                  <c:v>24.75</c:v>
                </c:pt>
              </c:numCache>
            </c:numRef>
          </c:val>
          <c:extLst>
            <c:ext xmlns:c16="http://schemas.microsoft.com/office/drawing/2014/chart" uri="{C3380CC4-5D6E-409C-BE32-E72D297353CC}">
              <c16:uniqueId val="{00000000-AF84-45F4-A681-53F7B8660F70}"/>
            </c:ext>
          </c:extLst>
        </c:ser>
        <c:ser>
          <c:idx val="1"/>
          <c:order val="1"/>
          <c:tx>
            <c:strRef>
              <c:f>Sheet1!$L$3</c:f>
              <c:strCache>
                <c:ptCount val="1"/>
                <c:pt idx="0">
                  <c:v>Symptoms at 4/5 weeks OR 6 months</c:v>
                </c:pt>
              </c:strCache>
            </c:strRef>
          </c:tx>
          <c:spPr>
            <a:solidFill>
              <a:schemeClr val="accent6"/>
            </a:solidFill>
            <a:ln>
              <a:solidFill>
                <a:schemeClr val="tx1"/>
              </a:solidFill>
            </a:ln>
            <a:effectLst/>
          </c:spPr>
          <c:invertIfNegative val="0"/>
          <c:errBars>
            <c:errBarType val="plus"/>
            <c:errValType val="cust"/>
            <c:noEndCap val="0"/>
            <c:plus>
              <c:numRef>
                <c:f>Sheet1!$M$6:$P$6</c:f>
                <c:numCache>
                  <c:formatCode>General</c:formatCode>
                  <c:ptCount val="4"/>
                  <c:pt idx="0">
                    <c:v>2.7700546229955623</c:v>
                  </c:pt>
                  <c:pt idx="1">
                    <c:v>2.0364328674251486</c:v>
                  </c:pt>
                  <c:pt idx="2">
                    <c:v>7.7989441215952242</c:v>
                  </c:pt>
                  <c:pt idx="3">
                    <c:v>5.4259723986201989</c:v>
                  </c:pt>
                </c:numCache>
              </c:numRef>
            </c:plus>
            <c:minus>
              <c:numLit>
                <c:formatCode>General</c:formatCode>
                <c:ptCount val="1"/>
                <c:pt idx="0">
                  <c:v>1</c:v>
                </c:pt>
              </c:numLit>
            </c:minus>
            <c:spPr>
              <a:noFill/>
              <a:ln w="12700" cap="flat" cmpd="sng" algn="ctr">
                <a:solidFill>
                  <a:schemeClr val="accent6"/>
                </a:solidFill>
                <a:round/>
              </a:ln>
              <a:effectLst/>
            </c:spPr>
          </c:errBars>
          <c:cat>
            <c:strRef>
              <c:f>Sheet1!$M$1:$P$1</c:f>
              <c:strCache>
                <c:ptCount val="4"/>
                <c:pt idx="0">
                  <c:v>Meat portions/week</c:v>
                </c:pt>
                <c:pt idx="1">
                  <c:v>Fish portions/week</c:v>
                </c:pt>
                <c:pt idx="2">
                  <c:v>Vegetable portions/week</c:v>
                </c:pt>
                <c:pt idx="3">
                  <c:v>Cereal portions/week</c:v>
                </c:pt>
              </c:strCache>
            </c:strRef>
          </c:cat>
          <c:val>
            <c:numRef>
              <c:f>Sheet1!$M$3:$P$3</c:f>
              <c:numCache>
                <c:formatCode>General</c:formatCode>
                <c:ptCount val="4"/>
                <c:pt idx="0">
                  <c:v>6.5555555555555554</c:v>
                </c:pt>
                <c:pt idx="1">
                  <c:v>3.5</c:v>
                </c:pt>
                <c:pt idx="2">
                  <c:v>27.333333333333332</c:v>
                </c:pt>
                <c:pt idx="3">
                  <c:v>19.166666666666668</c:v>
                </c:pt>
              </c:numCache>
            </c:numRef>
          </c:val>
          <c:extLst>
            <c:ext xmlns:c16="http://schemas.microsoft.com/office/drawing/2014/chart" uri="{C3380CC4-5D6E-409C-BE32-E72D297353CC}">
              <c16:uniqueId val="{00000001-AF84-45F4-A681-53F7B8660F70}"/>
            </c:ext>
          </c:extLst>
        </c:ser>
        <c:ser>
          <c:idx val="2"/>
          <c:order val="2"/>
          <c:tx>
            <c:strRef>
              <c:f>Sheet1!$L$4</c:f>
              <c:strCache>
                <c:ptCount val="1"/>
                <c:pt idx="0">
                  <c:v>Symptoms at 4/5 weeks AND 6 months</c:v>
                </c:pt>
              </c:strCache>
            </c:strRef>
          </c:tx>
          <c:spPr>
            <a:solidFill>
              <a:srgbClr val="C00000"/>
            </a:solidFill>
            <a:ln>
              <a:solidFill>
                <a:schemeClr val="tx1"/>
              </a:solidFill>
            </a:ln>
            <a:effectLst/>
          </c:spPr>
          <c:invertIfNegative val="0"/>
          <c:errBars>
            <c:errBarType val="plus"/>
            <c:errValType val="cust"/>
            <c:noEndCap val="0"/>
            <c:plus>
              <c:numRef>
                <c:f>Sheet1!$M$7:$P$7</c:f>
                <c:numCache>
                  <c:formatCode>General</c:formatCode>
                  <c:ptCount val="4"/>
                  <c:pt idx="0">
                    <c:v>2.5884358211089573</c:v>
                  </c:pt>
                  <c:pt idx="1">
                    <c:v>1.6431676725154982</c:v>
                  </c:pt>
                  <c:pt idx="2">
                    <c:v>7.5166481891864541</c:v>
                  </c:pt>
                  <c:pt idx="3">
                    <c:v>8.2885463140408433</c:v>
                  </c:pt>
                </c:numCache>
              </c:numRef>
            </c:plus>
            <c:minus>
              <c:numLit>
                <c:formatCode>General</c:formatCode>
                <c:ptCount val="1"/>
                <c:pt idx="0">
                  <c:v>1</c:v>
                </c:pt>
              </c:numLit>
            </c:minus>
            <c:spPr>
              <a:noFill/>
              <a:ln w="12700" cap="flat" cmpd="sng" algn="ctr">
                <a:solidFill>
                  <a:srgbClr val="C00000"/>
                </a:solidFill>
                <a:round/>
              </a:ln>
              <a:effectLst/>
            </c:spPr>
          </c:errBars>
          <c:cat>
            <c:strRef>
              <c:f>Sheet1!$M$1:$P$1</c:f>
              <c:strCache>
                <c:ptCount val="4"/>
                <c:pt idx="0">
                  <c:v>Meat portions/week</c:v>
                </c:pt>
                <c:pt idx="1">
                  <c:v>Fish portions/week</c:v>
                </c:pt>
                <c:pt idx="2">
                  <c:v>Vegetable portions/week</c:v>
                </c:pt>
                <c:pt idx="3">
                  <c:v>Cereal portions/week</c:v>
                </c:pt>
              </c:strCache>
            </c:strRef>
          </c:cat>
          <c:val>
            <c:numRef>
              <c:f>Sheet1!$M$4:$P$4</c:f>
              <c:numCache>
                <c:formatCode>General</c:formatCode>
                <c:ptCount val="4"/>
                <c:pt idx="0">
                  <c:v>9.1999999999999993</c:v>
                </c:pt>
                <c:pt idx="1">
                  <c:v>3.2</c:v>
                </c:pt>
                <c:pt idx="2">
                  <c:v>20</c:v>
                </c:pt>
                <c:pt idx="3">
                  <c:v>28.8</c:v>
                </c:pt>
              </c:numCache>
            </c:numRef>
          </c:val>
          <c:extLst>
            <c:ext xmlns:c16="http://schemas.microsoft.com/office/drawing/2014/chart" uri="{C3380CC4-5D6E-409C-BE32-E72D297353CC}">
              <c16:uniqueId val="{00000002-AF84-45F4-A681-53F7B8660F70}"/>
            </c:ext>
          </c:extLst>
        </c:ser>
        <c:dLbls>
          <c:showLegendKey val="0"/>
          <c:showVal val="0"/>
          <c:showCatName val="0"/>
          <c:showSerName val="0"/>
          <c:showPercent val="0"/>
          <c:showBubbleSize val="0"/>
        </c:dLbls>
        <c:gapWidth val="219"/>
        <c:overlap val="-27"/>
        <c:axId val="404830152"/>
        <c:axId val="404828184"/>
      </c:barChart>
      <c:catAx>
        <c:axId val="4048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828184"/>
        <c:crosses val="autoZero"/>
        <c:auto val="1"/>
        <c:lblAlgn val="ctr"/>
        <c:lblOffset val="100"/>
        <c:noMultiLvlLbl val="0"/>
      </c:catAx>
      <c:valAx>
        <c:axId val="40482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Portions/week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8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B</a:t>
            </a:r>
          </a:p>
        </c:rich>
      </c:tx>
      <c:layout>
        <c:manualLayout>
          <c:xMode val="edge"/>
          <c:yMode val="edge"/>
          <c:x val="0.92831233595800522"/>
          <c:y val="1.8326204271520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Sheet1!$Q$1</c:f>
              <c:strCache>
                <c:ptCount val="1"/>
                <c:pt idx="0">
                  <c:v>Alcohol/week (g)</c:v>
                </c:pt>
              </c:strCache>
            </c:strRef>
          </c:tx>
          <c:spPr>
            <a:solidFill>
              <a:srgbClr val="FFC000"/>
            </a:solidFill>
            <a:ln>
              <a:solidFill>
                <a:schemeClr val="tx1"/>
              </a:solidFill>
            </a:ln>
            <a:effectLst/>
          </c:spPr>
          <c:invertIfNegative val="0"/>
          <c:dPt>
            <c:idx val="2"/>
            <c:invertIfNegative val="0"/>
            <c:bubble3D val="0"/>
            <c:spPr>
              <a:solidFill>
                <a:srgbClr val="C00000"/>
              </a:solidFill>
              <a:ln>
                <a:solidFill>
                  <a:schemeClr val="tx1"/>
                </a:solidFill>
              </a:ln>
              <a:effectLst/>
            </c:spPr>
            <c:extLst>
              <c:ext xmlns:c16="http://schemas.microsoft.com/office/drawing/2014/chart" uri="{C3380CC4-5D6E-409C-BE32-E72D297353CC}">
                <c16:uniqueId val="{00000001-1C4B-4767-8A89-5C8188120514}"/>
              </c:ext>
            </c:extLst>
          </c:dPt>
          <c:errBars>
            <c:errBarType val="plus"/>
            <c:errValType val="cust"/>
            <c:noEndCap val="0"/>
            <c:plus>
              <c:numRef>
                <c:f>Sheet1!$Q$5:$Q$7</c:f>
                <c:numCache>
                  <c:formatCode>General</c:formatCode>
                  <c:ptCount val="3"/>
                  <c:pt idx="0">
                    <c:v>0</c:v>
                  </c:pt>
                  <c:pt idx="1">
                    <c:v>66.236075736021419</c:v>
                  </c:pt>
                  <c:pt idx="2">
                    <c:v>276.81697491398091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Sheet1!$L$2:$L$4</c:f>
              <c:strCache>
                <c:ptCount val="3"/>
                <c:pt idx="0">
                  <c:v>No symptoms</c:v>
                </c:pt>
                <c:pt idx="1">
                  <c:v>Symptoms at 4/5 weeks OR 6 months</c:v>
                </c:pt>
                <c:pt idx="2">
                  <c:v>Symptoms at 4/5 weeks AND 6 months</c:v>
                </c:pt>
              </c:strCache>
            </c:strRef>
          </c:cat>
          <c:val>
            <c:numRef>
              <c:f>Sheet1!$Q$2:$Q$4</c:f>
              <c:numCache>
                <c:formatCode>General</c:formatCode>
                <c:ptCount val="3"/>
                <c:pt idx="0">
                  <c:v>0</c:v>
                </c:pt>
                <c:pt idx="1">
                  <c:v>57.323196666666668</c:v>
                </c:pt>
                <c:pt idx="2">
                  <c:v>228.16699200000002</c:v>
                </c:pt>
              </c:numCache>
            </c:numRef>
          </c:val>
          <c:extLst>
            <c:ext xmlns:c16="http://schemas.microsoft.com/office/drawing/2014/chart" uri="{C3380CC4-5D6E-409C-BE32-E72D297353CC}">
              <c16:uniqueId val="{00000002-1C4B-4767-8A89-5C8188120514}"/>
            </c:ext>
          </c:extLst>
        </c:ser>
        <c:dLbls>
          <c:showLegendKey val="0"/>
          <c:showVal val="0"/>
          <c:showCatName val="0"/>
          <c:showSerName val="0"/>
          <c:showPercent val="0"/>
          <c:showBubbleSize val="0"/>
        </c:dLbls>
        <c:gapWidth val="219"/>
        <c:overlap val="-27"/>
        <c:axId val="397342360"/>
        <c:axId val="397343344"/>
      </c:barChart>
      <c:catAx>
        <c:axId val="3973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7343344"/>
        <c:crosses val="autoZero"/>
        <c:auto val="1"/>
        <c:lblAlgn val="ctr"/>
        <c:lblOffset val="100"/>
        <c:noMultiLvlLbl val="0"/>
      </c:catAx>
      <c:valAx>
        <c:axId val="39734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42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A</a:t>
            </a:r>
          </a:p>
        </c:rich>
      </c:tx>
      <c:layout>
        <c:manualLayout>
          <c:xMode val="edge"/>
          <c:yMode val="edge"/>
          <c:x val="0.9289374453193350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Sheet2!$L$2</c:f>
              <c:strCache>
                <c:ptCount val="1"/>
                <c:pt idx="0">
                  <c:v>No symptoms</c:v>
                </c:pt>
              </c:strCache>
            </c:strRef>
          </c:tx>
          <c:spPr>
            <a:solidFill>
              <a:schemeClr val="accent3"/>
            </a:solidFill>
            <a:ln>
              <a:solidFill>
                <a:schemeClr val="tx1"/>
              </a:solidFill>
            </a:ln>
            <a:effectLst/>
          </c:spPr>
          <c:invertIfNegative val="0"/>
          <c:errBars>
            <c:errBarType val="plus"/>
            <c:errValType val="cust"/>
            <c:noEndCap val="0"/>
            <c:plus>
              <c:numRef>
                <c:f>Sheet1!$M$5:$Q$5</c:f>
                <c:numCache>
                  <c:formatCode>General</c:formatCode>
                  <c:ptCount val="5"/>
                  <c:pt idx="0">
                    <c:v>2.3804761428476167</c:v>
                  </c:pt>
                  <c:pt idx="1">
                    <c:v>0.57735026918962573</c:v>
                  </c:pt>
                  <c:pt idx="2">
                    <c:v>5.9721576223896387</c:v>
                  </c:pt>
                  <c:pt idx="3">
                    <c:v>4.5734742446707477</c:v>
                  </c:pt>
                  <c:pt idx="4">
                    <c:v>0</c:v>
                  </c:pt>
                </c:numCache>
              </c:numRef>
            </c:plus>
            <c:minus>
              <c:numLit>
                <c:formatCode>General</c:formatCode>
                <c:ptCount val="1"/>
                <c:pt idx="0">
                  <c:v>1</c:v>
                </c:pt>
              </c:numLit>
            </c:minus>
            <c:spPr>
              <a:noFill/>
              <a:ln w="12700" cap="flat" cmpd="sng" algn="ctr">
                <a:solidFill>
                  <a:schemeClr val="accent3"/>
                </a:solidFill>
                <a:round/>
              </a:ln>
              <a:effectLst/>
            </c:spPr>
          </c:errBars>
          <c:cat>
            <c:strRef>
              <c:f>Sheet2!$M$1:$P$1</c:f>
              <c:strCache>
                <c:ptCount val="4"/>
                <c:pt idx="0">
                  <c:v>Meat portions/week</c:v>
                </c:pt>
                <c:pt idx="1">
                  <c:v>Fish portions/week</c:v>
                </c:pt>
                <c:pt idx="2">
                  <c:v>Vegetable portions/week</c:v>
                </c:pt>
                <c:pt idx="3">
                  <c:v>Cereal portions/week</c:v>
                </c:pt>
              </c:strCache>
            </c:strRef>
          </c:cat>
          <c:val>
            <c:numRef>
              <c:f>Sheet2!$M$2:$P$2</c:f>
              <c:numCache>
                <c:formatCode>General</c:formatCode>
                <c:ptCount val="4"/>
                <c:pt idx="0">
                  <c:v>8.75</c:v>
                </c:pt>
                <c:pt idx="1">
                  <c:v>2.75</c:v>
                </c:pt>
                <c:pt idx="2">
                  <c:v>21.75</c:v>
                </c:pt>
                <c:pt idx="3">
                  <c:v>21.25</c:v>
                </c:pt>
              </c:numCache>
            </c:numRef>
          </c:val>
          <c:extLst>
            <c:ext xmlns:c16="http://schemas.microsoft.com/office/drawing/2014/chart" uri="{C3380CC4-5D6E-409C-BE32-E72D297353CC}">
              <c16:uniqueId val="{00000000-D7C2-4741-A238-301FA1581349}"/>
            </c:ext>
          </c:extLst>
        </c:ser>
        <c:ser>
          <c:idx val="1"/>
          <c:order val="1"/>
          <c:tx>
            <c:strRef>
              <c:f>Sheet2!$L$3</c:f>
              <c:strCache>
                <c:ptCount val="1"/>
                <c:pt idx="0">
                  <c:v>Symptoms at 4/5 weeks OR 6 months</c:v>
                </c:pt>
              </c:strCache>
            </c:strRef>
          </c:tx>
          <c:spPr>
            <a:solidFill>
              <a:schemeClr val="accent6"/>
            </a:solidFill>
            <a:ln>
              <a:solidFill>
                <a:schemeClr val="tx1"/>
              </a:solidFill>
            </a:ln>
            <a:effectLst/>
          </c:spPr>
          <c:invertIfNegative val="0"/>
          <c:errBars>
            <c:errBarType val="plus"/>
            <c:errValType val="cust"/>
            <c:noEndCap val="0"/>
            <c:plus>
              <c:numRef>
                <c:f>Sheet1!$M$6:$P$6</c:f>
                <c:numCache>
                  <c:formatCode>General</c:formatCode>
                  <c:ptCount val="4"/>
                  <c:pt idx="0">
                    <c:v>2.7700546229955623</c:v>
                  </c:pt>
                  <c:pt idx="1">
                    <c:v>2.0364328674251486</c:v>
                  </c:pt>
                  <c:pt idx="2">
                    <c:v>7.7989441215952242</c:v>
                  </c:pt>
                  <c:pt idx="3">
                    <c:v>5.4259723986201989</c:v>
                  </c:pt>
                </c:numCache>
              </c:numRef>
            </c:plus>
            <c:minus>
              <c:numLit>
                <c:formatCode>General</c:formatCode>
                <c:ptCount val="1"/>
                <c:pt idx="0">
                  <c:v>1</c:v>
                </c:pt>
              </c:numLit>
            </c:minus>
            <c:spPr>
              <a:noFill/>
              <a:ln w="12700" cap="flat" cmpd="sng" algn="ctr">
                <a:solidFill>
                  <a:schemeClr val="accent6"/>
                </a:solidFill>
                <a:round/>
              </a:ln>
              <a:effectLst/>
            </c:spPr>
          </c:errBars>
          <c:cat>
            <c:strRef>
              <c:f>Sheet2!$M$1:$P$1</c:f>
              <c:strCache>
                <c:ptCount val="4"/>
                <c:pt idx="0">
                  <c:v>Meat portions/week</c:v>
                </c:pt>
                <c:pt idx="1">
                  <c:v>Fish portions/week</c:v>
                </c:pt>
                <c:pt idx="2">
                  <c:v>Vegetable portions/week</c:v>
                </c:pt>
                <c:pt idx="3">
                  <c:v>Cereal portions/week</c:v>
                </c:pt>
              </c:strCache>
            </c:strRef>
          </c:cat>
          <c:val>
            <c:numRef>
              <c:f>Sheet2!$M$3:$P$3</c:f>
              <c:numCache>
                <c:formatCode>General</c:formatCode>
                <c:ptCount val="4"/>
                <c:pt idx="0">
                  <c:v>5.2</c:v>
                </c:pt>
                <c:pt idx="1">
                  <c:v>2.9</c:v>
                </c:pt>
                <c:pt idx="2">
                  <c:v>25.9</c:v>
                </c:pt>
                <c:pt idx="3">
                  <c:v>18.5</c:v>
                </c:pt>
              </c:numCache>
            </c:numRef>
          </c:val>
          <c:extLst>
            <c:ext xmlns:c16="http://schemas.microsoft.com/office/drawing/2014/chart" uri="{C3380CC4-5D6E-409C-BE32-E72D297353CC}">
              <c16:uniqueId val="{00000001-D7C2-4741-A238-301FA1581349}"/>
            </c:ext>
          </c:extLst>
        </c:ser>
        <c:ser>
          <c:idx val="2"/>
          <c:order val="2"/>
          <c:tx>
            <c:strRef>
              <c:f>Sheet2!$L$4</c:f>
              <c:strCache>
                <c:ptCount val="1"/>
                <c:pt idx="0">
                  <c:v>Symptoms at 4/5 weeks AND 6 months</c:v>
                </c:pt>
              </c:strCache>
            </c:strRef>
          </c:tx>
          <c:spPr>
            <a:solidFill>
              <a:srgbClr val="C00000"/>
            </a:solidFill>
            <a:ln>
              <a:solidFill>
                <a:schemeClr val="tx1"/>
              </a:solidFill>
            </a:ln>
            <a:effectLst/>
          </c:spPr>
          <c:invertIfNegative val="0"/>
          <c:errBars>
            <c:errBarType val="plus"/>
            <c:errValType val="cust"/>
            <c:noEndCap val="0"/>
            <c:plus>
              <c:numRef>
                <c:f>Sheet1!$M$7:$P$7</c:f>
                <c:numCache>
                  <c:formatCode>General</c:formatCode>
                  <c:ptCount val="4"/>
                  <c:pt idx="0">
                    <c:v>2.5884358211089573</c:v>
                  </c:pt>
                  <c:pt idx="1">
                    <c:v>1.6431676725154982</c:v>
                  </c:pt>
                  <c:pt idx="2">
                    <c:v>7.5166481891864541</c:v>
                  </c:pt>
                  <c:pt idx="3">
                    <c:v>8.2885463140408433</c:v>
                  </c:pt>
                </c:numCache>
              </c:numRef>
            </c:plus>
            <c:minus>
              <c:numLit>
                <c:formatCode>General</c:formatCode>
                <c:ptCount val="1"/>
                <c:pt idx="0">
                  <c:v>1</c:v>
                </c:pt>
              </c:numLit>
            </c:minus>
            <c:spPr>
              <a:noFill/>
              <a:ln w="12700" cap="flat" cmpd="sng" algn="ctr">
                <a:solidFill>
                  <a:srgbClr val="C00000"/>
                </a:solidFill>
                <a:round/>
              </a:ln>
              <a:effectLst/>
            </c:spPr>
          </c:errBars>
          <c:cat>
            <c:strRef>
              <c:f>Sheet2!$M$1:$P$1</c:f>
              <c:strCache>
                <c:ptCount val="4"/>
                <c:pt idx="0">
                  <c:v>Meat portions/week</c:v>
                </c:pt>
                <c:pt idx="1">
                  <c:v>Fish portions/week</c:v>
                </c:pt>
                <c:pt idx="2">
                  <c:v>Vegetable portions/week</c:v>
                </c:pt>
                <c:pt idx="3">
                  <c:v>Cereal portions/week</c:v>
                </c:pt>
              </c:strCache>
            </c:strRef>
          </c:cat>
          <c:val>
            <c:numRef>
              <c:f>Sheet2!$M$4:$P$4</c:f>
              <c:numCache>
                <c:formatCode>General</c:formatCode>
                <c:ptCount val="4"/>
                <c:pt idx="0">
                  <c:v>8.8461538461538467</c:v>
                </c:pt>
                <c:pt idx="1">
                  <c:v>3.1538461538461537</c:v>
                </c:pt>
                <c:pt idx="2">
                  <c:v>24.307692307692307</c:v>
                </c:pt>
                <c:pt idx="3">
                  <c:v>24.46153846153846</c:v>
                </c:pt>
              </c:numCache>
            </c:numRef>
          </c:val>
          <c:extLst>
            <c:ext xmlns:c16="http://schemas.microsoft.com/office/drawing/2014/chart" uri="{C3380CC4-5D6E-409C-BE32-E72D297353CC}">
              <c16:uniqueId val="{00000002-D7C2-4741-A238-301FA1581349}"/>
            </c:ext>
          </c:extLst>
        </c:ser>
        <c:dLbls>
          <c:showLegendKey val="0"/>
          <c:showVal val="0"/>
          <c:showCatName val="0"/>
          <c:showSerName val="0"/>
          <c:showPercent val="0"/>
          <c:showBubbleSize val="0"/>
        </c:dLbls>
        <c:gapWidth val="219"/>
        <c:overlap val="-27"/>
        <c:axId val="404830152"/>
        <c:axId val="404828184"/>
      </c:barChart>
      <c:catAx>
        <c:axId val="4048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4828184"/>
        <c:crosses val="autoZero"/>
        <c:auto val="1"/>
        <c:lblAlgn val="ctr"/>
        <c:lblOffset val="100"/>
        <c:noMultiLvlLbl val="0"/>
      </c:catAx>
      <c:valAx>
        <c:axId val="40482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Portions/week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8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B</a:t>
            </a:r>
          </a:p>
        </c:rich>
      </c:tx>
      <c:layout>
        <c:manualLayout>
          <c:xMode val="edge"/>
          <c:yMode val="edge"/>
          <c:x val="0.92553455818022767"/>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Sheet2!$Q$1</c:f>
              <c:strCache>
                <c:ptCount val="1"/>
                <c:pt idx="0">
                  <c:v>Alcohol/week (g)</c:v>
                </c:pt>
              </c:strCache>
            </c:strRef>
          </c:tx>
          <c:spPr>
            <a:solidFill>
              <a:srgbClr val="FFC000"/>
            </a:solidFill>
            <a:ln>
              <a:solidFill>
                <a:schemeClr val="tx1"/>
              </a:solidFill>
            </a:ln>
            <a:effectLst/>
          </c:spPr>
          <c:invertIfNegative val="0"/>
          <c:dPt>
            <c:idx val="0"/>
            <c:invertIfNegative val="0"/>
            <c:bubble3D val="0"/>
            <c:spPr>
              <a:solidFill>
                <a:schemeClr val="accent3"/>
              </a:solidFill>
              <a:ln>
                <a:solidFill>
                  <a:schemeClr val="tx1"/>
                </a:solidFill>
              </a:ln>
              <a:effectLst/>
            </c:spPr>
            <c:extLst>
              <c:ext xmlns:c16="http://schemas.microsoft.com/office/drawing/2014/chart" uri="{C3380CC4-5D6E-409C-BE32-E72D297353CC}">
                <c16:uniqueId val="{00000001-DC73-47F6-9CBC-3C4C899062FE}"/>
              </c:ext>
            </c:extLst>
          </c:dPt>
          <c:dPt>
            <c:idx val="2"/>
            <c:invertIfNegative val="0"/>
            <c:bubble3D val="0"/>
            <c:spPr>
              <a:solidFill>
                <a:srgbClr val="C00000"/>
              </a:solidFill>
              <a:ln>
                <a:solidFill>
                  <a:schemeClr val="tx1"/>
                </a:solidFill>
              </a:ln>
              <a:effectLst/>
            </c:spPr>
            <c:extLst>
              <c:ext xmlns:c16="http://schemas.microsoft.com/office/drawing/2014/chart" uri="{C3380CC4-5D6E-409C-BE32-E72D297353CC}">
                <c16:uniqueId val="{00000003-DC73-47F6-9CBC-3C4C899062FE}"/>
              </c:ext>
            </c:extLst>
          </c:dPt>
          <c:errBars>
            <c:errBarType val="plus"/>
            <c:errValType val="cust"/>
            <c:noEndCap val="0"/>
            <c:plus>
              <c:numRef>
                <c:f>Sheet2!$Q$5:$Q$7</c:f>
                <c:numCache>
                  <c:formatCode>General</c:formatCode>
                  <c:ptCount val="3"/>
                  <c:pt idx="0">
                    <c:v>56.826100000000004</c:v>
                  </c:pt>
                  <c:pt idx="1">
                    <c:v>53.23993074994678</c:v>
                  </c:pt>
                  <c:pt idx="2">
                    <c:v>189.02250428881965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Sheet2!$L$2:$L$4</c:f>
              <c:strCache>
                <c:ptCount val="3"/>
                <c:pt idx="0">
                  <c:v>No symptoms</c:v>
                </c:pt>
                <c:pt idx="1">
                  <c:v>Symptoms at 4/5 weeks OR 6 months</c:v>
                </c:pt>
                <c:pt idx="2">
                  <c:v>Symptoms at 4/5 weeks AND 6 months</c:v>
                </c:pt>
              </c:strCache>
            </c:strRef>
          </c:cat>
          <c:val>
            <c:numRef>
              <c:f>Sheet2!$Q$2:$Q$4</c:f>
              <c:numCache>
                <c:formatCode>General</c:formatCode>
                <c:ptCount val="3"/>
                <c:pt idx="0">
                  <c:v>28.413050000000002</c:v>
                </c:pt>
                <c:pt idx="1">
                  <c:v>36.876528</c:v>
                </c:pt>
                <c:pt idx="2">
                  <c:v>130.01807846153849</c:v>
                </c:pt>
              </c:numCache>
            </c:numRef>
          </c:val>
          <c:extLst>
            <c:ext xmlns:c16="http://schemas.microsoft.com/office/drawing/2014/chart" uri="{C3380CC4-5D6E-409C-BE32-E72D297353CC}">
              <c16:uniqueId val="{00000004-DC73-47F6-9CBC-3C4C899062FE}"/>
            </c:ext>
          </c:extLst>
        </c:ser>
        <c:dLbls>
          <c:showLegendKey val="0"/>
          <c:showVal val="0"/>
          <c:showCatName val="0"/>
          <c:showSerName val="0"/>
          <c:showPercent val="0"/>
          <c:showBubbleSize val="0"/>
        </c:dLbls>
        <c:gapWidth val="219"/>
        <c:overlap val="-27"/>
        <c:axId val="397342360"/>
        <c:axId val="397343344"/>
      </c:barChart>
      <c:catAx>
        <c:axId val="3973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7343344"/>
        <c:crosses val="autoZero"/>
        <c:auto val="1"/>
        <c:lblAlgn val="ctr"/>
        <c:lblOffset val="100"/>
        <c:noMultiLvlLbl val="0"/>
      </c:catAx>
      <c:valAx>
        <c:axId val="39734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g/week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42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'TOX PLOTS'!$A$9</c:f>
              <c:strCache>
                <c:ptCount val="1"/>
                <c:pt idx="0">
                  <c:v>Grade 0</c:v>
                </c:pt>
              </c:strCache>
            </c:strRef>
          </c:tx>
          <c:spPr>
            <a:solidFill>
              <a:schemeClr val="accent3"/>
            </a:solidFill>
            <a:ln>
              <a:solidFill>
                <a:schemeClr val="tx1"/>
              </a:solidFill>
            </a:ln>
            <a:effectLst/>
          </c:spPr>
          <c:invertIfNegative val="0"/>
          <c:cat>
            <c:strRef>
              <c:f>'TOX PLOTS'!$B$8:$J$8</c:f>
              <c:strCache>
                <c:ptCount val="9"/>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strCache>
            </c:strRef>
          </c:cat>
          <c:val>
            <c:numRef>
              <c:f>'TOX PLOTS'!$B$9:$J$9</c:f>
              <c:numCache>
                <c:formatCode>General</c:formatCode>
                <c:ptCount val="9"/>
                <c:pt idx="0">
                  <c:v>87.356321839080437</c:v>
                </c:pt>
                <c:pt idx="1">
                  <c:v>63.218390804597711</c:v>
                </c:pt>
                <c:pt idx="2">
                  <c:v>60.919540229885058</c:v>
                </c:pt>
                <c:pt idx="3">
                  <c:v>93.10344827586205</c:v>
                </c:pt>
                <c:pt idx="4">
                  <c:v>74.71264367816093</c:v>
                </c:pt>
                <c:pt idx="5">
                  <c:v>87.356321839080437</c:v>
                </c:pt>
                <c:pt idx="6">
                  <c:v>98.850574712643649</c:v>
                </c:pt>
                <c:pt idx="7">
                  <c:v>96.551724137931018</c:v>
                </c:pt>
                <c:pt idx="8">
                  <c:v>56.321839080459768</c:v>
                </c:pt>
              </c:numCache>
            </c:numRef>
          </c:val>
          <c:extLst>
            <c:ext xmlns:c16="http://schemas.microsoft.com/office/drawing/2014/chart" uri="{C3380CC4-5D6E-409C-BE32-E72D297353CC}">
              <c16:uniqueId val="{00000000-A5D7-4CD4-ACE4-270A1CDB02DD}"/>
            </c:ext>
          </c:extLst>
        </c:ser>
        <c:ser>
          <c:idx val="1"/>
          <c:order val="1"/>
          <c:tx>
            <c:strRef>
              <c:f>'TOX PLOTS'!$A$10</c:f>
              <c:strCache>
                <c:ptCount val="1"/>
                <c:pt idx="0">
                  <c:v>Grade 1</c:v>
                </c:pt>
              </c:strCache>
            </c:strRef>
          </c:tx>
          <c:spPr>
            <a:solidFill>
              <a:schemeClr val="accent6"/>
            </a:solidFill>
            <a:ln>
              <a:solidFill>
                <a:schemeClr val="tx1"/>
              </a:solidFill>
            </a:ln>
            <a:effectLst/>
          </c:spPr>
          <c:invertIfNegative val="0"/>
          <c:cat>
            <c:strRef>
              <c:f>'TOX PLOTS'!$B$8:$J$8</c:f>
              <c:strCache>
                <c:ptCount val="9"/>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strCache>
            </c:strRef>
          </c:cat>
          <c:val>
            <c:numRef>
              <c:f>'TOX PLOTS'!$B$10:$J$10</c:f>
              <c:numCache>
                <c:formatCode>General</c:formatCode>
                <c:ptCount val="9"/>
                <c:pt idx="0">
                  <c:v>3.4482758620689653</c:v>
                </c:pt>
                <c:pt idx="1">
                  <c:v>17.241379310344829</c:v>
                </c:pt>
                <c:pt idx="2">
                  <c:v>16.091954022988514</c:v>
                </c:pt>
                <c:pt idx="3">
                  <c:v>3.4482758620689653</c:v>
                </c:pt>
                <c:pt idx="4">
                  <c:v>11.494252873563221</c:v>
                </c:pt>
                <c:pt idx="5">
                  <c:v>9.1954022988505741</c:v>
                </c:pt>
                <c:pt idx="6">
                  <c:v>1.1494252873563218</c:v>
                </c:pt>
                <c:pt idx="7">
                  <c:v>2.2988505747126435</c:v>
                </c:pt>
                <c:pt idx="8">
                  <c:v>18.390804597701145</c:v>
                </c:pt>
              </c:numCache>
            </c:numRef>
          </c:val>
          <c:extLst>
            <c:ext xmlns:c16="http://schemas.microsoft.com/office/drawing/2014/chart" uri="{C3380CC4-5D6E-409C-BE32-E72D297353CC}">
              <c16:uniqueId val="{00000001-A5D7-4CD4-ACE4-270A1CDB02DD}"/>
            </c:ext>
          </c:extLst>
        </c:ser>
        <c:ser>
          <c:idx val="2"/>
          <c:order val="2"/>
          <c:tx>
            <c:strRef>
              <c:f>'TOX PLOTS'!$A$11</c:f>
              <c:strCache>
                <c:ptCount val="1"/>
                <c:pt idx="0">
                  <c:v>Grade 2+</c:v>
                </c:pt>
              </c:strCache>
            </c:strRef>
          </c:tx>
          <c:spPr>
            <a:solidFill>
              <a:srgbClr val="C00000"/>
            </a:solidFill>
            <a:ln>
              <a:solidFill>
                <a:schemeClr val="tx1"/>
              </a:solidFill>
            </a:ln>
            <a:effectLst/>
          </c:spPr>
          <c:invertIfNegative val="0"/>
          <c:cat>
            <c:strRef>
              <c:f>'TOX PLOTS'!$B$8:$J$8</c:f>
              <c:strCache>
                <c:ptCount val="9"/>
                <c:pt idx="0">
                  <c:v>RTOG Diarrhoea</c:v>
                </c:pt>
                <c:pt idx="1">
                  <c:v>RTOG Proctitis</c:v>
                </c:pt>
                <c:pt idx="2">
                  <c:v>RTOG max</c:v>
                </c:pt>
                <c:pt idx="3">
                  <c:v>LS Sphincter control</c:v>
                </c:pt>
                <c:pt idx="4">
                  <c:v>LS Tenesmus</c:v>
                </c:pt>
                <c:pt idx="5">
                  <c:v>LS Bleeding obj</c:v>
                </c:pt>
                <c:pt idx="6">
                  <c:v>LS Pain</c:v>
                </c:pt>
                <c:pt idx="7">
                  <c:v>LS Bleeding mgt</c:v>
                </c:pt>
                <c:pt idx="8">
                  <c:v>Composite max</c:v>
                </c:pt>
              </c:strCache>
            </c:strRef>
          </c:cat>
          <c:val>
            <c:numRef>
              <c:f>'TOX PLOTS'!$B$11:$J$11</c:f>
              <c:numCache>
                <c:formatCode>General</c:formatCode>
                <c:ptCount val="9"/>
                <c:pt idx="0">
                  <c:v>9.1954022988505741</c:v>
                </c:pt>
                <c:pt idx="1">
                  <c:v>19.540229885057467</c:v>
                </c:pt>
                <c:pt idx="2">
                  <c:v>22.988505747126428</c:v>
                </c:pt>
                <c:pt idx="3">
                  <c:v>3.4482758620689653</c:v>
                </c:pt>
                <c:pt idx="4">
                  <c:v>13.793103448275859</c:v>
                </c:pt>
                <c:pt idx="5">
                  <c:v>3.4482758620689653</c:v>
                </c:pt>
                <c:pt idx="6">
                  <c:v>0</c:v>
                </c:pt>
                <c:pt idx="7">
                  <c:v>1.1494252873563218</c:v>
                </c:pt>
                <c:pt idx="8">
                  <c:v>25.287356321839084</c:v>
                </c:pt>
              </c:numCache>
            </c:numRef>
          </c:val>
          <c:extLst>
            <c:ext xmlns:c16="http://schemas.microsoft.com/office/drawing/2014/chart" uri="{C3380CC4-5D6E-409C-BE32-E72D297353CC}">
              <c16:uniqueId val="{00000002-A5D7-4CD4-ACE4-270A1CDB02DD}"/>
            </c:ext>
          </c:extLst>
        </c:ser>
        <c:dLbls>
          <c:showLegendKey val="0"/>
          <c:showVal val="0"/>
          <c:showCatName val="0"/>
          <c:showSerName val="0"/>
          <c:showPercent val="0"/>
          <c:showBubbleSize val="0"/>
        </c:dLbls>
        <c:gapWidth val="150"/>
        <c:overlap val="100"/>
        <c:axId val="82930304"/>
        <c:axId val="82981248"/>
      </c:barChart>
      <c:catAx>
        <c:axId val="8293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81248"/>
        <c:crosses val="autoZero"/>
        <c:auto val="1"/>
        <c:lblAlgn val="ctr"/>
        <c:lblOffset val="100"/>
        <c:noMultiLvlLbl val="0"/>
      </c:catAx>
      <c:valAx>
        <c:axId val="829812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3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8787-E8E7-42C7-BB2E-7FEB1F0E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18009</Words>
  <Characters>102655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Ferreira</dc:creator>
  <cp:keywords/>
  <dc:description/>
  <cp:lastModifiedBy>Miguel Ferreira</cp:lastModifiedBy>
  <cp:revision>86</cp:revision>
  <dcterms:created xsi:type="dcterms:W3CDTF">2018-09-07T08:41:00Z</dcterms:created>
  <dcterms:modified xsi:type="dcterms:W3CDTF">2019-05-21T20:28:00Z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39889241-9a1f-3a28-939c-c96d320e7d29</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