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5B" w:rsidRDefault="008B165E">
      <w:pPr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76240" cy="5831840"/>
            <wp:effectExtent l="0" t="0" r="0" b="0"/>
            <wp:docPr id="4" name="Picture 4" descr="Supplement Figure S5 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plement Figure S5 revi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8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5E" w:rsidRDefault="008B165E">
      <w:pPr>
        <w:rPr>
          <w:b/>
        </w:rPr>
      </w:pPr>
    </w:p>
    <w:p w:rsidR="008B165E" w:rsidRPr="008B165E" w:rsidRDefault="008B165E" w:rsidP="008B165E">
      <w:pPr>
        <w:spacing w:line="480" w:lineRule="auto"/>
        <w:jc w:val="both"/>
        <w:rPr>
          <w:rFonts w:ascii="Arial" w:hAnsi="Arial" w:cs="Arial"/>
          <w:b/>
          <w:sz w:val="24"/>
        </w:rPr>
      </w:pPr>
      <w:bookmarkStart w:id="0" w:name="_GoBack"/>
      <w:r w:rsidRPr="008B165E">
        <w:rPr>
          <w:rFonts w:ascii="Arial" w:hAnsi="Arial" w:cs="Arial"/>
          <w:b/>
          <w:sz w:val="24"/>
        </w:rPr>
        <w:t>Supplemental Figure S5</w:t>
      </w:r>
    </w:p>
    <w:p w:rsidR="008B165E" w:rsidRPr="008B165E" w:rsidRDefault="008B165E" w:rsidP="008B165E">
      <w:pPr>
        <w:spacing w:line="480" w:lineRule="auto"/>
        <w:jc w:val="both"/>
        <w:rPr>
          <w:rFonts w:ascii="Arial" w:hAnsi="Arial" w:cs="Arial"/>
          <w:sz w:val="24"/>
        </w:rPr>
      </w:pPr>
      <w:r w:rsidRPr="008B165E">
        <w:rPr>
          <w:rFonts w:ascii="Arial" w:hAnsi="Arial" w:cs="Arial"/>
          <w:b/>
          <w:sz w:val="24"/>
        </w:rPr>
        <w:t>GSK-3 inhibition abrogates gemcitabine-induced cell cycle arrest.</w:t>
      </w:r>
      <w:r w:rsidRPr="008B165E">
        <w:rPr>
          <w:rFonts w:ascii="Arial" w:hAnsi="Arial" w:cs="Arial"/>
          <w:sz w:val="24"/>
        </w:rPr>
        <w:t xml:space="preserve"> (A) 5160, 6741 and L3.6 cells were treated as indicated in Figure 3B and then stained with </w:t>
      </w:r>
      <w:proofErr w:type="spellStart"/>
      <w:r w:rsidRPr="008B165E">
        <w:rPr>
          <w:rFonts w:ascii="Arial" w:hAnsi="Arial" w:cs="Arial"/>
          <w:sz w:val="24"/>
        </w:rPr>
        <w:t>propidium</w:t>
      </w:r>
      <w:proofErr w:type="spellEnd"/>
      <w:r w:rsidRPr="008B165E">
        <w:rPr>
          <w:rFonts w:ascii="Arial" w:hAnsi="Arial" w:cs="Arial"/>
          <w:sz w:val="24"/>
        </w:rPr>
        <w:t xml:space="preserve"> iodide (PI). DNA content was measured by flow cytometry and analyzed with </w:t>
      </w:r>
      <w:proofErr w:type="spellStart"/>
      <w:r w:rsidRPr="008B165E">
        <w:rPr>
          <w:rFonts w:ascii="Arial" w:hAnsi="Arial" w:cs="Arial"/>
          <w:sz w:val="24"/>
        </w:rPr>
        <w:t>Modfit</w:t>
      </w:r>
      <w:proofErr w:type="spellEnd"/>
      <w:r w:rsidRPr="008B165E">
        <w:rPr>
          <w:rFonts w:ascii="Arial" w:hAnsi="Arial" w:cs="Arial"/>
          <w:sz w:val="24"/>
        </w:rPr>
        <w:t xml:space="preserve"> software. Data presented in A is representative of three independent experiments. (B) </w:t>
      </w:r>
      <w:r w:rsidRPr="008B165E">
        <w:rPr>
          <w:rFonts w:ascii="Arial" w:hAnsi="Arial" w:cs="Arial"/>
          <w:sz w:val="24"/>
        </w:rPr>
        <w:lastRenderedPageBreak/>
        <w:t xml:space="preserve">The percentage of G0/G1, S phase and G2/M phase cells from different treatments was expressed as mean ± SEM. n=3. (C) L3.6 cells were treated as indicated in Figure 3B and then provided </w:t>
      </w:r>
      <w:proofErr w:type="spellStart"/>
      <w:r w:rsidRPr="008B165E">
        <w:rPr>
          <w:rFonts w:ascii="Arial" w:hAnsi="Arial" w:cs="Arial"/>
          <w:sz w:val="24"/>
        </w:rPr>
        <w:t>EdU</w:t>
      </w:r>
      <w:proofErr w:type="spellEnd"/>
      <w:r w:rsidRPr="008B165E">
        <w:rPr>
          <w:rFonts w:ascii="Arial" w:hAnsi="Arial" w:cs="Arial"/>
          <w:sz w:val="24"/>
        </w:rPr>
        <w:t xml:space="preserve"> for 1 hour prior to harvesting. </w:t>
      </w:r>
      <w:proofErr w:type="spellStart"/>
      <w:r w:rsidRPr="008B165E">
        <w:rPr>
          <w:rFonts w:ascii="Arial" w:hAnsi="Arial" w:cs="Arial"/>
          <w:sz w:val="24"/>
        </w:rPr>
        <w:t>EdU</w:t>
      </w:r>
      <w:proofErr w:type="spellEnd"/>
      <w:r w:rsidRPr="008B165E">
        <w:rPr>
          <w:rFonts w:ascii="Arial" w:hAnsi="Arial" w:cs="Arial"/>
          <w:sz w:val="24"/>
        </w:rPr>
        <w:t xml:space="preserve"> incorporation was detected using the </w:t>
      </w:r>
      <w:proofErr w:type="spellStart"/>
      <w:r w:rsidRPr="008B165E">
        <w:rPr>
          <w:rFonts w:ascii="Arial" w:hAnsi="Arial" w:cs="Arial"/>
          <w:sz w:val="24"/>
        </w:rPr>
        <w:t>EdU</w:t>
      </w:r>
      <w:proofErr w:type="spellEnd"/>
      <w:r w:rsidRPr="008B165E">
        <w:rPr>
          <w:rFonts w:ascii="Arial" w:hAnsi="Arial" w:cs="Arial"/>
          <w:sz w:val="24"/>
        </w:rPr>
        <w:t xml:space="preserve"> detection kit followed by flow cytometry. (D) </w:t>
      </w:r>
      <w:proofErr w:type="spellStart"/>
      <w:r w:rsidRPr="008B165E">
        <w:rPr>
          <w:rFonts w:ascii="Arial" w:hAnsi="Arial" w:cs="Arial"/>
          <w:sz w:val="24"/>
        </w:rPr>
        <w:t>EdU</w:t>
      </w:r>
      <w:proofErr w:type="spellEnd"/>
      <w:r w:rsidRPr="008B165E">
        <w:rPr>
          <w:rFonts w:ascii="Arial" w:hAnsi="Arial" w:cs="Arial"/>
          <w:sz w:val="24"/>
        </w:rPr>
        <w:t xml:space="preserve"> positive cells were gated and the normalized MFI of the </w:t>
      </w:r>
      <w:proofErr w:type="spellStart"/>
      <w:r w:rsidRPr="008B165E">
        <w:rPr>
          <w:rFonts w:ascii="Arial" w:hAnsi="Arial" w:cs="Arial"/>
          <w:sz w:val="24"/>
        </w:rPr>
        <w:t>EdU</w:t>
      </w:r>
      <w:proofErr w:type="spellEnd"/>
      <w:r w:rsidRPr="008B165E">
        <w:rPr>
          <w:rFonts w:ascii="Arial" w:hAnsi="Arial" w:cs="Arial"/>
          <w:sz w:val="24"/>
        </w:rPr>
        <w:t xml:space="preserve"> peak is graphically displayed as are the percentage of </w:t>
      </w:r>
      <w:proofErr w:type="spellStart"/>
      <w:r w:rsidRPr="008B165E">
        <w:rPr>
          <w:rFonts w:ascii="Arial" w:hAnsi="Arial" w:cs="Arial"/>
          <w:sz w:val="24"/>
        </w:rPr>
        <w:t>EdU</w:t>
      </w:r>
      <w:proofErr w:type="spellEnd"/>
      <w:r w:rsidRPr="008B165E">
        <w:rPr>
          <w:rFonts w:ascii="Arial" w:hAnsi="Arial" w:cs="Arial"/>
          <w:sz w:val="24"/>
        </w:rPr>
        <w:t xml:space="preserve">+ cells are expressed as mean ± SEM. *P&lt;0.05 gemcitabine versus DMSO. </w:t>
      </w:r>
      <w:proofErr w:type="gramStart"/>
      <w:r w:rsidRPr="008B165E">
        <w:rPr>
          <w:rFonts w:ascii="Arial" w:hAnsi="Arial" w:cs="Arial"/>
          <w:sz w:val="24"/>
        </w:rPr>
        <w:t>#P&lt;0.05 gemcitabine and GSK-3 inhibitor versus gemcitabine alone.</w:t>
      </w:r>
      <w:proofErr w:type="gramEnd"/>
      <w:r w:rsidRPr="008B165E">
        <w:rPr>
          <w:rFonts w:ascii="Arial" w:hAnsi="Arial" w:cs="Arial"/>
          <w:sz w:val="24"/>
        </w:rPr>
        <w:t xml:space="preserve"> Data presented in C and D is representative of three independent experiments.</w:t>
      </w:r>
    </w:p>
    <w:bookmarkEnd w:id="0"/>
    <w:p w:rsidR="008B165E" w:rsidRPr="007D14F9" w:rsidRDefault="008B165E">
      <w:pPr>
        <w:rPr>
          <w:b/>
        </w:rPr>
      </w:pPr>
    </w:p>
    <w:sectPr w:rsidR="008B165E" w:rsidRPr="007D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9"/>
    <w:rsid w:val="00075D5F"/>
    <w:rsid w:val="00671251"/>
    <w:rsid w:val="0074646B"/>
    <w:rsid w:val="007D14F9"/>
    <w:rsid w:val="008B165E"/>
    <w:rsid w:val="00E4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Li, Ph.D.</dc:creator>
  <cp:lastModifiedBy>Ding, Li, Ph.D.</cp:lastModifiedBy>
  <cp:revision>2</cp:revision>
  <dcterms:created xsi:type="dcterms:W3CDTF">2019-06-03T23:04:00Z</dcterms:created>
  <dcterms:modified xsi:type="dcterms:W3CDTF">2019-06-03T23:04:00Z</dcterms:modified>
</cp:coreProperties>
</file>