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30D" w:rsidRDefault="00E9130D" w:rsidP="00E9130D">
      <w:pPr>
        <w:spacing w:line="360" w:lineRule="auto"/>
        <w:rPr>
          <w:rFonts w:ascii="Arial" w:hAnsi="Arial" w:cs="Arial"/>
          <w:b/>
        </w:rPr>
      </w:pPr>
      <w:r w:rsidRPr="00DD1BA4">
        <w:rPr>
          <w:rFonts w:ascii="Arial" w:hAnsi="Arial" w:cs="Arial"/>
          <w:b/>
        </w:rPr>
        <w:t>Supplementary Table S1.Clinical pathological parameters of enrolled patients</w:t>
      </w:r>
    </w:p>
    <w:tbl>
      <w:tblPr>
        <w:tblW w:w="5000" w:type="pct"/>
        <w:tblLook w:val="04A0" w:firstRow="1" w:lastRow="0" w:firstColumn="1" w:lastColumn="0" w:noHBand="0" w:noVBand="1"/>
      </w:tblPr>
      <w:tblGrid>
        <w:gridCol w:w="3524"/>
        <w:gridCol w:w="2233"/>
        <w:gridCol w:w="2555"/>
      </w:tblGrid>
      <w:tr w:rsidR="00B80256" w:rsidRPr="00B80256" w:rsidTr="00B80256">
        <w:trPr>
          <w:trHeight w:val="285"/>
        </w:trPr>
        <w:tc>
          <w:tcPr>
            <w:tcW w:w="2120" w:type="pct"/>
            <w:tcBorders>
              <w:top w:val="single" w:sz="4" w:space="0" w:color="auto"/>
              <w:left w:val="nil"/>
              <w:bottom w:val="single" w:sz="4" w:space="0" w:color="auto"/>
              <w:right w:val="nil"/>
            </w:tcBorders>
            <w:shd w:val="clear" w:color="auto" w:fill="auto"/>
            <w:noWrap/>
            <w:vAlign w:val="bottom"/>
            <w:hideMark/>
          </w:tcPr>
          <w:p w:rsidR="00B80256" w:rsidRPr="00B80256" w:rsidRDefault="00B80256" w:rsidP="00B80256">
            <w:pPr>
              <w:widowControl/>
              <w:jc w:val="center"/>
              <w:rPr>
                <w:rFonts w:ascii="Arial" w:eastAsia="等线" w:hAnsi="Arial" w:cs="Arial"/>
                <w:b/>
                <w:bCs/>
                <w:color w:val="000000"/>
                <w:kern w:val="0"/>
                <w:sz w:val="20"/>
                <w:szCs w:val="20"/>
              </w:rPr>
            </w:pPr>
            <w:r w:rsidRPr="00B80256">
              <w:rPr>
                <w:rFonts w:ascii="Arial" w:eastAsia="等线" w:hAnsi="Arial" w:cs="Arial"/>
                <w:b/>
                <w:bCs/>
                <w:color w:val="000000"/>
                <w:kern w:val="0"/>
                <w:sz w:val="20"/>
                <w:szCs w:val="20"/>
              </w:rPr>
              <w:t>Clinicopathologic factor</w:t>
            </w:r>
          </w:p>
        </w:tc>
        <w:tc>
          <w:tcPr>
            <w:tcW w:w="1343" w:type="pct"/>
            <w:tcBorders>
              <w:top w:val="single" w:sz="4" w:space="0" w:color="auto"/>
              <w:left w:val="nil"/>
              <w:bottom w:val="single" w:sz="4" w:space="0" w:color="auto"/>
              <w:right w:val="nil"/>
            </w:tcBorders>
            <w:shd w:val="clear" w:color="auto" w:fill="auto"/>
            <w:noWrap/>
            <w:vAlign w:val="bottom"/>
            <w:hideMark/>
          </w:tcPr>
          <w:p w:rsidR="00B80256" w:rsidRPr="00B80256" w:rsidRDefault="00B80256" w:rsidP="00B80256">
            <w:pPr>
              <w:widowControl/>
              <w:jc w:val="center"/>
              <w:rPr>
                <w:rFonts w:ascii="Arial" w:eastAsia="等线" w:hAnsi="Arial" w:cs="Arial"/>
                <w:b/>
                <w:bCs/>
                <w:color w:val="000000"/>
                <w:kern w:val="0"/>
                <w:sz w:val="20"/>
                <w:szCs w:val="20"/>
              </w:rPr>
            </w:pPr>
            <w:r w:rsidRPr="00B80256">
              <w:rPr>
                <w:rFonts w:ascii="Arial" w:eastAsia="等线" w:hAnsi="Arial" w:cs="Arial"/>
                <w:b/>
                <w:bCs/>
                <w:color w:val="000000"/>
                <w:kern w:val="0"/>
                <w:sz w:val="20"/>
                <w:szCs w:val="20"/>
              </w:rPr>
              <w:t>training cohort</w:t>
            </w:r>
          </w:p>
        </w:tc>
        <w:tc>
          <w:tcPr>
            <w:tcW w:w="1537" w:type="pct"/>
            <w:tcBorders>
              <w:top w:val="single" w:sz="4" w:space="0" w:color="auto"/>
              <w:left w:val="nil"/>
              <w:bottom w:val="single" w:sz="4" w:space="0" w:color="auto"/>
              <w:right w:val="nil"/>
            </w:tcBorders>
            <w:shd w:val="clear" w:color="auto" w:fill="auto"/>
            <w:noWrap/>
            <w:vAlign w:val="bottom"/>
            <w:hideMark/>
          </w:tcPr>
          <w:p w:rsidR="00B80256" w:rsidRPr="00B80256" w:rsidRDefault="00B80256" w:rsidP="00B80256">
            <w:pPr>
              <w:widowControl/>
              <w:jc w:val="center"/>
              <w:rPr>
                <w:rFonts w:ascii="Arial" w:eastAsia="等线" w:hAnsi="Arial" w:cs="Arial"/>
                <w:b/>
                <w:bCs/>
                <w:color w:val="000000"/>
                <w:kern w:val="0"/>
                <w:sz w:val="20"/>
                <w:szCs w:val="20"/>
              </w:rPr>
            </w:pPr>
            <w:r w:rsidRPr="00B80256">
              <w:rPr>
                <w:rFonts w:ascii="Arial" w:eastAsia="等线" w:hAnsi="Arial" w:cs="Arial"/>
                <w:b/>
                <w:bCs/>
                <w:color w:val="000000"/>
                <w:kern w:val="0"/>
                <w:sz w:val="20"/>
                <w:szCs w:val="20"/>
              </w:rPr>
              <w:t>validation cohort</w:t>
            </w: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b/>
                <w:bCs/>
                <w:color w:val="000000"/>
                <w:kern w:val="0"/>
                <w:sz w:val="20"/>
                <w:szCs w:val="20"/>
              </w:rPr>
            </w:pPr>
            <w:r w:rsidRPr="00B80256">
              <w:rPr>
                <w:rFonts w:ascii="Arial" w:eastAsia="等线" w:hAnsi="Arial" w:cs="Arial"/>
                <w:b/>
                <w:bCs/>
                <w:color w:val="000000"/>
                <w:kern w:val="0"/>
                <w:sz w:val="20"/>
                <w:szCs w:val="20"/>
              </w:rPr>
              <w:t>Age (year)</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b/>
                <w:bCs/>
                <w:color w:val="000000"/>
                <w:kern w:val="0"/>
                <w:sz w:val="20"/>
                <w:szCs w:val="20"/>
              </w:rPr>
            </w:pP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Times New Roman" w:hAnsi="Arial" w:cs="Arial"/>
                <w:kern w:val="0"/>
                <w:sz w:val="20"/>
                <w:szCs w:val="20"/>
              </w:rPr>
            </w:pP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Median</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52</w:t>
            </w: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51</w:t>
            </w: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b/>
                <w:bCs/>
                <w:color w:val="000000"/>
                <w:kern w:val="0"/>
                <w:sz w:val="20"/>
                <w:szCs w:val="20"/>
              </w:rPr>
            </w:pPr>
            <w:r w:rsidRPr="00B80256">
              <w:rPr>
                <w:rFonts w:ascii="Arial" w:eastAsia="等线" w:hAnsi="Arial" w:cs="Arial"/>
                <w:b/>
                <w:bCs/>
                <w:color w:val="000000"/>
                <w:kern w:val="0"/>
                <w:sz w:val="20"/>
                <w:szCs w:val="20"/>
              </w:rPr>
              <w:t>Gender n (%)</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b/>
                <w:bCs/>
                <w:color w:val="000000"/>
                <w:kern w:val="0"/>
                <w:sz w:val="20"/>
                <w:szCs w:val="20"/>
              </w:rPr>
            </w:pP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Times New Roman" w:hAnsi="Arial" w:cs="Arial"/>
                <w:kern w:val="0"/>
                <w:sz w:val="20"/>
                <w:szCs w:val="20"/>
              </w:rPr>
            </w:pP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Male</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13 (41.9)</w:t>
            </w: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35 (41.2)</w:t>
            </w: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Female</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18 (58.0)</w:t>
            </w: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50 (58.8)</w:t>
            </w: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b/>
                <w:bCs/>
                <w:color w:val="000000"/>
                <w:kern w:val="0"/>
                <w:sz w:val="20"/>
                <w:szCs w:val="20"/>
              </w:rPr>
            </w:pPr>
            <w:r w:rsidRPr="00B80256">
              <w:rPr>
                <w:rFonts w:ascii="Arial" w:eastAsia="等线" w:hAnsi="Arial" w:cs="Arial"/>
                <w:b/>
                <w:bCs/>
                <w:color w:val="000000"/>
                <w:kern w:val="0"/>
                <w:sz w:val="20"/>
                <w:szCs w:val="20"/>
              </w:rPr>
              <w:t>Ulceration n (%)</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b/>
                <w:bCs/>
                <w:color w:val="000000"/>
                <w:kern w:val="0"/>
                <w:sz w:val="20"/>
                <w:szCs w:val="20"/>
              </w:rPr>
            </w:pP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Times New Roman" w:hAnsi="Arial" w:cs="Arial"/>
                <w:kern w:val="0"/>
                <w:sz w:val="20"/>
                <w:szCs w:val="20"/>
              </w:rPr>
            </w:pP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Yes</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9 (29.0)</w:t>
            </w: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25 (29.4)</w:t>
            </w: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No</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8 (25.8)</w:t>
            </w: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22 (25.9)</w:t>
            </w: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NA</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16 (51.6)</w:t>
            </w: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38 (44.7)</w:t>
            </w: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b/>
                <w:bCs/>
                <w:color w:val="000000"/>
                <w:kern w:val="0"/>
                <w:sz w:val="20"/>
                <w:szCs w:val="20"/>
              </w:rPr>
            </w:pPr>
            <w:r w:rsidRPr="00B80256">
              <w:rPr>
                <w:rFonts w:ascii="Arial" w:eastAsia="等线" w:hAnsi="Arial" w:cs="Arial"/>
                <w:b/>
                <w:bCs/>
                <w:color w:val="000000"/>
                <w:kern w:val="0"/>
                <w:sz w:val="20"/>
                <w:szCs w:val="20"/>
              </w:rPr>
              <w:t>Thickness (mm)</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b/>
                <w:bCs/>
                <w:color w:val="000000"/>
                <w:kern w:val="0"/>
                <w:sz w:val="20"/>
                <w:szCs w:val="20"/>
              </w:rPr>
            </w:pP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Times New Roman" w:hAnsi="Arial" w:cs="Arial"/>
                <w:kern w:val="0"/>
                <w:sz w:val="20"/>
                <w:szCs w:val="20"/>
              </w:rPr>
            </w:pP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 xml:space="preserve">Median </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4.8</w:t>
            </w: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5</w:t>
            </w: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b/>
                <w:bCs/>
                <w:color w:val="000000"/>
                <w:kern w:val="0"/>
                <w:sz w:val="20"/>
                <w:szCs w:val="20"/>
              </w:rPr>
            </w:pPr>
            <w:r w:rsidRPr="00B80256">
              <w:rPr>
                <w:rFonts w:ascii="Arial" w:eastAsia="等线" w:hAnsi="Arial" w:cs="Arial"/>
                <w:b/>
                <w:bCs/>
                <w:color w:val="000000"/>
                <w:kern w:val="0"/>
                <w:sz w:val="20"/>
                <w:szCs w:val="20"/>
              </w:rPr>
              <w:t>TNM Stages n (%)</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b/>
                <w:bCs/>
                <w:color w:val="000000"/>
                <w:kern w:val="0"/>
                <w:sz w:val="20"/>
                <w:szCs w:val="20"/>
              </w:rPr>
            </w:pP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Times New Roman" w:hAnsi="Arial" w:cs="Arial"/>
                <w:kern w:val="0"/>
                <w:sz w:val="20"/>
                <w:szCs w:val="20"/>
              </w:rPr>
            </w:pP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III</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2 (6.5)</w:t>
            </w: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8 (9.4)</w:t>
            </w: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IV</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29 (93.5)</w:t>
            </w: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77 (90.6)</w:t>
            </w: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b/>
                <w:bCs/>
                <w:color w:val="000000"/>
                <w:kern w:val="0"/>
                <w:sz w:val="20"/>
                <w:szCs w:val="20"/>
              </w:rPr>
            </w:pPr>
            <w:r w:rsidRPr="00B80256">
              <w:rPr>
                <w:rFonts w:ascii="Arial" w:eastAsia="等线" w:hAnsi="Arial" w:cs="Arial"/>
                <w:b/>
                <w:bCs/>
                <w:color w:val="000000"/>
                <w:kern w:val="0"/>
                <w:sz w:val="20"/>
                <w:szCs w:val="20"/>
              </w:rPr>
              <w:t>M  Stages n (%)</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b/>
                <w:bCs/>
                <w:color w:val="000000"/>
                <w:kern w:val="0"/>
                <w:sz w:val="20"/>
                <w:szCs w:val="20"/>
              </w:rPr>
            </w:pP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Times New Roman" w:hAnsi="Arial" w:cs="Arial"/>
                <w:kern w:val="0"/>
                <w:sz w:val="20"/>
                <w:szCs w:val="20"/>
              </w:rPr>
            </w:pP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M0</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2 (6.5)</w:t>
            </w: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8 (9.4)</w:t>
            </w: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M1</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29 (93.5)</w:t>
            </w: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77 (90.6)</w:t>
            </w: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b/>
                <w:bCs/>
                <w:color w:val="000000"/>
                <w:kern w:val="0"/>
                <w:sz w:val="20"/>
                <w:szCs w:val="20"/>
              </w:rPr>
            </w:pPr>
            <w:r w:rsidRPr="00B80256">
              <w:rPr>
                <w:rFonts w:ascii="Arial" w:eastAsia="等线" w:hAnsi="Arial" w:cs="Arial"/>
                <w:b/>
                <w:bCs/>
                <w:color w:val="000000"/>
                <w:kern w:val="0"/>
                <w:sz w:val="20"/>
                <w:szCs w:val="20"/>
              </w:rPr>
              <w:t>Subtype n (%)</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b/>
                <w:bCs/>
                <w:color w:val="000000"/>
                <w:kern w:val="0"/>
                <w:sz w:val="20"/>
                <w:szCs w:val="20"/>
              </w:rPr>
            </w:pP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Times New Roman" w:hAnsi="Arial" w:cs="Arial"/>
                <w:kern w:val="0"/>
                <w:sz w:val="20"/>
                <w:szCs w:val="20"/>
              </w:rPr>
            </w:pP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Acral subtype</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17 (54.8)</w:t>
            </w: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32 (37.6)</w:t>
            </w: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Mucosal subtype</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0 (0)</w:t>
            </w: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13 (15.3)</w:t>
            </w: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CSD subtype</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7 (22.6)</w:t>
            </w: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17 (20.0)</w:t>
            </w: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Non-CSD subtype</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4 (12.9)</w:t>
            </w: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10 (11.7)</w:t>
            </w: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Unknown primary subtype</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3 (9.7)</w:t>
            </w: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13 (15.3)</w:t>
            </w: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b/>
                <w:bCs/>
                <w:color w:val="000000"/>
                <w:kern w:val="0"/>
                <w:sz w:val="20"/>
                <w:szCs w:val="20"/>
              </w:rPr>
            </w:pPr>
            <w:r w:rsidRPr="00B80256">
              <w:rPr>
                <w:rFonts w:ascii="Arial" w:eastAsia="等线" w:hAnsi="Arial" w:cs="Arial"/>
                <w:b/>
                <w:bCs/>
                <w:color w:val="000000"/>
                <w:kern w:val="0"/>
                <w:sz w:val="20"/>
                <w:szCs w:val="20"/>
              </w:rPr>
              <w:t>LDH n (%)</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b/>
                <w:bCs/>
                <w:color w:val="000000"/>
                <w:kern w:val="0"/>
                <w:sz w:val="20"/>
                <w:szCs w:val="20"/>
              </w:rPr>
            </w:pP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Times New Roman" w:hAnsi="Arial" w:cs="Arial"/>
                <w:kern w:val="0"/>
                <w:sz w:val="20"/>
                <w:szCs w:val="20"/>
              </w:rPr>
            </w:pP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LDH normal</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21 (67.7)</w:t>
            </w: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55 (64.7)</w:t>
            </w: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LDH&gt;ULN</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10 (32.3)</w:t>
            </w: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30 (35.3)</w:t>
            </w: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b/>
                <w:bCs/>
                <w:color w:val="000000"/>
                <w:kern w:val="0"/>
                <w:sz w:val="20"/>
                <w:szCs w:val="20"/>
              </w:rPr>
            </w:pPr>
            <w:r w:rsidRPr="00B80256">
              <w:rPr>
                <w:rFonts w:ascii="Arial" w:eastAsia="等线" w:hAnsi="Arial" w:cs="Arial"/>
                <w:b/>
                <w:bCs/>
                <w:color w:val="000000"/>
                <w:kern w:val="0"/>
                <w:sz w:val="20"/>
                <w:szCs w:val="20"/>
              </w:rPr>
              <w:t>clinical benefit (%)</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b/>
                <w:bCs/>
                <w:color w:val="000000"/>
                <w:kern w:val="0"/>
                <w:sz w:val="20"/>
                <w:szCs w:val="20"/>
              </w:rPr>
            </w:pP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Times New Roman" w:hAnsi="Arial" w:cs="Arial"/>
                <w:kern w:val="0"/>
                <w:sz w:val="20"/>
                <w:szCs w:val="20"/>
              </w:rPr>
            </w:pP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CR</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1 (3.2)</w:t>
            </w: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0 (0)</w:t>
            </w: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PR</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4 (12.9)</w:t>
            </w: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17 (20)</w:t>
            </w:r>
          </w:p>
        </w:tc>
      </w:tr>
      <w:tr w:rsidR="00B80256" w:rsidRPr="00B80256" w:rsidTr="00B80256">
        <w:trPr>
          <w:trHeight w:val="285"/>
        </w:trPr>
        <w:tc>
          <w:tcPr>
            <w:tcW w:w="2120"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SD</w:t>
            </w:r>
          </w:p>
        </w:tc>
        <w:tc>
          <w:tcPr>
            <w:tcW w:w="1343"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15 (48.4)</w:t>
            </w:r>
          </w:p>
        </w:tc>
        <w:tc>
          <w:tcPr>
            <w:tcW w:w="1537" w:type="pct"/>
            <w:tcBorders>
              <w:top w:val="nil"/>
              <w:left w:val="nil"/>
              <w:bottom w:val="nil"/>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27 (31.8)</w:t>
            </w:r>
          </w:p>
        </w:tc>
      </w:tr>
      <w:tr w:rsidR="00B80256" w:rsidRPr="00B80256" w:rsidTr="00B80256">
        <w:trPr>
          <w:trHeight w:val="285"/>
        </w:trPr>
        <w:tc>
          <w:tcPr>
            <w:tcW w:w="2120" w:type="pct"/>
            <w:tcBorders>
              <w:top w:val="nil"/>
              <w:left w:val="nil"/>
              <w:bottom w:val="single" w:sz="4" w:space="0" w:color="auto"/>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PD</w:t>
            </w:r>
          </w:p>
        </w:tc>
        <w:tc>
          <w:tcPr>
            <w:tcW w:w="1343" w:type="pct"/>
            <w:tcBorders>
              <w:top w:val="nil"/>
              <w:left w:val="nil"/>
              <w:bottom w:val="single" w:sz="4" w:space="0" w:color="auto"/>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11 (35.5)</w:t>
            </w:r>
          </w:p>
        </w:tc>
        <w:tc>
          <w:tcPr>
            <w:tcW w:w="1537" w:type="pct"/>
            <w:tcBorders>
              <w:top w:val="nil"/>
              <w:left w:val="nil"/>
              <w:bottom w:val="single" w:sz="4" w:space="0" w:color="auto"/>
              <w:right w:val="nil"/>
            </w:tcBorders>
            <w:shd w:val="clear" w:color="auto" w:fill="auto"/>
            <w:noWrap/>
            <w:vAlign w:val="bottom"/>
            <w:hideMark/>
          </w:tcPr>
          <w:p w:rsidR="00B80256" w:rsidRPr="00B80256" w:rsidRDefault="00B80256" w:rsidP="00B80256">
            <w:pPr>
              <w:widowControl/>
              <w:jc w:val="center"/>
              <w:rPr>
                <w:rFonts w:ascii="Arial" w:eastAsia="等线" w:hAnsi="Arial" w:cs="Arial"/>
                <w:color w:val="000000"/>
                <w:kern w:val="0"/>
                <w:sz w:val="20"/>
                <w:szCs w:val="20"/>
              </w:rPr>
            </w:pPr>
            <w:r w:rsidRPr="00B80256">
              <w:rPr>
                <w:rFonts w:ascii="Arial" w:eastAsia="等线" w:hAnsi="Arial" w:cs="Arial"/>
                <w:color w:val="000000"/>
                <w:kern w:val="0"/>
                <w:sz w:val="20"/>
                <w:szCs w:val="20"/>
              </w:rPr>
              <w:t>41 (48.2)</w:t>
            </w:r>
          </w:p>
        </w:tc>
      </w:tr>
    </w:tbl>
    <w:p w:rsidR="000F4A69" w:rsidRDefault="0079081A" w:rsidP="0079081A">
      <w:pPr>
        <w:rPr>
          <w:rFonts w:ascii="Arial" w:hAnsi="Arial" w:cs="Arial"/>
          <w:sz w:val="20"/>
          <w:szCs w:val="20"/>
        </w:rPr>
      </w:pPr>
      <w:r w:rsidRPr="00BF4BAD">
        <w:rPr>
          <w:rFonts w:ascii="Arial" w:hAnsi="Arial" w:cs="Arial"/>
          <w:sz w:val="20"/>
          <w:szCs w:val="20"/>
        </w:rPr>
        <w:t xml:space="preserve">CSD: chronic sun-induced damage; </w:t>
      </w:r>
      <w:r w:rsidRPr="00BF4BAD">
        <w:rPr>
          <w:rFonts w:ascii="Arial" w:eastAsia="等线" w:hAnsi="Arial" w:cs="Arial"/>
          <w:color w:val="000000"/>
          <w:kern w:val="0"/>
          <w:sz w:val="20"/>
          <w:szCs w:val="20"/>
        </w:rPr>
        <w:t>Non-CSD</w:t>
      </w:r>
      <w:r w:rsidRPr="00BF4BAD">
        <w:rPr>
          <w:rFonts w:ascii="Arial" w:hAnsi="Arial" w:cs="Arial"/>
          <w:sz w:val="20"/>
          <w:szCs w:val="20"/>
        </w:rPr>
        <w:t>:</w:t>
      </w:r>
      <w:r w:rsidRPr="00BF4BAD">
        <w:t xml:space="preserve"> non </w:t>
      </w:r>
      <w:r w:rsidRPr="00BF4BAD">
        <w:rPr>
          <w:rFonts w:ascii="Arial" w:hAnsi="Arial" w:cs="Arial"/>
          <w:sz w:val="20"/>
          <w:szCs w:val="20"/>
        </w:rPr>
        <w:t>chronic sun-induced damage; Upper limit of normal (ULN) for LDH serum level is 250 U/L</w:t>
      </w:r>
      <w:r w:rsidR="000A0786" w:rsidRPr="00BF4BAD">
        <w:rPr>
          <w:rFonts w:ascii="Arial" w:hAnsi="Arial" w:cs="Arial"/>
          <w:sz w:val="20"/>
          <w:szCs w:val="20"/>
        </w:rPr>
        <w:t>.</w:t>
      </w:r>
    </w:p>
    <w:p w:rsidR="00C073EA" w:rsidRDefault="00C073EA" w:rsidP="0079081A">
      <w:pPr>
        <w:rPr>
          <w:rFonts w:ascii="Arial" w:hAnsi="Arial" w:cs="Arial"/>
          <w:b/>
        </w:rPr>
      </w:pPr>
      <w:r w:rsidRPr="00D27E46">
        <w:rPr>
          <w:rFonts w:ascii="Arial" w:hAnsi="Arial" w:cs="Arial"/>
          <w:b/>
        </w:rPr>
        <w:t>Supplementary Table S</w:t>
      </w:r>
      <w:r>
        <w:rPr>
          <w:rFonts w:ascii="Arial" w:hAnsi="Arial" w:cs="Arial"/>
          <w:b/>
        </w:rPr>
        <w:t>2</w:t>
      </w:r>
      <w:r w:rsidRPr="00D27E46">
        <w:rPr>
          <w:rFonts w:ascii="Arial" w:hAnsi="Arial" w:cs="Arial"/>
          <w:b/>
        </w:rPr>
        <w:t>.</w:t>
      </w:r>
      <w:r>
        <w:rPr>
          <w:rFonts w:ascii="Arial" w:hAnsi="Arial" w:cs="Arial"/>
          <w:b/>
        </w:rPr>
        <w:t xml:space="preserve"> The sample information of </w:t>
      </w:r>
      <w:r w:rsidRPr="00C073EA">
        <w:rPr>
          <w:rFonts w:ascii="Arial" w:hAnsi="Arial" w:cs="Arial"/>
          <w:b/>
        </w:rPr>
        <w:t>QuantiGenePlex RNA assay</w:t>
      </w:r>
    </w:p>
    <w:tbl>
      <w:tblPr>
        <w:tblW w:w="0" w:type="auto"/>
        <w:tblLook w:val="04A0" w:firstRow="1" w:lastRow="0" w:firstColumn="1" w:lastColumn="0" w:noHBand="0" w:noVBand="1"/>
      </w:tblPr>
      <w:tblGrid>
        <w:gridCol w:w="1173"/>
        <w:gridCol w:w="1578"/>
        <w:gridCol w:w="1190"/>
        <w:gridCol w:w="1336"/>
        <w:gridCol w:w="3035"/>
      </w:tblGrid>
      <w:tr w:rsidR="00C073EA" w:rsidRPr="00C073EA" w:rsidTr="00C073EA">
        <w:trPr>
          <w:trHeight w:val="285"/>
        </w:trPr>
        <w:tc>
          <w:tcPr>
            <w:tcW w:w="0" w:type="auto"/>
            <w:tcBorders>
              <w:top w:val="single" w:sz="4" w:space="0" w:color="auto"/>
              <w:left w:val="nil"/>
              <w:bottom w:val="single" w:sz="4" w:space="0" w:color="auto"/>
              <w:right w:val="nil"/>
            </w:tcBorders>
            <w:shd w:val="clear" w:color="auto" w:fill="auto"/>
            <w:noWrap/>
            <w:vAlign w:val="bottom"/>
            <w:hideMark/>
          </w:tcPr>
          <w:p w:rsidR="00C073EA" w:rsidRPr="00C073EA" w:rsidRDefault="00C073EA" w:rsidP="00C073EA">
            <w:pPr>
              <w:widowControl/>
              <w:jc w:val="center"/>
              <w:rPr>
                <w:rFonts w:ascii="Arial" w:eastAsia="等线" w:hAnsi="Arial" w:cs="Arial"/>
                <w:b/>
                <w:bCs/>
                <w:color w:val="000000"/>
                <w:kern w:val="0"/>
                <w:sz w:val="20"/>
                <w:szCs w:val="20"/>
              </w:rPr>
            </w:pPr>
            <w:r w:rsidRPr="00C073EA">
              <w:rPr>
                <w:rFonts w:ascii="Arial" w:eastAsia="等线" w:hAnsi="Arial" w:cs="Arial"/>
                <w:b/>
                <w:bCs/>
                <w:color w:val="000000"/>
                <w:kern w:val="0"/>
                <w:sz w:val="20"/>
                <w:szCs w:val="20"/>
              </w:rPr>
              <w:t>Sample code</w:t>
            </w:r>
          </w:p>
        </w:tc>
        <w:tc>
          <w:tcPr>
            <w:tcW w:w="0" w:type="auto"/>
            <w:tcBorders>
              <w:top w:val="single" w:sz="4" w:space="0" w:color="auto"/>
              <w:left w:val="nil"/>
              <w:bottom w:val="single" w:sz="4" w:space="0" w:color="auto"/>
              <w:right w:val="nil"/>
            </w:tcBorders>
            <w:shd w:val="clear" w:color="auto" w:fill="auto"/>
            <w:noWrap/>
            <w:vAlign w:val="bottom"/>
            <w:hideMark/>
          </w:tcPr>
          <w:p w:rsidR="00C073EA" w:rsidRPr="00C073EA" w:rsidRDefault="00C073EA" w:rsidP="00C073EA">
            <w:pPr>
              <w:widowControl/>
              <w:jc w:val="center"/>
              <w:rPr>
                <w:rFonts w:ascii="Arial" w:eastAsia="等线" w:hAnsi="Arial" w:cs="Arial"/>
                <w:b/>
                <w:bCs/>
                <w:color w:val="000000"/>
                <w:kern w:val="0"/>
                <w:sz w:val="20"/>
                <w:szCs w:val="20"/>
              </w:rPr>
            </w:pPr>
            <w:r w:rsidRPr="00C073EA">
              <w:rPr>
                <w:rFonts w:ascii="Arial" w:eastAsia="等线" w:hAnsi="Arial" w:cs="Arial"/>
                <w:b/>
                <w:bCs/>
                <w:color w:val="000000"/>
                <w:kern w:val="0"/>
                <w:sz w:val="20"/>
                <w:szCs w:val="20"/>
              </w:rPr>
              <w:t>Sample type</w:t>
            </w:r>
          </w:p>
        </w:tc>
        <w:tc>
          <w:tcPr>
            <w:tcW w:w="0" w:type="auto"/>
            <w:tcBorders>
              <w:top w:val="single" w:sz="4" w:space="0" w:color="auto"/>
              <w:left w:val="nil"/>
              <w:bottom w:val="single" w:sz="4" w:space="0" w:color="auto"/>
              <w:right w:val="nil"/>
            </w:tcBorders>
            <w:shd w:val="clear" w:color="auto" w:fill="auto"/>
            <w:noWrap/>
            <w:vAlign w:val="bottom"/>
            <w:hideMark/>
          </w:tcPr>
          <w:p w:rsidR="00C073EA" w:rsidRPr="00C073EA" w:rsidRDefault="00C073EA" w:rsidP="00C073EA">
            <w:pPr>
              <w:widowControl/>
              <w:jc w:val="center"/>
              <w:rPr>
                <w:rFonts w:ascii="Arial" w:eastAsia="等线" w:hAnsi="Arial" w:cs="Arial"/>
                <w:b/>
                <w:bCs/>
                <w:color w:val="000000"/>
                <w:kern w:val="0"/>
                <w:sz w:val="20"/>
                <w:szCs w:val="20"/>
              </w:rPr>
            </w:pPr>
            <w:r w:rsidRPr="00C073EA">
              <w:rPr>
                <w:rFonts w:ascii="Arial" w:eastAsia="等线" w:hAnsi="Arial" w:cs="Arial"/>
                <w:b/>
                <w:bCs/>
                <w:color w:val="000000"/>
                <w:kern w:val="0"/>
                <w:sz w:val="20"/>
                <w:szCs w:val="20"/>
              </w:rPr>
              <w:t>Age of tissue</w:t>
            </w:r>
          </w:p>
        </w:tc>
        <w:tc>
          <w:tcPr>
            <w:tcW w:w="0" w:type="auto"/>
            <w:tcBorders>
              <w:top w:val="single" w:sz="4" w:space="0" w:color="auto"/>
              <w:left w:val="nil"/>
              <w:bottom w:val="single" w:sz="4" w:space="0" w:color="auto"/>
              <w:right w:val="nil"/>
            </w:tcBorders>
            <w:shd w:val="clear" w:color="auto" w:fill="auto"/>
            <w:noWrap/>
            <w:vAlign w:val="bottom"/>
            <w:hideMark/>
          </w:tcPr>
          <w:p w:rsidR="00C073EA" w:rsidRPr="00C073EA" w:rsidRDefault="00C073EA" w:rsidP="00C073EA">
            <w:pPr>
              <w:widowControl/>
              <w:jc w:val="center"/>
              <w:rPr>
                <w:rFonts w:ascii="Arial" w:eastAsia="等线" w:hAnsi="Arial" w:cs="Arial"/>
                <w:b/>
                <w:bCs/>
                <w:color w:val="000000"/>
                <w:kern w:val="0"/>
                <w:sz w:val="20"/>
                <w:szCs w:val="20"/>
              </w:rPr>
            </w:pPr>
            <w:r w:rsidRPr="00C073EA">
              <w:rPr>
                <w:rFonts w:ascii="Arial" w:eastAsia="等线" w:hAnsi="Arial" w:cs="Arial"/>
                <w:b/>
                <w:bCs/>
                <w:color w:val="000000"/>
                <w:kern w:val="0"/>
                <w:sz w:val="20"/>
                <w:szCs w:val="20"/>
              </w:rPr>
              <w:t>Prep technique</w:t>
            </w:r>
          </w:p>
        </w:tc>
        <w:tc>
          <w:tcPr>
            <w:tcW w:w="0" w:type="auto"/>
            <w:tcBorders>
              <w:top w:val="single" w:sz="4" w:space="0" w:color="auto"/>
              <w:left w:val="nil"/>
              <w:bottom w:val="single" w:sz="4" w:space="0" w:color="auto"/>
              <w:right w:val="nil"/>
            </w:tcBorders>
            <w:shd w:val="clear" w:color="auto" w:fill="auto"/>
            <w:noWrap/>
            <w:vAlign w:val="bottom"/>
            <w:hideMark/>
          </w:tcPr>
          <w:p w:rsidR="00C073EA" w:rsidRPr="00C073EA" w:rsidRDefault="00C073EA" w:rsidP="00C073EA">
            <w:pPr>
              <w:widowControl/>
              <w:jc w:val="center"/>
              <w:rPr>
                <w:rFonts w:ascii="Arial" w:eastAsia="等线" w:hAnsi="Arial" w:cs="Arial"/>
                <w:b/>
                <w:bCs/>
                <w:color w:val="000000"/>
                <w:kern w:val="0"/>
                <w:sz w:val="20"/>
                <w:szCs w:val="20"/>
              </w:rPr>
            </w:pPr>
            <w:r w:rsidRPr="00C073EA">
              <w:rPr>
                <w:rFonts w:ascii="Arial" w:eastAsia="等线" w:hAnsi="Arial" w:cs="Arial"/>
                <w:b/>
                <w:bCs/>
                <w:color w:val="000000"/>
                <w:kern w:val="0"/>
                <w:sz w:val="20"/>
                <w:szCs w:val="20"/>
              </w:rPr>
              <w:t>Location of biopsy</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T-1</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51</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foot subcutaneous metastase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T-2</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65</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calf subcutaneous metastase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T-3</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59</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foot subcutaneous metastase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lastRenderedPageBreak/>
              <w:t>T-4</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36</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scalp subcutaneous metastase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T-5</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51</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foot subcutaneous metastase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T-6</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39</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calf subcutaneous metastase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T-7</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45</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foot subcutaneous metastase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T-8</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49</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inguinal lymph node metastasis</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T-9</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53</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vaginal recurrence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T-10</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36</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calf subcutaneous metastase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T-11</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60</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inguinal lymph node metastasis</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T-12</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52</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axillary lymph node metastasis</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T-13</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45</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foot subcutaneous metastase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T-14</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55</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foot subcutaneous metastase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T-15</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53</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ear recurrence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T-16</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52</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chest wall recurrence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T-17</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42</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foot subcutaneous metastase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T-18</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40</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inguinal lymph node metastasis</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T-19</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67</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foot subcutaneous metastase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T-20</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48</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inguinal lymph node metastasis</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T-21</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63</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back subcutaneous metastase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T-22</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53</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knee subcutaneous metastase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T-23</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52</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foot subcutaneous metastase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T-24</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53</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inguinal lymph node metastasis</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T-25</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54</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foot subcutaneous metastase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T-26</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51</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inguinal lymph node metastasis</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T-27</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47</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foot subcutaneous metastase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T-28</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60</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upper arm subcutaneous metastase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T-29</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58</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waist subcutaneous metastase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T-30</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31</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eyebrow</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T-31</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20</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ankle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T-32</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28</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hand subcutaneous metastase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T-33</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57</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nasal cavity</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T-34</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tumor biopsies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45</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formalin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hand subcutaneous metastase</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F-1</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49</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foot</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F-2</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30</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inguinal lymph node metastasis</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F-3</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53</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nasal cavity</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F-4</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48</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scalp</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F-5</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60</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foot</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F-6</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69</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 xml:space="preserve">right calf </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F-7</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59</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foot</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F-8</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57</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 xml:space="preserve">right calf </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F-9</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51</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foot</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F-10</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59</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nasal cavity</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F-11</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42</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scalp</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F-12</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67</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forearm</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F-13</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38</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meninges</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F-14</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55</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inguinal lymph node metastasis</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F-15</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55</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foot</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F-16</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48</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inguinal lymph node metastasis</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F-17</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57</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scalp</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F-18</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63</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inguinal lymph node metastasis</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F-19</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42</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inguinal lymph node metastasis</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F-20</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53</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inguinal lymph node metastasis</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F-21</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51</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inguinal lymph node metastasis</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F-22</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48</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anal</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F-23</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54</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foot</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F-24</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46</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hip</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F-25</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49</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gum</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F-26</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68</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hand</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F-27</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48</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hip</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F-28</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53</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rectum</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F-29</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27</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foot</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F-30</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41</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foot</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F-31</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52</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vaginal</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F-32</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52</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foot</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F-33</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51</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inguinal lymph node metastasis</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F-34</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64</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foot</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F-35</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65</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right foot</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F-36</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45</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axillary lymph node metastasis</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F-37</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32</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vulva</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F-38</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52</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foot</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F-39</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63</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chest</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F-40</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62</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left foot</w:t>
            </w:r>
          </w:p>
        </w:tc>
      </w:tr>
      <w:tr w:rsidR="00C073EA" w:rsidRPr="00C073EA" w:rsidTr="00C073EA">
        <w:trPr>
          <w:trHeight w:val="285"/>
        </w:trPr>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F-41</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45</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nil"/>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 xml:space="preserve">left waist </w:t>
            </w:r>
          </w:p>
        </w:tc>
      </w:tr>
      <w:tr w:rsidR="00C073EA" w:rsidRPr="00C073EA" w:rsidTr="00C073EA">
        <w:trPr>
          <w:trHeight w:val="285"/>
        </w:trPr>
        <w:tc>
          <w:tcPr>
            <w:tcW w:w="0" w:type="auto"/>
            <w:tcBorders>
              <w:top w:val="nil"/>
              <w:left w:val="nil"/>
              <w:bottom w:val="single" w:sz="4" w:space="0" w:color="auto"/>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F-42</w:t>
            </w:r>
          </w:p>
        </w:tc>
        <w:tc>
          <w:tcPr>
            <w:tcW w:w="0" w:type="auto"/>
            <w:tcBorders>
              <w:top w:val="nil"/>
              <w:left w:val="nil"/>
              <w:bottom w:val="single" w:sz="4" w:space="0" w:color="auto"/>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FFPE tumor tissues</w:t>
            </w:r>
          </w:p>
        </w:tc>
        <w:tc>
          <w:tcPr>
            <w:tcW w:w="0" w:type="auto"/>
            <w:tcBorders>
              <w:top w:val="nil"/>
              <w:left w:val="nil"/>
              <w:bottom w:val="single" w:sz="4" w:space="0" w:color="auto"/>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43</w:t>
            </w:r>
          </w:p>
        </w:tc>
        <w:tc>
          <w:tcPr>
            <w:tcW w:w="0" w:type="auto"/>
            <w:tcBorders>
              <w:top w:val="nil"/>
              <w:left w:val="nil"/>
              <w:bottom w:val="single" w:sz="4" w:space="0" w:color="auto"/>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RNAlater soak</w:t>
            </w:r>
          </w:p>
        </w:tc>
        <w:tc>
          <w:tcPr>
            <w:tcW w:w="0" w:type="auto"/>
            <w:tcBorders>
              <w:top w:val="nil"/>
              <w:left w:val="nil"/>
              <w:bottom w:val="single" w:sz="4" w:space="0" w:color="auto"/>
              <w:right w:val="nil"/>
            </w:tcBorders>
            <w:shd w:val="clear" w:color="auto" w:fill="auto"/>
            <w:noWrap/>
            <w:vAlign w:val="bottom"/>
            <w:hideMark/>
          </w:tcPr>
          <w:p w:rsidR="00C073EA" w:rsidRPr="00C073EA" w:rsidRDefault="00C073EA" w:rsidP="00C073EA">
            <w:pPr>
              <w:widowControl/>
              <w:jc w:val="center"/>
              <w:rPr>
                <w:rFonts w:ascii="Arial" w:eastAsia="等线" w:hAnsi="Arial" w:cs="Arial"/>
                <w:color w:val="000000"/>
                <w:kern w:val="0"/>
                <w:sz w:val="20"/>
                <w:szCs w:val="20"/>
              </w:rPr>
            </w:pPr>
            <w:r w:rsidRPr="00C073EA">
              <w:rPr>
                <w:rFonts w:ascii="Arial" w:eastAsia="等线" w:hAnsi="Arial" w:cs="Arial"/>
                <w:color w:val="000000"/>
                <w:kern w:val="0"/>
                <w:sz w:val="20"/>
                <w:szCs w:val="20"/>
              </w:rPr>
              <w:t>back</w:t>
            </w:r>
          </w:p>
        </w:tc>
      </w:tr>
    </w:tbl>
    <w:p w:rsidR="00C073EA" w:rsidRPr="0079081A" w:rsidRDefault="00C073EA" w:rsidP="0079081A">
      <w:pPr>
        <w:rPr>
          <w:rFonts w:ascii="Arial" w:hAnsi="Arial" w:cs="Arial"/>
          <w:sz w:val="20"/>
          <w:szCs w:val="20"/>
        </w:rPr>
      </w:pPr>
    </w:p>
    <w:p w:rsidR="00C91A96" w:rsidRPr="00D27E46" w:rsidRDefault="00C91A96" w:rsidP="00C91A96">
      <w:pPr>
        <w:rPr>
          <w:rFonts w:ascii="Arial" w:hAnsi="Arial" w:cs="Arial"/>
          <w:b/>
        </w:rPr>
      </w:pPr>
      <w:r w:rsidRPr="00D27E46">
        <w:rPr>
          <w:rFonts w:ascii="Arial" w:hAnsi="Arial" w:cs="Arial"/>
          <w:b/>
        </w:rPr>
        <w:t>Supplementary Table S</w:t>
      </w:r>
      <w:r w:rsidR="008C2549">
        <w:rPr>
          <w:rFonts w:ascii="Arial" w:hAnsi="Arial" w:cs="Arial"/>
          <w:b/>
        </w:rPr>
        <w:t>3</w:t>
      </w:r>
      <w:r w:rsidRPr="00D27E46">
        <w:rPr>
          <w:rFonts w:ascii="Arial" w:hAnsi="Arial" w:cs="Arial"/>
          <w:b/>
        </w:rPr>
        <w:t>. Correlation of CDK4 pathway aberrations withPD-L1 protein expression in melanoma patients.</w:t>
      </w:r>
    </w:p>
    <w:tbl>
      <w:tblPr>
        <w:tblW w:w="5000" w:type="pct"/>
        <w:tblLook w:val="04A0" w:firstRow="1" w:lastRow="0" w:firstColumn="1" w:lastColumn="0" w:noHBand="0" w:noVBand="1"/>
      </w:tblPr>
      <w:tblGrid>
        <w:gridCol w:w="2560"/>
        <w:gridCol w:w="2356"/>
        <w:gridCol w:w="2475"/>
        <w:gridCol w:w="921"/>
      </w:tblGrid>
      <w:tr w:rsidR="00C91A96" w:rsidRPr="00D27E46" w:rsidTr="005575E6">
        <w:trPr>
          <w:trHeight w:val="285"/>
        </w:trPr>
        <w:tc>
          <w:tcPr>
            <w:tcW w:w="1540" w:type="pct"/>
            <w:tcBorders>
              <w:top w:val="single" w:sz="4" w:space="0" w:color="auto"/>
              <w:left w:val="nil"/>
              <w:bottom w:val="single" w:sz="4" w:space="0" w:color="auto"/>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 xml:space="preserve">　</w:t>
            </w:r>
          </w:p>
        </w:tc>
        <w:tc>
          <w:tcPr>
            <w:tcW w:w="3460" w:type="pct"/>
            <w:gridSpan w:val="3"/>
            <w:tcBorders>
              <w:top w:val="single" w:sz="4" w:space="0" w:color="auto"/>
              <w:left w:val="nil"/>
              <w:bottom w:val="single" w:sz="4" w:space="0" w:color="auto"/>
              <w:right w:val="nil"/>
            </w:tcBorders>
            <w:shd w:val="clear" w:color="auto" w:fill="auto"/>
            <w:noWrap/>
            <w:vAlign w:val="bottom"/>
            <w:hideMark/>
          </w:tcPr>
          <w:p w:rsidR="00C91A96" w:rsidRPr="00D27E46" w:rsidRDefault="00C91A96" w:rsidP="00C91A96">
            <w:pPr>
              <w:rPr>
                <w:rFonts w:ascii="Arial" w:hAnsi="Arial" w:cs="Arial"/>
                <w:b/>
                <w:bCs/>
                <w:sz w:val="20"/>
                <w:szCs w:val="20"/>
              </w:rPr>
            </w:pPr>
            <w:r w:rsidRPr="00D27E46">
              <w:rPr>
                <w:rFonts w:ascii="Arial" w:hAnsi="Arial" w:cs="Arial"/>
                <w:b/>
                <w:bCs/>
                <w:sz w:val="20"/>
                <w:szCs w:val="20"/>
              </w:rPr>
              <w:t>PD-L1 expression</w:t>
            </w:r>
          </w:p>
        </w:tc>
      </w:tr>
      <w:tr w:rsidR="00C91A96" w:rsidRPr="00D27E46" w:rsidTr="005575E6">
        <w:trPr>
          <w:trHeight w:val="285"/>
        </w:trPr>
        <w:tc>
          <w:tcPr>
            <w:tcW w:w="1540"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b/>
                <w:bCs/>
                <w:sz w:val="20"/>
                <w:szCs w:val="20"/>
              </w:rPr>
            </w:pPr>
          </w:p>
        </w:tc>
        <w:tc>
          <w:tcPr>
            <w:tcW w:w="1417"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b/>
                <w:bCs/>
                <w:sz w:val="20"/>
                <w:szCs w:val="20"/>
              </w:rPr>
            </w:pPr>
            <w:r w:rsidRPr="00D27E46">
              <w:rPr>
                <w:rFonts w:ascii="Arial" w:hAnsi="Arial" w:cs="Arial"/>
                <w:b/>
                <w:bCs/>
                <w:sz w:val="20"/>
                <w:szCs w:val="20"/>
              </w:rPr>
              <w:t>PD-L1 positive</w:t>
            </w:r>
          </w:p>
        </w:tc>
        <w:tc>
          <w:tcPr>
            <w:tcW w:w="1489"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b/>
                <w:bCs/>
                <w:sz w:val="20"/>
                <w:szCs w:val="20"/>
              </w:rPr>
            </w:pPr>
            <w:r w:rsidRPr="00D27E46">
              <w:rPr>
                <w:rFonts w:ascii="Arial" w:hAnsi="Arial" w:cs="Arial"/>
                <w:b/>
                <w:bCs/>
                <w:sz w:val="20"/>
                <w:szCs w:val="20"/>
              </w:rPr>
              <w:t>PD-L1 negative</w:t>
            </w:r>
          </w:p>
        </w:tc>
        <w:tc>
          <w:tcPr>
            <w:tcW w:w="554"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b/>
                <w:bCs/>
                <w:sz w:val="20"/>
                <w:szCs w:val="20"/>
              </w:rPr>
            </w:pPr>
            <w:r w:rsidRPr="00D27E46">
              <w:rPr>
                <w:rFonts w:ascii="Arial" w:hAnsi="Arial" w:cs="Arial"/>
                <w:b/>
                <w:bCs/>
                <w:i/>
                <w:iCs/>
                <w:sz w:val="20"/>
                <w:szCs w:val="20"/>
              </w:rPr>
              <w:t>P</w:t>
            </w:r>
            <w:r w:rsidRPr="00F94B57">
              <w:rPr>
                <w:rFonts w:ascii="Arial" w:hAnsi="Arial" w:cs="Arial"/>
                <w:sz w:val="20"/>
                <w:szCs w:val="20"/>
                <w:vertAlign w:val="superscript"/>
              </w:rPr>
              <w:t>a</w:t>
            </w:r>
          </w:p>
        </w:tc>
      </w:tr>
      <w:tr w:rsidR="00C91A96" w:rsidRPr="00D27E46" w:rsidTr="005575E6">
        <w:trPr>
          <w:trHeight w:val="285"/>
        </w:trPr>
        <w:tc>
          <w:tcPr>
            <w:tcW w:w="1540" w:type="pct"/>
            <w:tcBorders>
              <w:top w:val="nil"/>
              <w:left w:val="nil"/>
              <w:bottom w:val="nil"/>
              <w:right w:val="nil"/>
            </w:tcBorders>
            <w:shd w:val="clear" w:color="auto" w:fill="auto"/>
            <w:noWrap/>
            <w:vAlign w:val="bottom"/>
            <w:hideMark/>
          </w:tcPr>
          <w:p w:rsidR="00C91A96" w:rsidRPr="00D27E46" w:rsidRDefault="00C91A96" w:rsidP="00B74364">
            <w:pPr>
              <w:rPr>
                <w:rFonts w:ascii="Arial" w:hAnsi="Arial" w:cs="Arial"/>
                <w:b/>
                <w:bCs/>
                <w:sz w:val="20"/>
                <w:szCs w:val="20"/>
              </w:rPr>
            </w:pPr>
            <w:r w:rsidRPr="00D27E46">
              <w:rPr>
                <w:rFonts w:ascii="Arial" w:hAnsi="Arial" w:cs="Arial"/>
                <w:b/>
                <w:bCs/>
                <w:sz w:val="20"/>
                <w:szCs w:val="20"/>
              </w:rPr>
              <w:t xml:space="preserve">Clinical benefit </w:t>
            </w:r>
          </w:p>
        </w:tc>
        <w:tc>
          <w:tcPr>
            <w:tcW w:w="1417"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b/>
                <w:bCs/>
                <w:sz w:val="20"/>
                <w:szCs w:val="20"/>
              </w:rPr>
            </w:pPr>
          </w:p>
        </w:tc>
        <w:tc>
          <w:tcPr>
            <w:tcW w:w="1489"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p>
        </w:tc>
        <w:tc>
          <w:tcPr>
            <w:tcW w:w="554"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p>
        </w:tc>
      </w:tr>
      <w:tr w:rsidR="00C91A96" w:rsidRPr="00D27E46" w:rsidTr="005575E6">
        <w:trPr>
          <w:trHeight w:val="285"/>
        </w:trPr>
        <w:tc>
          <w:tcPr>
            <w:tcW w:w="1540" w:type="pct"/>
            <w:tcBorders>
              <w:top w:val="nil"/>
              <w:left w:val="nil"/>
              <w:bottom w:val="nil"/>
              <w:right w:val="nil"/>
            </w:tcBorders>
            <w:shd w:val="clear" w:color="auto" w:fill="auto"/>
            <w:noWrap/>
            <w:vAlign w:val="bottom"/>
            <w:hideMark/>
          </w:tcPr>
          <w:p w:rsidR="00C91A96" w:rsidRPr="00D27E46" w:rsidRDefault="000A0786" w:rsidP="00C91A96">
            <w:pPr>
              <w:rPr>
                <w:rFonts w:ascii="Arial" w:hAnsi="Arial" w:cs="Arial"/>
                <w:sz w:val="20"/>
                <w:szCs w:val="20"/>
              </w:rPr>
            </w:pPr>
            <w:r>
              <w:rPr>
                <w:rFonts w:ascii="Arial" w:hAnsi="Arial" w:cs="Arial"/>
                <w:sz w:val="20"/>
                <w:szCs w:val="20"/>
              </w:rPr>
              <w:t>CB</w:t>
            </w:r>
          </w:p>
        </w:tc>
        <w:tc>
          <w:tcPr>
            <w:tcW w:w="1417"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11</w:t>
            </w:r>
          </w:p>
        </w:tc>
        <w:tc>
          <w:tcPr>
            <w:tcW w:w="1489"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19</w:t>
            </w:r>
          </w:p>
        </w:tc>
        <w:tc>
          <w:tcPr>
            <w:tcW w:w="554"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0.024</w:t>
            </w:r>
          </w:p>
        </w:tc>
      </w:tr>
      <w:tr w:rsidR="00C91A96" w:rsidRPr="00D27E46" w:rsidTr="005575E6">
        <w:trPr>
          <w:trHeight w:val="285"/>
        </w:trPr>
        <w:tc>
          <w:tcPr>
            <w:tcW w:w="1540" w:type="pct"/>
            <w:tcBorders>
              <w:top w:val="nil"/>
              <w:left w:val="nil"/>
              <w:bottom w:val="nil"/>
              <w:right w:val="nil"/>
            </w:tcBorders>
            <w:shd w:val="clear" w:color="auto" w:fill="auto"/>
            <w:noWrap/>
            <w:vAlign w:val="bottom"/>
            <w:hideMark/>
          </w:tcPr>
          <w:p w:rsidR="00C91A96" w:rsidRPr="00D27E46" w:rsidRDefault="000A0786" w:rsidP="00C91A96">
            <w:pPr>
              <w:rPr>
                <w:rFonts w:ascii="Arial" w:hAnsi="Arial" w:cs="Arial"/>
                <w:sz w:val="20"/>
                <w:szCs w:val="20"/>
              </w:rPr>
            </w:pPr>
            <w:r>
              <w:rPr>
                <w:rFonts w:ascii="Arial" w:hAnsi="Arial" w:cs="Arial"/>
                <w:sz w:val="20"/>
                <w:szCs w:val="20"/>
              </w:rPr>
              <w:t>NCB</w:t>
            </w:r>
          </w:p>
        </w:tc>
        <w:tc>
          <w:tcPr>
            <w:tcW w:w="1417"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6</w:t>
            </w:r>
          </w:p>
        </w:tc>
        <w:tc>
          <w:tcPr>
            <w:tcW w:w="1489"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37</w:t>
            </w:r>
          </w:p>
        </w:tc>
        <w:tc>
          <w:tcPr>
            <w:tcW w:w="554"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p>
        </w:tc>
      </w:tr>
      <w:tr w:rsidR="00C91A96" w:rsidRPr="00D27E46" w:rsidTr="005575E6">
        <w:trPr>
          <w:trHeight w:val="285"/>
        </w:trPr>
        <w:tc>
          <w:tcPr>
            <w:tcW w:w="1540"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b/>
                <w:bCs/>
                <w:sz w:val="20"/>
                <w:szCs w:val="20"/>
              </w:rPr>
            </w:pPr>
            <w:r w:rsidRPr="00D27E46">
              <w:rPr>
                <w:rFonts w:ascii="Arial" w:hAnsi="Arial" w:cs="Arial"/>
                <w:b/>
                <w:bCs/>
                <w:i/>
                <w:iCs/>
                <w:sz w:val="20"/>
                <w:szCs w:val="20"/>
              </w:rPr>
              <w:t>CDK4</w:t>
            </w:r>
            <w:r w:rsidRPr="00D27E46">
              <w:rPr>
                <w:rFonts w:ascii="Arial" w:hAnsi="Arial" w:cs="Arial"/>
                <w:b/>
                <w:bCs/>
                <w:sz w:val="20"/>
                <w:szCs w:val="20"/>
              </w:rPr>
              <w:t xml:space="preserve"> Aberration</w:t>
            </w:r>
          </w:p>
        </w:tc>
        <w:tc>
          <w:tcPr>
            <w:tcW w:w="1417"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b/>
                <w:bCs/>
                <w:sz w:val="20"/>
                <w:szCs w:val="20"/>
              </w:rPr>
            </w:pPr>
          </w:p>
        </w:tc>
        <w:tc>
          <w:tcPr>
            <w:tcW w:w="1489"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p>
        </w:tc>
        <w:tc>
          <w:tcPr>
            <w:tcW w:w="554"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p>
        </w:tc>
      </w:tr>
      <w:tr w:rsidR="00C91A96" w:rsidRPr="00D27E46" w:rsidTr="005575E6">
        <w:trPr>
          <w:trHeight w:val="285"/>
        </w:trPr>
        <w:tc>
          <w:tcPr>
            <w:tcW w:w="1540"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Gain</w:t>
            </w:r>
          </w:p>
        </w:tc>
        <w:tc>
          <w:tcPr>
            <w:tcW w:w="1417"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10</w:t>
            </w:r>
          </w:p>
        </w:tc>
        <w:tc>
          <w:tcPr>
            <w:tcW w:w="1489"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38</w:t>
            </w:r>
          </w:p>
        </w:tc>
        <w:tc>
          <w:tcPr>
            <w:tcW w:w="554"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0.492</w:t>
            </w:r>
          </w:p>
        </w:tc>
      </w:tr>
      <w:tr w:rsidR="00C91A96" w:rsidRPr="00D27E46" w:rsidTr="005575E6">
        <w:trPr>
          <w:trHeight w:val="285"/>
        </w:trPr>
        <w:tc>
          <w:tcPr>
            <w:tcW w:w="1540"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Normal</w:t>
            </w:r>
          </w:p>
        </w:tc>
        <w:tc>
          <w:tcPr>
            <w:tcW w:w="1417"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7</w:t>
            </w:r>
          </w:p>
        </w:tc>
        <w:tc>
          <w:tcPr>
            <w:tcW w:w="1489"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18</w:t>
            </w:r>
          </w:p>
        </w:tc>
        <w:tc>
          <w:tcPr>
            <w:tcW w:w="554"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p>
        </w:tc>
      </w:tr>
      <w:tr w:rsidR="00C91A96" w:rsidRPr="00D27E46" w:rsidTr="005575E6">
        <w:trPr>
          <w:trHeight w:val="285"/>
        </w:trPr>
        <w:tc>
          <w:tcPr>
            <w:tcW w:w="1540"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b/>
                <w:bCs/>
                <w:sz w:val="20"/>
                <w:szCs w:val="20"/>
              </w:rPr>
            </w:pPr>
            <w:r w:rsidRPr="00D27E46">
              <w:rPr>
                <w:rFonts w:ascii="Arial" w:hAnsi="Arial" w:cs="Arial"/>
                <w:b/>
                <w:bCs/>
                <w:i/>
                <w:iCs/>
                <w:sz w:val="20"/>
                <w:szCs w:val="20"/>
              </w:rPr>
              <w:t>CCND1</w:t>
            </w:r>
            <w:r w:rsidRPr="00D27E46">
              <w:rPr>
                <w:rFonts w:ascii="Arial" w:hAnsi="Arial" w:cs="Arial"/>
                <w:b/>
                <w:bCs/>
                <w:sz w:val="20"/>
                <w:szCs w:val="20"/>
              </w:rPr>
              <w:t xml:space="preserve"> Aberration</w:t>
            </w:r>
          </w:p>
        </w:tc>
        <w:tc>
          <w:tcPr>
            <w:tcW w:w="1417"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b/>
                <w:bCs/>
                <w:sz w:val="20"/>
                <w:szCs w:val="20"/>
              </w:rPr>
            </w:pPr>
          </w:p>
        </w:tc>
        <w:tc>
          <w:tcPr>
            <w:tcW w:w="1489"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p>
        </w:tc>
        <w:tc>
          <w:tcPr>
            <w:tcW w:w="554"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p>
        </w:tc>
      </w:tr>
      <w:tr w:rsidR="00C91A96" w:rsidRPr="00D27E46" w:rsidTr="005575E6">
        <w:trPr>
          <w:trHeight w:val="285"/>
        </w:trPr>
        <w:tc>
          <w:tcPr>
            <w:tcW w:w="1540"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Gain</w:t>
            </w:r>
          </w:p>
        </w:tc>
        <w:tc>
          <w:tcPr>
            <w:tcW w:w="1417"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9</w:t>
            </w:r>
          </w:p>
        </w:tc>
        <w:tc>
          <w:tcPr>
            <w:tcW w:w="1489"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30</w:t>
            </w:r>
          </w:p>
        </w:tc>
        <w:tc>
          <w:tcPr>
            <w:tcW w:w="554"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0.964</w:t>
            </w:r>
          </w:p>
        </w:tc>
      </w:tr>
      <w:tr w:rsidR="00C91A96" w:rsidRPr="00D27E46" w:rsidTr="005575E6">
        <w:trPr>
          <w:trHeight w:val="285"/>
        </w:trPr>
        <w:tc>
          <w:tcPr>
            <w:tcW w:w="1540"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Normal</w:t>
            </w:r>
          </w:p>
        </w:tc>
        <w:tc>
          <w:tcPr>
            <w:tcW w:w="1417"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3</w:t>
            </w:r>
          </w:p>
        </w:tc>
        <w:tc>
          <w:tcPr>
            <w:tcW w:w="1489"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12</w:t>
            </w:r>
          </w:p>
        </w:tc>
        <w:tc>
          <w:tcPr>
            <w:tcW w:w="554"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p>
        </w:tc>
      </w:tr>
      <w:tr w:rsidR="00C91A96" w:rsidRPr="00D27E46" w:rsidTr="005575E6">
        <w:trPr>
          <w:trHeight w:val="285"/>
        </w:trPr>
        <w:tc>
          <w:tcPr>
            <w:tcW w:w="1540"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loss</w:t>
            </w:r>
          </w:p>
        </w:tc>
        <w:tc>
          <w:tcPr>
            <w:tcW w:w="1417"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5</w:t>
            </w:r>
          </w:p>
        </w:tc>
        <w:tc>
          <w:tcPr>
            <w:tcW w:w="1489"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14</w:t>
            </w:r>
          </w:p>
        </w:tc>
        <w:tc>
          <w:tcPr>
            <w:tcW w:w="554"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p>
        </w:tc>
      </w:tr>
      <w:tr w:rsidR="00C91A96" w:rsidRPr="00D27E46" w:rsidTr="005575E6">
        <w:trPr>
          <w:trHeight w:val="285"/>
        </w:trPr>
        <w:tc>
          <w:tcPr>
            <w:tcW w:w="1540"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b/>
                <w:bCs/>
                <w:sz w:val="20"/>
                <w:szCs w:val="20"/>
              </w:rPr>
            </w:pPr>
            <w:r w:rsidRPr="00D27E46">
              <w:rPr>
                <w:rFonts w:ascii="Arial" w:hAnsi="Arial" w:cs="Arial"/>
                <w:b/>
                <w:bCs/>
                <w:i/>
                <w:iCs/>
                <w:sz w:val="20"/>
                <w:szCs w:val="20"/>
              </w:rPr>
              <w:t>CDKN2A</w:t>
            </w:r>
            <w:r w:rsidRPr="00D27E46">
              <w:rPr>
                <w:rFonts w:ascii="Arial" w:hAnsi="Arial" w:cs="Arial"/>
                <w:b/>
                <w:bCs/>
                <w:sz w:val="20"/>
                <w:szCs w:val="20"/>
              </w:rPr>
              <w:t xml:space="preserve"> Aberration</w:t>
            </w:r>
          </w:p>
        </w:tc>
        <w:tc>
          <w:tcPr>
            <w:tcW w:w="1417"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b/>
                <w:bCs/>
                <w:sz w:val="20"/>
                <w:szCs w:val="20"/>
              </w:rPr>
            </w:pPr>
          </w:p>
        </w:tc>
        <w:tc>
          <w:tcPr>
            <w:tcW w:w="1489"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p>
        </w:tc>
        <w:tc>
          <w:tcPr>
            <w:tcW w:w="554"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p>
        </w:tc>
      </w:tr>
      <w:tr w:rsidR="00C91A96" w:rsidRPr="00D27E46" w:rsidTr="005575E6">
        <w:trPr>
          <w:trHeight w:val="285"/>
        </w:trPr>
        <w:tc>
          <w:tcPr>
            <w:tcW w:w="1540"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loss</w:t>
            </w:r>
          </w:p>
        </w:tc>
        <w:tc>
          <w:tcPr>
            <w:tcW w:w="1417"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10</w:t>
            </w:r>
          </w:p>
        </w:tc>
        <w:tc>
          <w:tcPr>
            <w:tcW w:w="1489"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34</w:t>
            </w:r>
          </w:p>
        </w:tc>
        <w:tc>
          <w:tcPr>
            <w:tcW w:w="554" w:type="pct"/>
            <w:tcBorders>
              <w:top w:val="nil"/>
              <w:left w:val="nil"/>
              <w:bottom w:val="nil"/>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0.889</w:t>
            </w:r>
          </w:p>
        </w:tc>
      </w:tr>
      <w:tr w:rsidR="00C91A96" w:rsidRPr="00D27E46" w:rsidTr="005575E6">
        <w:trPr>
          <w:trHeight w:val="285"/>
        </w:trPr>
        <w:tc>
          <w:tcPr>
            <w:tcW w:w="1540" w:type="pct"/>
            <w:tcBorders>
              <w:top w:val="nil"/>
              <w:left w:val="nil"/>
              <w:bottom w:val="single" w:sz="4" w:space="0" w:color="auto"/>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Normal</w:t>
            </w:r>
          </w:p>
        </w:tc>
        <w:tc>
          <w:tcPr>
            <w:tcW w:w="1417" w:type="pct"/>
            <w:tcBorders>
              <w:top w:val="nil"/>
              <w:left w:val="nil"/>
              <w:bottom w:val="single" w:sz="4" w:space="0" w:color="auto"/>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7</w:t>
            </w:r>
          </w:p>
        </w:tc>
        <w:tc>
          <w:tcPr>
            <w:tcW w:w="1489" w:type="pct"/>
            <w:tcBorders>
              <w:top w:val="nil"/>
              <w:left w:val="nil"/>
              <w:bottom w:val="single" w:sz="4" w:space="0" w:color="auto"/>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22</w:t>
            </w:r>
          </w:p>
        </w:tc>
        <w:tc>
          <w:tcPr>
            <w:tcW w:w="554" w:type="pct"/>
            <w:tcBorders>
              <w:top w:val="nil"/>
              <w:left w:val="nil"/>
              <w:bottom w:val="single" w:sz="4" w:space="0" w:color="auto"/>
              <w:right w:val="nil"/>
            </w:tcBorders>
            <w:shd w:val="clear" w:color="auto" w:fill="auto"/>
            <w:noWrap/>
            <w:vAlign w:val="bottom"/>
            <w:hideMark/>
          </w:tcPr>
          <w:p w:rsidR="00C91A96" w:rsidRPr="00D27E46" w:rsidRDefault="00C91A96" w:rsidP="00C91A96">
            <w:pPr>
              <w:rPr>
                <w:rFonts w:ascii="Arial" w:hAnsi="Arial" w:cs="Arial"/>
                <w:sz w:val="20"/>
                <w:szCs w:val="20"/>
              </w:rPr>
            </w:pPr>
            <w:r w:rsidRPr="00D27E46">
              <w:rPr>
                <w:rFonts w:ascii="Arial" w:hAnsi="Arial" w:cs="Arial"/>
                <w:sz w:val="20"/>
                <w:szCs w:val="20"/>
              </w:rPr>
              <w:t xml:space="preserve">　</w:t>
            </w:r>
          </w:p>
        </w:tc>
      </w:tr>
    </w:tbl>
    <w:p w:rsidR="00C91A96" w:rsidRDefault="00C91A96">
      <w:pPr>
        <w:rPr>
          <w:rFonts w:ascii="Arial" w:hAnsi="Arial" w:cs="Arial"/>
          <w:sz w:val="20"/>
          <w:szCs w:val="20"/>
        </w:rPr>
      </w:pPr>
      <w:r w:rsidRPr="00D27E46">
        <w:rPr>
          <w:rFonts w:ascii="Arial" w:hAnsi="Arial" w:cs="Arial"/>
          <w:i/>
          <w:sz w:val="20"/>
          <w:szCs w:val="20"/>
        </w:rPr>
        <w:t>P</w:t>
      </w:r>
      <w:r w:rsidRPr="00D27E46">
        <w:rPr>
          <w:rFonts w:ascii="Arial" w:hAnsi="Arial" w:cs="Arial"/>
          <w:sz w:val="20"/>
          <w:szCs w:val="20"/>
          <w:vertAlign w:val="superscript"/>
        </w:rPr>
        <w:t xml:space="preserve">a </w:t>
      </w:r>
      <w:r w:rsidRPr="00D27E46">
        <w:rPr>
          <w:rFonts w:ascii="Arial" w:hAnsi="Arial" w:cs="Arial"/>
          <w:sz w:val="20"/>
          <w:szCs w:val="20"/>
        </w:rPr>
        <w:t>for the X</w:t>
      </w:r>
      <w:r w:rsidRPr="00D27E46">
        <w:rPr>
          <w:rFonts w:ascii="Arial" w:hAnsi="Arial" w:cs="Arial"/>
          <w:sz w:val="20"/>
          <w:szCs w:val="20"/>
          <w:vertAlign w:val="superscript"/>
        </w:rPr>
        <w:t>2</w:t>
      </w:r>
      <w:r w:rsidRPr="00D27E46">
        <w:rPr>
          <w:rFonts w:ascii="Arial" w:hAnsi="Arial" w:cs="Arial"/>
          <w:sz w:val="20"/>
          <w:szCs w:val="20"/>
        </w:rPr>
        <w:t xml:space="preserve"> test or Fisher</w:t>
      </w:r>
      <w:r w:rsidR="00186D60">
        <w:rPr>
          <w:rFonts w:ascii="Arial" w:hAnsi="Arial" w:cs="Arial"/>
          <w:sz w:val="20"/>
          <w:szCs w:val="20"/>
        </w:rPr>
        <w:t xml:space="preserve"> </w:t>
      </w:r>
      <w:r w:rsidRPr="00D27E46">
        <w:rPr>
          <w:rFonts w:ascii="Arial" w:hAnsi="Arial" w:cs="Arial"/>
          <w:sz w:val="20"/>
          <w:szCs w:val="20"/>
        </w:rPr>
        <w:t>exact test was</w:t>
      </w:r>
      <w:r w:rsidR="00186D60">
        <w:rPr>
          <w:rFonts w:ascii="Arial" w:hAnsi="Arial" w:cs="Arial"/>
          <w:sz w:val="20"/>
          <w:szCs w:val="20"/>
        </w:rPr>
        <w:t xml:space="preserve"> </w:t>
      </w:r>
      <w:r w:rsidRPr="00D27E46">
        <w:rPr>
          <w:rFonts w:ascii="Arial" w:hAnsi="Arial" w:cs="Arial"/>
          <w:sz w:val="20"/>
          <w:szCs w:val="20"/>
        </w:rPr>
        <w:t>used</w:t>
      </w:r>
      <w:r w:rsidR="00186D60">
        <w:rPr>
          <w:rFonts w:ascii="Arial" w:hAnsi="Arial" w:cs="Arial"/>
          <w:sz w:val="20"/>
          <w:szCs w:val="20"/>
        </w:rPr>
        <w:t xml:space="preserve"> </w:t>
      </w:r>
      <w:r w:rsidRPr="00D27E46">
        <w:rPr>
          <w:rFonts w:ascii="Arial" w:hAnsi="Arial" w:cs="Arial"/>
          <w:sz w:val="20"/>
          <w:szCs w:val="20"/>
        </w:rPr>
        <w:t>for evaluating the clinical benefit and CDK4 pathway aberrations.</w:t>
      </w:r>
      <w:r w:rsidR="000A0786" w:rsidRPr="000A0786">
        <w:t xml:space="preserve"> </w:t>
      </w:r>
      <w:r w:rsidR="000A0786" w:rsidRPr="000A0786">
        <w:rPr>
          <w:rFonts w:ascii="Arial" w:hAnsi="Arial" w:cs="Arial"/>
          <w:sz w:val="20"/>
          <w:szCs w:val="20"/>
        </w:rPr>
        <w:t>CB: clinical benefit; NCB: no clinical benefit</w:t>
      </w:r>
    </w:p>
    <w:p w:rsidR="008C2549" w:rsidRDefault="008C2549">
      <w:pPr>
        <w:rPr>
          <w:rFonts w:ascii="Arial" w:hAnsi="Arial" w:cs="Arial"/>
          <w:sz w:val="20"/>
          <w:szCs w:val="20"/>
        </w:rPr>
      </w:pPr>
    </w:p>
    <w:p w:rsidR="00030342" w:rsidRPr="00030342" w:rsidRDefault="00030342" w:rsidP="00030342">
      <w:pPr>
        <w:rPr>
          <w:rFonts w:ascii="Arial" w:hAnsi="Arial" w:cs="Arial"/>
          <w:b/>
          <w:szCs w:val="21"/>
        </w:rPr>
      </w:pPr>
      <w:r w:rsidRPr="00030342">
        <w:rPr>
          <w:rFonts w:ascii="Arial" w:hAnsi="Arial" w:cs="Arial"/>
          <w:b/>
          <w:szCs w:val="21"/>
        </w:rPr>
        <w:t>Supplementary Figure S1. The flow chart describing the total population of the study.</w:t>
      </w:r>
    </w:p>
    <w:p w:rsidR="00030342" w:rsidRPr="00030342" w:rsidRDefault="00030342" w:rsidP="00030342">
      <w:pPr>
        <w:rPr>
          <w:rFonts w:ascii="Arial" w:hAnsi="Arial" w:cs="Arial"/>
          <w:sz w:val="20"/>
          <w:szCs w:val="20"/>
        </w:rPr>
      </w:pPr>
      <w:r w:rsidRPr="00030342">
        <w:rPr>
          <w:rFonts w:ascii="Arial" w:hAnsi="Arial" w:cs="Arial"/>
          <w:b/>
          <w:szCs w:val="21"/>
        </w:rPr>
        <w:t>Supplementary Figure S2.</w:t>
      </w:r>
      <w:r>
        <w:rPr>
          <w:rFonts w:ascii="Arial" w:hAnsi="Arial" w:cs="Arial" w:hint="eastAsia"/>
          <w:b/>
          <w:szCs w:val="21"/>
        </w:rPr>
        <w:t xml:space="preserve"> </w:t>
      </w:r>
      <w:r w:rsidRPr="00030342">
        <w:rPr>
          <w:rFonts w:ascii="Arial" w:hAnsi="Arial" w:cs="Arial"/>
          <w:b/>
          <w:szCs w:val="21"/>
        </w:rPr>
        <w:t xml:space="preserve">The PD-1 staining of C57BL/6-hPD-1 mice. </w:t>
      </w:r>
      <w:r w:rsidRPr="00030342">
        <w:rPr>
          <w:rFonts w:ascii="Arial" w:hAnsi="Arial" w:cs="Arial"/>
          <w:sz w:val="20"/>
          <w:szCs w:val="20"/>
        </w:rPr>
        <w:t>Mouse PD-1 staining with APC anti mouse CD279(PD-1).</w:t>
      </w:r>
      <w:r w:rsidRPr="00030342">
        <w:rPr>
          <w:rFonts w:ascii="Arial" w:hAnsi="Arial" w:cs="Arial" w:hint="eastAsia"/>
          <w:sz w:val="20"/>
          <w:szCs w:val="20"/>
        </w:rPr>
        <w:t xml:space="preserve"> </w:t>
      </w:r>
      <w:r w:rsidRPr="00030342">
        <w:rPr>
          <w:rFonts w:ascii="Arial" w:hAnsi="Arial" w:cs="Arial"/>
          <w:sz w:val="20"/>
          <w:szCs w:val="20"/>
        </w:rPr>
        <w:t>Human PD-1 staining with JS001(10 µg/mL) and mouse anti human IgG4 Fc PE.</w:t>
      </w:r>
    </w:p>
    <w:p w:rsidR="00030342" w:rsidRPr="009D0580" w:rsidRDefault="00030342" w:rsidP="00030342">
      <w:pPr>
        <w:rPr>
          <w:rFonts w:ascii="Arial" w:hAnsi="Arial" w:cs="Arial"/>
          <w:szCs w:val="21"/>
        </w:rPr>
      </w:pPr>
      <w:r w:rsidRPr="009D0580">
        <w:rPr>
          <w:rFonts w:ascii="Arial" w:hAnsi="Arial" w:cs="Arial"/>
          <w:b/>
          <w:szCs w:val="21"/>
        </w:rPr>
        <w:t>Supplementary Figure</w:t>
      </w:r>
      <w:r>
        <w:rPr>
          <w:rFonts w:ascii="Arial" w:hAnsi="Arial" w:cs="Arial"/>
          <w:b/>
          <w:szCs w:val="21"/>
        </w:rPr>
        <w:t xml:space="preserve"> S3</w:t>
      </w:r>
      <w:r w:rsidRPr="009D0580">
        <w:rPr>
          <w:rFonts w:ascii="Arial" w:hAnsi="Arial" w:cs="Arial"/>
          <w:b/>
          <w:szCs w:val="21"/>
        </w:rPr>
        <w:t>. CDK4/6 inhibitor treatment positively regulates PD-L1 protein expression and influences immune gene expression.</w:t>
      </w:r>
    </w:p>
    <w:p w:rsidR="00030342" w:rsidRPr="0009493A" w:rsidRDefault="00030342" w:rsidP="00030342">
      <w:pPr>
        <w:rPr>
          <w:rFonts w:ascii="Arial" w:hAnsi="Arial" w:cs="Arial"/>
          <w:sz w:val="20"/>
          <w:szCs w:val="20"/>
        </w:rPr>
      </w:pPr>
      <w:r w:rsidRPr="0009493A">
        <w:rPr>
          <w:rFonts w:ascii="Arial" w:hAnsi="Arial" w:cs="Arial"/>
          <w:sz w:val="20"/>
          <w:szCs w:val="20"/>
        </w:rPr>
        <w:t>(A</w:t>
      </w:r>
      <w:r>
        <w:rPr>
          <w:rFonts w:ascii="Arial" w:hAnsi="Arial" w:cs="Arial"/>
          <w:sz w:val="20"/>
          <w:szCs w:val="20"/>
        </w:rPr>
        <w:t xml:space="preserve">) </w:t>
      </w:r>
      <w:r w:rsidRPr="0009493A">
        <w:rPr>
          <w:rFonts w:ascii="Arial" w:hAnsi="Arial" w:cs="Arial"/>
          <w:sz w:val="20"/>
          <w:szCs w:val="20"/>
        </w:rPr>
        <w:t>Palbociclib treatment increases PD-L1 protein levels in the SK-MEL-5 cell line, AMC-3 cell line, C57BL/6-hPD-1 and HIS PDX murine models. (B) GSEA was performed on RNA-seq from palbociclib treatment melanoma samples in SK-MEL-5 cell line, AMC-3 cell line and C57BL/6-hPD-1 murine model. Enrichment plots show differential expression of IL6/JAK/STAT3 signaling pathway gene set.</w:t>
      </w:r>
    </w:p>
    <w:p w:rsidR="00C349DC" w:rsidRDefault="00C349DC">
      <w:pPr>
        <w:rPr>
          <w:rFonts w:ascii="Arial" w:hAnsi="Arial" w:cs="Arial" w:hint="eastAsia"/>
          <w:sz w:val="20"/>
          <w:szCs w:val="20"/>
        </w:rPr>
      </w:pPr>
      <w:bookmarkStart w:id="0" w:name="_GoBack"/>
      <w:bookmarkEnd w:id="0"/>
    </w:p>
    <w:p w:rsidR="00C349DC" w:rsidRPr="00C349DC" w:rsidRDefault="00C349DC" w:rsidP="00C349DC">
      <w:pPr>
        <w:numPr>
          <w:ilvl w:val="0"/>
          <w:numId w:val="3"/>
        </w:numPr>
        <w:spacing w:line="360" w:lineRule="auto"/>
        <w:rPr>
          <w:rFonts w:ascii="Arial" w:eastAsia="等线" w:hAnsi="Arial" w:cs="Arial"/>
          <w:b/>
          <w:szCs w:val="21"/>
        </w:rPr>
      </w:pPr>
      <w:r w:rsidRPr="00C349DC">
        <w:rPr>
          <w:rFonts w:ascii="Arial" w:eastAsia="等线" w:hAnsi="Arial" w:cs="Arial"/>
          <w:b/>
          <w:szCs w:val="21"/>
        </w:rPr>
        <w:t>Bioinformatics analysis of WES results</w:t>
      </w:r>
    </w:p>
    <w:p w:rsidR="00C349DC" w:rsidRPr="00C349DC" w:rsidRDefault="00C349DC" w:rsidP="00C349DC">
      <w:pPr>
        <w:spacing w:line="360" w:lineRule="auto"/>
        <w:rPr>
          <w:rFonts w:ascii="Arial" w:eastAsia="等线" w:hAnsi="Arial" w:cs="Arial"/>
          <w:szCs w:val="21"/>
        </w:rPr>
      </w:pPr>
      <w:r w:rsidRPr="00C349DC">
        <w:rPr>
          <w:rFonts w:ascii="Arial" w:eastAsia="等线" w:hAnsi="Arial" w:cs="Arial"/>
          <w:szCs w:val="21"/>
        </w:rPr>
        <w:t>T</w:t>
      </w:r>
      <w:r w:rsidRPr="00C349DC">
        <w:rPr>
          <w:rFonts w:ascii="Arial" w:eastAsia="等线" w:hAnsi="Arial" w:cs="Arial" w:hint="eastAsia"/>
          <w:szCs w:val="21"/>
        </w:rPr>
        <w:t>he</w:t>
      </w:r>
      <w:r w:rsidRPr="00C349DC">
        <w:rPr>
          <w:rFonts w:ascii="Arial" w:eastAsia="等线" w:hAnsi="Arial" w:cs="Arial"/>
          <w:szCs w:val="21"/>
        </w:rPr>
        <w:t xml:space="preserve"> raw sequencing data were subjected to data quality control firstly, removing reads containing an adaptor or poly-N, and low-quality reads. Clean reads in FASTQ format were aligned to human reference genome (hg19) by </w:t>
      </w:r>
      <w:r w:rsidRPr="00C349DC">
        <w:rPr>
          <w:rFonts w:ascii="Arial" w:eastAsia="等线" w:hAnsi="Arial" w:cs="Arial" w:hint="eastAsia"/>
          <w:szCs w:val="21"/>
        </w:rPr>
        <w:t>Burrow</w:t>
      </w:r>
      <w:r w:rsidRPr="00C349DC">
        <w:rPr>
          <w:rFonts w:ascii="Arial" w:eastAsia="等线" w:hAnsi="Arial" w:cs="Arial"/>
          <w:szCs w:val="21"/>
        </w:rPr>
        <w:t xml:space="preserve">s-Wheeler Aligner (BWA, v0.7.13).  </w:t>
      </w:r>
      <w:r w:rsidRPr="00C349DC">
        <w:rPr>
          <w:rFonts w:ascii="Arial" w:eastAsia="等线" w:hAnsi="Arial" w:cs="Arial" w:hint="eastAsia"/>
          <w:szCs w:val="21"/>
        </w:rPr>
        <w:t>S</w:t>
      </w:r>
      <w:r w:rsidRPr="00C349DC">
        <w:rPr>
          <w:rFonts w:ascii="Arial" w:eastAsia="等线" w:hAnsi="Arial" w:cs="Arial"/>
          <w:szCs w:val="21"/>
        </w:rPr>
        <w:t xml:space="preserve">amtools (v1.3) </w:t>
      </w:r>
      <w:r w:rsidRPr="00C349DC">
        <w:rPr>
          <w:rFonts w:ascii="Arial" w:eastAsia="等线" w:hAnsi="Arial" w:cs="Arial" w:hint="eastAsia"/>
          <w:szCs w:val="21"/>
        </w:rPr>
        <w:t>and</w:t>
      </w:r>
      <w:r w:rsidRPr="00C349DC">
        <w:rPr>
          <w:rFonts w:ascii="Arial" w:eastAsia="等线" w:hAnsi="Arial" w:cs="Arial"/>
          <w:szCs w:val="21"/>
        </w:rPr>
        <w:t xml:space="preserve"> Picard (v2.2.4) were used to filter duplicates for </w:t>
      </w:r>
      <w:r w:rsidRPr="00C349DC">
        <w:rPr>
          <w:rFonts w:ascii="Arial" w:eastAsia="等线" w:hAnsi="Arial" w:cs="Arial" w:hint="eastAsia"/>
          <w:szCs w:val="21"/>
        </w:rPr>
        <w:t>the</w:t>
      </w:r>
      <w:r w:rsidRPr="00C349DC">
        <w:rPr>
          <w:rFonts w:ascii="Arial" w:eastAsia="等线" w:hAnsi="Arial" w:cs="Arial"/>
          <w:szCs w:val="21"/>
        </w:rPr>
        <w:t xml:space="preserve"> aligned BAM </w:t>
      </w:r>
      <w:r w:rsidRPr="00C349DC">
        <w:rPr>
          <w:rFonts w:ascii="Arial" w:eastAsia="等线" w:hAnsi="Arial" w:cs="Arial" w:hint="eastAsia"/>
          <w:szCs w:val="21"/>
        </w:rPr>
        <w:t>files</w:t>
      </w:r>
      <w:r w:rsidRPr="00C349DC">
        <w:rPr>
          <w:rFonts w:ascii="Arial" w:eastAsia="等线" w:hAnsi="Arial" w:cs="Arial"/>
          <w:szCs w:val="21"/>
        </w:rPr>
        <w:t>. GATK were used to do local realignment and base quality recalibration to generate final BAM files for computation of the sequencing coverage and depth. Somatic variants were detected by MuTect2.</w:t>
      </w:r>
      <w:r w:rsidRPr="00C349DC">
        <w:rPr>
          <w:rFonts w:ascii="等线" w:eastAsia="等线" w:hAnsi="等线" w:cs="Times New Roman"/>
        </w:rPr>
        <w:t xml:space="preserve"> </w:t>
      </w:r>
      <w:r w:rsidRPr="00C349DC">
        <w:rPr>
          <w:rFonts w:ascii="Arial" w:eastAsia="等线" w:hAnsi="Arial" w:cs="Arial"/>
          <w:szCs w:val="21"/>
        </w:rPr>
        <w:t>After filtering, the locus with a minimum of 329.7M reads covering in the tumor and minimum of 78723 variant allele reads, as well as 102M reads in the corresponding normal sample and maximum of 82080 variant allele reads were regarded as variants.</w:t>
      </w:r>
    </w:p>
    <w:p w:rsidR="00C349DC" w:rsidRPr="00C349DC" w:rsidRDefault="00C349DC" w:rsidP="00C349DC">
      <w:pPr>
        <w:spacing w:line="360" w:lineRule="auto"/>
        <w:ind w:firstLine="420"/>
        <w:rPr>
          <w:rFonts w:ascii="Arial" w:eastAsia="等线" w:hAnsi="Arial" w:cs="Arial"/>
          <w:szCs w:val="21"/>
        </w:rPr>
      </w:pPr>
      <w:r w:rsidRPr="00C349DC">
        <w:rPr>
          <w:rFonts w:ascii="Arial" w:eastAsia="等线" w:hAnsi="Arial" w:cs="Arial"/>
          <w:szCs w:val="21"/>
        </w:rPr>
        <w:t>Variants were annotated the variants call format (VCF) using ANNOVAR software against multiple databases including HGVS variant description, population frequency</w:t>
      </w:r>
      <w:r w:rsidRPr="00C349DC">
        <w:rPr>
          <w:rFonts w:ascii="Arial" w:eastAsia="等线" w:hAnsi="Arial" w:cs="Arial"/>
          <w:szCs w:val="21"/>
        </w:rPr>
        <w:t>（</w:t>
      </w:r>
      <w:r w:rsidRPr="00C349DC">
        <w:rPr>
          <w:rFonts w:ascii="Arial" w:eastAsia="等线" w:hAnsi="Arial" w:cs="Arial"/>
          <w:szCs w:val="21"/>
        </w:rPr>
        <w:t>1000G, ExAC, dbSNP</w:t>
      </w:r>
      <w:r w:rsidRPr="00C349DC">
        <w:rPr>
          <w:rFonts w:ascii="Arial" w:eastAsia="等线" w:hAnsi="Arial" w:cs="Arial"/>
          <w:szCs w:val="21"/>
        </w:rPr>
        <w:t>）</w:t>
      </w:r>
      <w:r w:rsidRPr="00C349DC">
        <w:rPr>
          <w:rFonts w:ascii="Arial" w:eastAsia="等线" w:hAnsi="Arial" w:cs="Arial"/>
          <w:szCs w:val="21"/>
        </w:rPr>
        <w:t>, disease or phenotype(OMIM, COSMIC, ClinVar) and variant functional prediction(PolyPhen-2, SIFT). Somatic CNVs was identified by Control-FREEC. The GISTIC was used to infer recurrently amplified or deleted genomic regions. HLA typing was performed using HLA-VBSeq.</w:t>
      </w:r>
    </w:p>
    <w:p w:rsidR="00C349DC" w:rsidRPr="00C349DC" w:rsidRDefault="00C349DC" w:rsidP="00C349DC">
      <w:pPr>
        <w:numPr>
          <w:ilvl w:val="0"/>
          <w:numId w:val="3"/>
        </w:numPr>
        <w:spacing w:line="360" w:lineRule="auto"/>
        <w:rPr>
          <w:rFonts w:ascii="Arial" w:eastAsia="等线" w:hAnsi="Arial" w:cs="Arial"/>
          <w:b/>
          <w:szCs w:val="21"/>
        </w:rPr>
      </w:pPr>
      <w:r w:rsidRPr="00C349DC">
        <w:rPr>
          <w:rFonts w:ascii="Arial" w:eastAsia="等线" w:hAnsi="Arial" w:cs="Arial"/>
          <w:b/>
          <w:szCs w:val="21"/>
        </w:rPr>
        <w:t>Data analysis for gene expression based on RNA-Seq</w:t>
      </w:r>
    </w:p>
    <w:p w:rsidR="00C349DC" w:rsidRPr="00C349DC" w:rsidRDefault="00C349DC" w:rsidP="00C349DC">
      <w:pPr>
        <w:spacing w:line="360" w:lineRule="auto"/>
        <w:rPr>
          <w:rFonts w:ascii="Arial" w:eastAsia="等线" w:hAnsi="Arial" w:cs="Arial"/>
          <w:szCs w:val="21"/>
        </w:rPr>
      </w:pPr>
      <w:r w:rsidRPr="00C349DC">
        <w:rPr>
          <w:rFonts w:ascii="Arial" w:eastAsia="等线" w:hAnsi="Arial" w:cs="Arial"/>
          <w:szCs w:val="21"/>
        </w:rPr>
        <w:t xml:space="preserve">Raw sequencing reads were filtered with seqtk before mapping to the human GRCh38 reference genome using Hisat2 (v2.0.4). Differentially expressed genes between tumor and normal tissues were identified using edgeR. The P-value significance threshold in multiple tests was set based on the false discovery rate (FDR). Differentially expressed genes were selected using the following filter criteria: FDR ≤0.05 and fold-change ≥2. </w:t>
      </w:r>
    </w:p>
    <w:p w:rsidR="00C349DC" w:rsidRDefault="00C349DC" w:rsidP="00C349DC">
      <w:pPr>
        <w:spacing w:line="360" w:lineRule="auto"/>
        <w:ind w:firstLine="420"/>
        <w:rPr>
          <w:rFonts w:ascii="Arial" w:eastAsia="等线" w:hAnsi="Arial" w:cs="Arial"/>
          <w:szCs w:val="21"/>
        </w:rPr>
      </w:pPr>
      <w:r w:rsidRPr="00C349DC">
        <w:rPr>
          <w:rFonts w:ascii="Arial" w:eastAsia="等线" w:hAnsi="Arial" w:cs="Arial"/>
          <w:szCs w:val="21"/>
        </w:rPr>
        <w:t>GSEA (Gene set enrichment analysis, v3.0) was performed to identify differential expressed pathways among different groups. Hallmark gene sets (h.all.v6.2.symbols.gmt) downloaded from Molecular Signatures Database (MsigDB, http://software.broadinstitute.org/gsea/index.jsp) were chosen for grouping. Both significant and non-significant genes were taken into account for enrichment analysis. Gene markers were ranked using Signal2Noise. P-values and false discovery rates (FDR) were calculated and gene sets with p-value &lt; 0.05 and FDR&lt; 0.25 were considered as significantly regulated.</w:t>
      </w:r>
    </w:p>
    <w:p w:rsidR="003C2A51" w:rsidRPr="003C06F4" w:rsidRDefault="003C2A51" w:rsidP="003C2A51">
      <w:pPr>
        <w:pStyle w:val="a8"/>
        <w:numPr>
          <w:ilvl w:val="0"/>
          <w:numId w:val="3"/>
        </w:numPr>
        <w:spacing w:line="360" w:lineRule="auto"/>
        <w:ind w:firstLineChars="0"/>
        <w:rPr>
          <w:rFonts w:ascii="Arial" w:hAnsi="Arial" w:cs="Arial"/>
          <w:b/>
          <w:szCs w:val="21"/>
        </w:rPr>
      </w:pPr>
      <w:r w:rsidRPr="003C06F4">
        <w:rPr>
          <w:rFonts w:ascii="Arial" w:hAnsi="Arial" w:cs="Arial"/>
          <w:b/>
          <w:szCs w:val="21"/>
        </w:rPr>
        <w:t>QuantiGenePlex RNA assay (panel)</w:t>
      </w:r>
    </w:p>
    <w:p w:rsidR="003C2A51" w:rsidRPr="00A86060" w:rsidRDefault="003C2A51" w:rsidP="003C2A51">
      <w:pPr>
        <w:spacing w:line="360" w:lineRule="auto"/>
        <w:rPr>
          <w:rFonts w:ascii="Arial" w:hAnsi="Arial" w:cs="Arial"/>
          <w:szCs w:val="21"/>
        </w:rPr>
      </w:pPr>
      <w:r w:rsidRPr="00A86060">
        <w:rPr>
          <w:rFonts w:ascii="Arial" w:hAnsi="Arial" w:cs="Arial"/>
          <w:szCs w:val="21"/>
        </w:rPr>
        <w:t>Tissue homogenates were prepared according to the procedure described in the user manual of QuantiGene Sample Processing Kit for FFPE Tissues (Panomics). Briefly, 5-8 pieces of deparaffinized sections (</w:t>
      </w:r>
      <w:r w:rsidRPr="00A86060">
        <w:rPr>
          <w:rFonts w:ascii="Arial" w:eastAsia="等线" w:hAnsi="Arial" w:cs="Arial"/>
          <w:szCs w:val="21"/>
        </w:rPr>
        <w:t>4-10 μm</w:t>
      </w:r>
      <w:r w:rsidRPr="00A86060">
        <w:rPr>
          <w:rFonts w:ascii="Arial" w:hAnsi="Arial" w:cs="Arial"/>
          <w:szCs w:val="21"/>
        </w:rPr>
        <w:t xml:space="preserve"> each) were incubated with 150 μl homogenizing solution supplemented with 1.5 μl of proteinase K (50 μg/μl) at 65°C for </w:t>
      </w:r>
      <w:r w:rsidRPr="00A86060">
        <w:rPr>
          <w:rFonts w:ascii="Arial" w:eastAsia="等线" w:hAnsi="Arial" w:cs="Arial"/>
          <w:szCs w:val="21"/>
        </w:rPr>
        <w:t>6 h</w:t>
      </w:r>
      <w:r w:rsidRPr="00A86060">
        <w:rPr>
          <w:rFonts w:ascii="Arial" w:hAnsi="Arial" w:cs="Arial"/>
          <w:szCs w:val="21"/>
        </w:rPr>
        <w:t>. The tissue homogenate was separated from debris by brief centrifugation and then transferred to a new tube.</w:t>
      </w:r>
    </w:p>
    <w:p w:rsidR="003C2A51" w:rsidRPr="003C2A51" w:rsidRDefault="003C2A51" w:rsidP="003C2A51">
      <w:pPr>
        <w:spacing w:line="360" w:lineRule="auto"/>
        <w:ind w:firstLine="420"/>
        <w:rPr>
          <w:rFonts w:ascii="Arial" w:eastAsia="等线" w:hAnsi="Arial" w:cs="Arial"/>
          <w:szCs w:val="21"/>
        </w:rPr>
      </w:pPr>
      <w:r w:rsidRPr="003C2A51">
        <w:rPr>
          <w:rFonts w:ascii="Arial" w:eastAsia="等线" w:hAnsi="Arial" w:cs="Arial"/>
          <w:szCs w:val="21"/>
        </w:rPr>
        <w:t>Briefly, the sample (40 μl) of each assay well was denatured in each well of the hybridization plate containing working bead mix. The hybridization plate was sealed and incubated at 54°C ± 1°C in a shaking incubator at 600 rpm for 18- 22 h. The next day, the unbound material was removed using the bio-plex pro II wash station (</w:t>
      </w:r>
      <w:bookmarkStart w:id="1" w:name="OLE_LINK25"/>
      <w:bookmarkStart w:id="2" w:name="OLE_LINK26"/>
      <w:r w:rsidRPr="003C2A51">
        <w:rPr>
          <w:rFonts w:ascii="Arial" w:eastAsia="等线" w:hAnsi="Arial" w:cs="Arial"/>
          <w:szCs w:val="21"/>
        </w:rPr>
        <w:t>Bio-Rad</w:t>
      </w:r>
      <w:bookmarkEnd w:id="1"/>
      <w:bookmarkEnd w:id="2"/>
      <w:r w:rsidRPr="003C2A51">
        <w:rPr>
          <w:rFonts w:ascii="Arial" w:eastAsia="等线" w:hAnsi="Arial" w:cs="Arial"/>
          <w:szCs w:val="21"/>
        </w:rPr>
        <w:t xml:space="preserve">), and the beads were sequentially hybridized with pre-amplifier, amplifier, label probe and SAPE. Fluorescence intensities were measured by the </w:t>
      </w:r>
      <w:bookmarkStart w:id="3" w:name="OLE_LINK23"/>
      <w:bookmarkStart w:id="4" w:name="OLE_LINK24"/>
      <w:r w:rsidRPr="003C2A51">
        <w:rPr>
          <w:rFonts w:ascii="Arial" w:eastAsia="等线" w:hAnsi="Arial" w:cs="Arial"/>
          <w:szCs w:val="21"/>
        </w:rPr>
        <w:t>bio-plex 100 system</w:t>
      </w:r>
      <w:bookmarkEnd w:id="3"/>
      <w:bookmarkEnd w:id="4"/>
      <w:r w:rsidRPr="003C2A51">
        <w:rPr>
          <w:rFonts w:ascii="Arial" w:eastAsia="等线" w:hAnsi="Arial" w:cs="Arial"/>
          <w:szCs w:val="21"/>
        </w:rPr>
        <w:t xml:space="preserve"> (Bio-Rad).</w:t>
      </w:r>
    </w:p>
    <w:p w:rsidR="003C2A51" w:rsidRPr="003C2A51" w:rsidRDefault="003C2A51" w:rsidP="003C2A51">
      <w:pPr>
        <w:spacing w:line="360" w:lineRule="auto"/>
        <w:ind w:firstLine="420"/>
        <w:rPr>
          <w:rFonts w:ascii="Arial" w:eastAsia="等线" w:hAnsi="Arial" w:cs="Arial"/>
          <w:szCs w:val="21"/>
        </w:rPr>
      </w:pPr>
      <w:r w:rsidRPr="003C2A51">
        <w:rPr>
          <w:rFonts w:ascii="Arial" w:eastAsia="等线" w:hAnsi="Arial" w:cs="Arial"/>
          <w:szCs w:val="21"/>
        </w:rPr>
        <w:t xml:space="preserve">For each sample, the average signal (MFI) was determined for all genes. The background values were subtracted from each probe set signal, and values of test genes were normalized to the geometric means of </w:t>
      </w:r>
      <w:r w:rsidRPr="003C2A51">
        <w:rPr>
          <w:rFonts w:ascii="Arial" w:eastAsia="等线" w:hAnsi="Arial" w:cs="Arial"/>
          <w:i/>
          <w:szCs w:val="21"/>
        </w:rPr>
        <w:t>Gapdh and ACTB</w:t>
      </w:r>
      <w:r w:rsidRPr="003C2A51">
        <w:rPr>
          <w:rFonts w:ascii="Arial" w:eastAsia="等线" w:hAnsi="Arial" w:cs="Arial"/>
          <w:szCs w:val="21"/>
        </w:rPr>
        <w:t>.</w:t>
      </w:r>
    </w:p>
    <w:p w:rsidR="005575E6" w:rsidRPr="003C2A51" w:rsidRDefault="0045387F" w:rsidP="003C2A51">
      <w:pPr>
        <w:numPr>
          <w:ilvl w:val="0"/>
          <w:numId w:val="3"/>
        </w:numPr>
        <w:spacing w:line="360" w:lineRule="auto"/>
        <w:rPr>
          <w:rFonts w:ascii="Arial" w:eastAsia="等线" w:hAnsi="Arial" w:cs="Arial"/>
          <w:b/>
          <w:szCs w:val="21"/>
        </w:rPr>
      </w:pPr>
      <w:r w:rsidRPr="003C2A51">
        <w:rPr>
          <w:rFonts w:ascii="Arial" w:eastAsia="等线" w:hAnsi="Arial" w:cs="Arial"/>
          <w:b/>
          <w:szCs w:val="21"/>
        </w:rPr>
        <w:t>DNA preparation and TaqMan copy number assays</w:t>
      </w:r>
    </w:p>
    <w:p w:rsidR="003C2A51" w:rsidRDefault="003C2A51" w:rsidP="003C2A51">
      <w:pPr>
        <w:spacing w:line="360" w:lineRule="auto"/>
        <w:rPr>
          <w:rFonts w:ascii="Arial" w:hAnsi="Arial" w:cs="Arial"/>
          <w:szCs w:val="21"/>
        </w:rPr>
      </w:pPr>
      <w:r w:rsidRPr="00A86060">
        <w:rPr>
          <w:rFonts w:ascii="Arial" w:hAnsi="Arial" w:cs="Arial"/>
          <w:szCs w:val="21"/>
        </w:rPr>
        <w:t xml:space="preserve">Genomic DNA was extracted from FFPE sections </w:t>
      </w:r>
      <w:r w:rsidRPr="00A86060">
        <w:rPr>
          <w:rFonts w:ascii="Arial" w:eastAsia="等线" w:hAnsi="Arial" w:cs="Arial"/>
          <w:szCs w:val="21"/>
        </w:rPr>
        <w:t>using a</w:t>
      </w:r>
      <w:r w:rsidRPr="00A86060">
        <w:rPr>
          <w:rFonts w:ascii="Arial" w:hAnsi="Arial" w:cs="Arial"/>
          <w:szCs w:val="21"/>
        </w:rPr>
        <w:t xml:space="preserve"> QIAamp DNA FFPE Tissue Kit (Qiagen).</w:t>
      </w:r>
      <w:r w:rsidRPr="003C2A51">
        <w:t xml:space="preserve"> </w:t>
      </w:r>
      <w:r w:rsidRPr="003C2A51">
        <w:rPr>
          <w:rFonts w:ascii="Arial" w:hAnsi="Arial" w:cs="Arial"/>
          <w:szCs w:val="21"/>
        </w:rPr>
        <w:t>Quantitative real-time PCR was performed using the ABI 7500 FAST real-time PCR system (Applied Biosystems). Copy numbers were then quantified with CopyCaller v2.0 software (Applied Biosystems) using the comparative Ct (DDCt) method. A gain in copy number for CDK4 or CCND1 was determined when the relative copy number was greater than 3.0; a loss in copy number for CDKN2A was considered to have occurred when the relative copy number was less than 2.0.</w:t>
      </w:r>
    </w:p>
    <w:p w:rsidR="00796154" w:rsidRPr="00796154" w:rsidRDefault="00796154" w:rsidP="00796154">
      <w:pPr>
        <w:numPr>
          <w:ilvl w:val="0"/>
          <w:numId w:val="3"/>
        </w:numPr>
        <w:spacing w:line="360" w:lineRule="auto"/>
        <w:rPr>
          <w:rFonts w:ascii="Arial" w:eastAsia="等线" w:hAnsi="Arial" w:cs="Arial"/>
          <w:b/>
          <w:szCs w:val="21"/>
        </w:rPr>
      </w:pPr>
      <w:r w:rsidRPr="00796154">
        <w:rPr>
          <w:rFonts w:ascii="Arial" w:eastAsia="等线" w:hAnsi="Arial" w:cs="Arial"/>
          <w:b/>
          <w:szCs w:val="21"/>
        </w:rPr>
        <w:t>Immunofluorescence (IF)</w:t>
      </w:r>
    </w:p>
    <w:p w:rsidR="00796154" w:rsidRDefault="00796154" w:rsidP="00796154">
      <w:pPr>
        <w:spacing w:line="360" w:lineRule="auto"/>
        <w:rPr>
          <w:rFonts w:ascii="Arial" w:eastAsia="等线" w:hAnsi="Arial" w:cs="Arial"/>
          <w:szCs w:val="21"/>
        </w:rPr>
      </w:pPr>
      <w:r w:rsidRPr="00796154">
        <w:rPr>
          <w:rFonts w:ascii="Arial" w:eastAsia="等线" w:hAnsi="Arial" w:cs="Arial"/>
          <w:szCs w:val="21"/>
        </w:rPr>
        <w:t>IF staining was performed using humanized immune system (HIS) patient-derived xenograft (PDX) models. Briefly, mouse tumor samples were prepared as FFPE sections. Tissue sections were mounted on slides with DAPI-containing Vectashield mounting medium (Vector Laboratories) and examined and photographed under an inverted three-color fluorescence microscope system (Nikon Ti-U). Images were analyzed and quantified using ImageJ software (NIH).</w:t>
      </w:r>
    </w:p>
    <w:p w:rsidR="00796154" w:rsidRPr="00796154" w:rsidRDefault="00796154" w:rsidP="00796154">
      <w:pPr>
        <w:numPr>
          <w:ilvl w:val="0"/>
          <w:numId w:val="3"/>
        </w:numPr>
        <w:spacing w:line="360" w:lineRule="auto"/>
        <w:rPr>
          <w:rFonts w:ascii="Arial" w:eastAsia="等线" w:hAnsi="Arial" w:cs="Arial"/>
          <w:b/>
          <w:szCs w:val="21"/>
        </w:rPr>
      </w:pPr>
      <w:r w:rsidRPr="00796154">
        <w:rPr>
          <w:rFonts w:ascii="Arial" w:eastAsia="等线" w:hAnsi="Arial" w:cs="Arial"/>
          <w:b/>
          <w:szCs w:val="21"/>
        </w:rPr>
        <w:t>NanoString-based gene expression profiling</w:t>
      </w:r>
    </w:p>
    <w:p w:rsidR="00796154" w:rsidRPr="00796154" w:rsidRDefault="00796154" w:rsidP="00796154">
      <w:pPr>
        <w:spacing w:line="360" w:lineRule="auto"/>
        <w:rPr>
          <w:rFonts w:ascii="Arial" w:eastAsia="等线" w:hAnsi="Arial" w:cs="Arial"/>
          <w:szCs w:val="21"/>
        </w:rPr>
      </w:pPr>
      <w:r w:rsidRPr="00796154">
        <w:rPr>
          <w:rFonts w:ascii="Arial" w:eastAsia="等线" w:hAnsi="Arial" w:cs="Arial"/>
          <w:szCs w:val="21"/>
        </w:rPr>
        <w:t>Total RNA was isolated from FFPE tumor samples using the RNeasy FFPE Kit (73504, Qiagen) according to the manufacturer’s protocol. The RNA concentration and purity were estimated using a NanoDrop 2000 spectrophotometer (Thermo Scientific). NanoString Technologies-based gene expression profiling was performed using 300 ng of total RNA from each sample according to the manufacturer’s instructions. The mRNA hybridization, detection and scanning were performed following the nanoString protocol. Normalization of raw data was performed using nSolver software (NanoString Technologies) based on the 10 most relevant housekeeping genes.</w:t>
      </w:r>
    </w:p>
    <w:p w:rsidR="004C14EF" w:rsidRPr="004C14EF" w:rsidRDefault="004C14EF" w:rsidP="004C14EF">
      <w:pPr>
        <w:numPr>
          <w:ilvl w:val="0"/>
          <w:numId w:val="3"/>
        </w:numPr>
        <w:spacing w:line="360" w:lineRule="auto"/>
        <w:rPr>
          <w:rFonts w:ascii="Arial" w:eastAsia="等线" w:hAnsi="Arial" w:cs="Arial"/>
          <w:b/>
          <w:szCs w:val="21"/>
        </w:rPr>
      </w:pPr>
      <w:r w:rsidRPr="004C14EF">
        <w:rPr>
          <w:rFonts w:ascii="Arial" w:eastAsia="等线" w:hAnsi="Arial" w:cs="Arial"/>
          <w:b/>
          <w:szCs w:val="21"/>
        </w:rPr>
        <w:t>Cell lines and primary cell culture</w:t>
      </w:r>
    </w:p>
    <w:p w:rsidR="004C14EF" w:rsidRPr="004C14EF" w:rsidRDefault="004C14EF" w:rsidP="004C14EF">
      <w:pPr>
        <w:spacing w:line="360" w:lineRule="auto"/>
        <w:rPr>
          <w:rFonts w:ascii="Arial" w:eastAsia="等线" w:hAnsi="Arial" w:cs="Arial"/>
          <w:szCs w:val="21"/>
        </w:rPr>
      </w:pPr>
      <w:r w:rsidRPr="004C14EF">
        <w:rPr>
          <w:rFonts w:ascii="Arial" w:eastAsia="等线" w:hAnsi="Arial" w:cs="Arial"/>
          <w:szCs w:val="21"/>
        </w:rPr>
        <w:t>A2058 (catalog no. CRL-11147), SK-MEL-5 (catalog no. HTB-70), WM-266-4 (catalog no. CRL-1676)</w:t>
      </w:r>
      <w:r>
        <w:rPr>
          <w:rFonts w:ascii="Arial" w:eastAsia="等线" w:hAnsi="Arial" w:cs="Arial"/>
          <w:szCs w:val="21"/>
        </w:rPr>
        <w:t xml:space="preserve">, </w:t>
      </w:r>
      <w:r w:rsidRPr="004C14EF">
        <w:rPr>
          <w:rFonts w:ascii="Arial" w:eastAsia="等线" w:hAnsi="Arial" w:cs="Arial"/>
          <w:szCs w:val="21"/>
        </w:rPr>
        <w:t>B16-OVA cell lines were a gift from Shanghai Junshi Biosciences. Above cell lines were cultured at 37°C under 5% CO</w:t>
      </w:r>
      <w:r w:rsidRPr="004C14EF">
        <w:rPr>
          <w:rFonts w:ascii="Arial" w:eastAsia="等线" w:hAnsi="Arial" w:cs="Arial"/>
          <w:szCs w:val="21"/>
          <w:vertAlign w:val="subscript"/>
        </w:rPr>
        <w:t>2</w:t>
      </w:r>
      <w:r w:rsidRPr="004C14EF">
        <w:rPr>
          <w:rFonts w:ascii="Arial" w:eastAsia="等线" w:hAnsi="Arial" w:cs="Arial"/>
          <w:szCs w:val="21"/>
        </w:rPr>
        <w:t xml:space="preserve"> in Dulbecco’s Modified Eagle Medium (DMEM, Invitrogen) supplemented with 10% FBS, 100 UI/ml penicillin, and 100 μg/ml streptomycin. </w:t>
      </w:r>
    </w:p>
    <w:p w:rsidR="00C349DC" w:rsidRDefault="004C14EF" w:rsidP="0093360D">
      <w:pPr>
        <w:spacing w:line="360" w:lineRule="auto"/>
        <w:ind w:firstLine="420"/>
        <w:rPr>
          <w:rFonts w:ascii="Arial" w:eastAsia="等线" w:hAnsi="Arial" w:cs="Arial"/>
          <w:szCs w:val="21"/>
        </w:rPr>
      </w:pPr>
      <w:r w:rsidRPr="004C14EF">
        <w:rPr>
          <w:rFonts w:ascii="Arial" w:eastAsia="等线" w:hAnsi="Arial" w:cs="Arial"/>
          <w:szCs w:val="21"/>
        </w:rPr>
        <w:t>AMC-3 (acral primary melanoma cell) cell lines were derived from a patient-derived xenograft (PDX) model. The tumor tissue was minced into 1-mm</w:t>
      </w:r>
      <w:r w:rsidRPr="004C14EF">
        <w:rPr>
          <w:rFonts w:ascii="Arial" w:eastAsia="等线" w:hAnsi="Arial" w:cs="Arial"/>
          <w:szCs w:val="21"/>
          <w:vertAlign w:val="superscript"/>
        </w:rPr>
        <w:t>3</w:t>
      </w:r>
      <w:r w:rsidRPr="004C14EF">
        <w:rPr>
          <w:rFonts w:ascii="Arial" w:eastAsia="等线" w:hAnsi="Arial" w:cs="Arial"/>
          <w:szCs w:val="21"/>
        </w:rPr>
        <w:t xml:space="preserve"> fragments and resuspended in 30 ml of DMEM containing 50× collagenase IV (Invitrogen) and 1× DNase (Takara, Kusatsu, Japan). After a 2-h incubation at 37°C, the suspensions were collected and slowly transferred onto 15 ml of Histopaque (Sigma, St. Louis, MO). The interface cell fraction was collected after centrifugation, and the cells were maintained in serum-free stem cell medium supplemented with growth factors at 37°C in 5% CO</w:t>
      </w:r>
      <w:r w:rsidRPr="004C14EF">
        <w:rPr>
          <w:rFonts w:ascii="Arial" w:eastAsia="等线" w:hAnsi="Arial" w:cs="Arial"/>
          <w:szCs w:val="21"/>
          <w:vertAlign w:val="subscript"/>
        </w:rPr>
        <w:t>2</w:t>
      </w:r>
      <w:r w:rsidRPr="004C14EF">
        <w:rPr>
          <w:rFonts w:ascii="Arial" w:eastAsia="等线" w:hAnsi="Arial" w:cs="Arial"/>
          <w:szCs w:val="21"/>
        </w:rPr>
        <w:t>.</w:t>
      </w:r>
    </w:p>
    <w:p w:rsidR="00A90880" w:rsidRPr="00A90880" w:rsidRDefault="00A90880" w:rsidP="00A90880">
      <w:pPr>
        <w:spacing w:line="360" w:lineRule="auto"/>
        <w:rPr>
          <w:rFonts w:ascii="Arial" w:eastAsia="等线" w:hAnsi="Arial" w:cs="Arial"/>
          <w:szCs w:val="21"/>
        </w:rPr>
      </w:pPr>
    </w:p>
    <w:sectPr w:rsidR="00A90880" w:rsidRPr="00A90880" w:rsidSect="005575E6">
      <w:pgSz w:w="11906" w:h="16838"/>
      <w:pgMar w:top="1440" w:right="1797" w:bottom="1440" w:left="1797"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BF6" w:rsidRDefault="00957BF6" w:rsidP="00C91A96">
      <w:r>
        <w:separator/>
      </w:r>
    </w:p>
  </w:endnote>
  <w:endnote w:type="continuationSeparator" w:id="0">
    <w:p w:rsidR="00957BF6" w:rsidRDefault="00957BF6" w:rsidP="00C9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BF6" w:rsidRDefault="00957BF6" w:rsidP="00C91A96">
      <w:r>
        <w:separator/>
      </w:r>
    </w:p>
  </w:footnote>
  <w:footnote w:type="continuationSeparator" w:id="0">
    <w:p w:rsidR="00957BF6" w:rsidRDefault="00957BF6" w:rsidP="00C91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6FC3"/>
    <w:multiLevelType w:val="hybridMultilevel"/>
    <w:tmpl w:val="FD2AFC40"/>
    <w:lvl w:ilvl="0" w:tplc="F3186E1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2846DF"/>
    <w:multiLevelType w:val="hybridMultilevel"/>
    <w:tmpl w:val="A8649464"/>
    <w:lvl w:ilvl="0" w:tplc="F3186E1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0064E8A"/>
    <w:multiLevelType w:val="hybridMultilevel"/>
    <w:tmpl w:val="08CA94EC"/>
    <w:lvl w:ilvl="0" w:tplc="DB223E74">
      <w:start w:val="1"/>
      <w:numFmt w:val="decimal"/>
      <w:lvlText w:val="%1."/>
      <w:lvlJc w:val="left"/>
      <w:pPr>
        <w:ind w:left="360" w:hanging="360"/>
      </w:pPr>
      <w:rPr>
        <w:rFonts w:hint="default"/>
      </w:rPr>
    </w:lvl>
    <w:lvl w:ilvl="1" w:tplc="5F5A9ABE" w:tentative="1">
      <w:start w:val="1"/>
      <w:numFmt w:val="lowerLetter"/>
      <w:lvlText w:val="%2)"/>
      <w:lvlJc w:val="left"/>
      <w:pPr>
        <w:ind w:left="840" w:hanging="420"/>
      </w:pPr>
    </w:lvl>
    <w:lvl w:ilvl="2" w:tplc="E5F0B302" w:tentative="1">
      <w:start w:val="1"/>
      <w:numFmt w:val="lowerRoman"/>
      <w:lvlText w:val="%3."/>
      <w:lvlJc w:val="right"/>
      <w:pPr>
        <w:ind w:left="1260" w:hanging="420"/>
      </w:pPr>
    </w:lvl>
    <w:lvl w:ilvl="3" w:tplc="CE1E11E6" w:tentative="1">
      <w:start w:val="1"/>
      <w:numFmt w:val="decimal"/>
      <w:lvlText w:val="%4."/>
      <w:lvlJc w:val="left"/>
      <w:pPr>
        <w:ind w:left="1680" w:hanging="420"/>
      </w:pPr>
    </w:lvl>
    <w:lvl w:ilvl="4" w:tplc="E6669088" w:tentative="1">
      <w:start w:val="1"/>
      <w:numFmt w:val="lowerLetter"/>
      <w:lvlText w:val="%5)"/>
      <w:lvlJc w:val="left"/>
      <w:pPr>
        <w:ind w:left="2100" w:hanging="420"/>
      </w:pPr>
    </w:lvl>
    <w:lvl w:ilvl="5" w:tplc="2002664E" w:tentative="1">
      <w:start w:val="1"/>
      <w:numFmt w:val="lowerRoman"/>
      <w:lvlText w:val="%6."/>
      <w:lvlJc w:val="right"/>
      <w:pPr>
        <w:ind w:left="2520" w:hanging="420"/>
      </w:pPr>
    </w:lvl>
    <w:lvl w:ilvl="6" w:tplc="29E47504" w:tentative="1">
      <w:start w:val="1"/>
      <w:numFmt w:val="decimal"/>
      <w:lvlText w:val="%7."/>
      <w:lvlJc w:val="left"/>
      <w:pPr>
        <w:ind w:left="2940" w:hanging="420"/>
      </w:pPr>
    </w:lvl>
    <w:lvl w:ilvl="7" w:tplc="A09C3286" w:tentative="1">
      <w:start w:val="1"/>
      <w:numFmt w:val="lowerLetter"/>
      <w:lvlText w:val="%8)"/>
      <w:lvlJc w:val="left"/>
      <w:pPr>
        <w:ind w:left="3360" w:hanging="420"/>
      </w:pPr>
    </w:lvl>
    <w:lvl w:ilvl="8" w:tplc="C5B6658C"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0D"/>
    <w:rsid w:val="00030342"/>
    <w:rsid w:val="0009493A"/>
    <w:rsid w:val="000A0786"/>
    <w:rsid w:val="000A71A8"/>
    <w:rsid w:val="000F4A69"/>
    <w:rsid w:val="00131AF5"/>
    <w:rsid w:val="00186D60"/>
    <w:rsid w:val="002A02F5"/>
    <w:rsid w:val="003C2A51"/>
    <w:rsid w:val="0045387F"/>
    <w:rsid w:val="004746A8"/>
    <w:rsid w:val="004C14EF"/>
    <w:rsid w:val="004F5237"/>
    <w:rsid w:val="00510FF1"/>
    <w:rsid w:val="00526A2F"/>
    <w:rsid w:val="005575E6"/>
    <w:rsid w:val="006630F5"/>
    <w:rsid w:val="007128E7"/>
    <w:rsid w:val="0079081A"/>
    <w:rsid w:val="00796154"/>
    <w:rsid w:val="007A7D90"/>
    <w:rsid w:val="00822E81"/>
    <w:rsid w:val="008C2549"/>
    <w:rsid w:val="0093360D"/>
    <w:rsid w:val="00957BF6"/>
    <w:rsid w:val="009D0580"/>
    <w:rsid w:val="00A2659F"/>
    <w:rsid w:val="00A90880"/>
    <w:rsid w:val="00B74364"/>
    <w:rsid w:val="00B80256"/>
    <w:rsid w:val="00BF4BAD"/>
    <w:rsid w:val="00C073EA"/>
    <w:rsid w:val="00C349DC"/>
    <w:rsid w:val="00C91A96"/>
    <w:rsid w:val="00D27E46"/>
    <w:rsid w:val="00D52017"/>
    <w:rsid w:val="00DB0C7E"/>
    <w:rsid w:val="00DF074D"/>
    <w:rsid w:val="00E2653A"/>
    <w:rsid w:val="00E9130D"/>
    <w:rsid w:val="00F65340"/>
    <w:rsid w:val="00F748A7"/>
    <w:rsid w:val="00F94B57"/>
    <w:rsid w:val="00FE4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C8C05"/>
  <w15:chartTrackingRefBased/>
  <w15:docId w15:val="{2AAF0F74-3593-4F13-9C85-80AD0AEB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3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E9130D"/>
  </w:style>
  <w:style w:type="paragraph" w:styleId="a4">
    <w:name w:val="header"/>
    <w:basedOn w:val="a"/>
    <w:link w:val="a5"/>
    <w:uiPriority w:val="99"/>
    <w:unhideWhenUsed/>
    <w:rsid w:val="00C91A9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91A96"/>
    <w:rPr>
      <w:sz w:val="18"/>
      <w:szCs w:val="18"/>
    </w:rPr>
  </w:style>
  <w:style w:type="paragraph" w:styleId="a6">
    <w:name w:val="footer"/>
    <w:basedOn w:val="a"/>
    <w:link w:val="a7"/>
    <w:uiPriority w:val="99"/>
    <w:unhideWhenUsed/>
    <w:rsid w:val="00C91A96"/>
    <w:pPr>
      <w:tabs>
        <w:tab w:val="center" w:pos="4153"/>
        <w:tab w:val="right" w:pos="8306"/>
      </w:tabs>
      <w:snapToGrid w:val="0"/>
      <w:jc w:val="left"/>
    </w:pPr>
    <w:rPr>
      <w:sz w:val="18"/>
      <w:szCs w:val="18"/>
    </w:rPr>
  </w:style>
  <w:style w:type="character" w:customStyle="1" w:styleId="a7">
    <w:name w:val="页脚 字符"/>
    <w:basedOn w:val="a0"/>
    <w:link w:val="a6"/>
    <w:uiPriority w:val="99"/>
    <w:rsid w:val="00C91A96"/>
    <w:rPr>
      <w:sz w:val="18"/>
      <w:szCs w:val="18"/>
    </w:rPr>
  </w:style>
  <w:style w:type="paragraph" w:styleId="a8">
    <w:name w:val="List Paragraph"/>
    <w:basedOn w:val="a"/>
    <w:uiPriority w:val="34"/>
    <w:qFormat/>
    <w:rsid w:val="0009493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661059">
      <w:bodyDiv w:val="1"/>
      <w:marLeft w:val="0"/>
      <w:marRight w:val="0"/>
      <w:marTop w:val="0"/>
      <w:marBottom w:val="0"/>
      <w:divBdr>
        <w:top w:val="none" w:sz="0" w:space="0" w:color="auto"/>
        <w:left w:val="none" w:sz="0" w:space="0" w:color="auto"/>
        <w:bottom w:val="none" w:sz="0" w:space="0" w:color="auto"/>
        <w:right w:val="none" w:sz="0" w:space="0" w:color="auto"/>
      </w:divBdr>
    </w:div>
    <w:div w:id="1366633482">
      <w:bodyDiv w:val="1"/>
      <w:marLeft w:val="0"/>
      <w:marRight w:val="0"/>
      <w:marTop w:val="0"/>
      <w:marBottom w:val="0"/>
      <w:divBdr>
        <w:top w:val="none" w:sz="0" w:space="0" w:color="auto"/>
        <w:left w:val="none" w:sz="0" w:space="0" w:color="auto"/>
        <w:bottom w:val="none" w:sz="0" w:space="0" w:color="auto"/>
        <w:right w:val="none" w:sz="0" w:space="0" w:color="auto"/>
      </w:divBdr>
    </w:div>
    <w:div w:id="18950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7208C-8C99-4F58-9247-C0EF6F82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2016</Words>
  <Characters>11493</Characters>
  <Application>Microsoft Office Word</Application>
  <DocSecurity>0</DocSecurity>
  <Lines>95</Lines>
  <Paragraphs>26</Paragraphs>
  <ScaleCrop>false</ScaleCrop>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User</cp:lastModifiedBy>
  <cp:revision>31</cp:revision>
  <dcterms:created xsi:type="dcterms:W3CDTF">2019-02-02T08:54:00Z</dcterms:created>
  <dcterms:modified xsi:type="dcterms:W3CDTF">2019-07-11T13:55:00Z</dcterms:modified>
</cp:coreProperties>
</file>