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22" w:rsidRPr="000B2A99" w:rsidRDefault="00340622" w:rsidP="00340622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Supplementary Table S1: Preferred Terms included in Grouped T</w:t>
      </w:r>
      <w:r w:rsidRPr="006E7A13">
        <w:rPr>
          <w:rFonts w:ascii="Times New Roman" w:eastAsia="Times New Roman" w:hAnsi="Times New Roman"/>
          <w:b/>
          <w:sz w:val="24"/>
          <w:szCs w:val="24"/>
        </w:rPr>
        <w:t>erms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6930"/>
      </w:tblGrid>
      <w:tr w:rsidR="00340622" w:rsidRPr="000B2A99" w:rsidTr="004766D9">
        <w:trPr>
          <w:tblHeader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A99">
              <w:rPr>
                <w:rFonts w:ascii="Times New Roman" w:hAnsi="Times New Roman"/>
                <w:b/>
                <w:sz w:val="24"/>
                <w:szCs w:val="24"/>
              </w:rPr>
              <w:t>Grouped term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A99">
              <w:rPr>
                <w:rFonts w:ascii="Times New Roman" w:hAnsi="Times New Roman"/>
                <w:b/>
                <w:sz w:val="24"/>
                <w:szCs w:val="24"/>
              </w:rPr>
              <w:t xml:space="preserve">Preferred Terms </w:t>
            </w:r>
          </w:p>
        </w:tc>
      </w:tr>
      <w:tr w:rsidR="00340622" w:rsidRPr="000B2A99" w:rsidTr="004766D9">
        <w:trPr>
          <w:trHeight w:val="53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99">
              <w:rPr>
                <w:rFonts w:ascii="Times New Roman" w:hAnsi="Times New Roman"/>
                <w:color w:val="000000"/>
                <w:sz w:val="24"/>
                <w:szCs w:val="24"/>
              </w:rPr>
              <w:t>Abdominal pain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Abdominal pain, Abdominal pain upper, and A</w:t>
            </w:r>
            <w:r w:rsidRPr="008C30CC">
              <w:rPr>
                <w:rFonts w:ascii="Times New Roman" w:hAnsi="Times New Roman"/>
                <w:color w:val="000000"/>
                <w:sz w:val="24"/>
                <w:szCs w:val="24"/>
              </w:rPr>
              <w:t>bdominal pain lower</w:t>
            </w:r>
          </w:p>
        </w:tc>
      </w:tr>
      <w:tr w:rsidR="00340622" w:rsidRPr="000B2A99" w:rsidTr="004766D9">
        <w:trPr>
          <w:trHeight w:val="81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Atrial arrhythmia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Atrial fibrillation, Bradycardia, S</w:t>
            </w:r>
            <w:r w:rsidRPr="00EF388F">
              <w:rPr>
                <w:rFonts w:ascii="Times New Roman" w:hAnsi="Times New Roman"/>
                <w:color w:val="000000"/>
                <w:sz w:val="24"/>
                <w:szCs w:val="24"/>
              </w:rPr>
              <w:t>inus tachycardia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and Tachycardia</w:t>
            </w:r>
          </w:p>
        </w:tc>
      </w:tr>
      <w:tr w:rsidR="00340622" w:rsidRPr="000B2A99" w:rsidTr="004766D9">
        <w:trPr>
          <w:trHeight w:val="44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Chest pain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Chest pain and N</w:t>
            </w:r>
            <w:r w:rsidRPr="007C1E52">
              <w:rPr>
                <w:rFonts w:ascii="Times New Roman" w:hAnsi="Times New Roman"/>
                <w:color w:val="000000"/>
                <w:sz w:val="24"/>
                <w:szCs w:val="24"/>
              </w:rPr>
              <w:t>on-cardiac chest pain</w:t>
            </w:r>
          </w:p>
        </w:tc>
      </w:tr>
      <w:tr w:rsidR="00340622" w:rsidRPr="000B2A99" w:rsidTr="004766D9">
        <w:trPr>
          <w:trHeight w:val="44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Cough and P</w:t>
            </w:r>
            <w:r w:rsidRPr="008138FB">
              <w:rPr>
                <w:rFonts w:ascii="Times New Roman" w:hAnsi="Times New Roman"/>
                <w:color w:val="000000"/>
                <w:sz w:val="24"/>
                <w:szCs w:val="24"/>
              </w:rPr>
              <w:t>roductive cough</w:t>
            </w:r>
          </w:p>
        </w:tc>
      </w:tr>
      <w:tr w:rsidR="00340622" w:rsidRPr="000B2A99" w:rsidTr="004766D9">
        <w:trPr>
          <w:trHeight w:val="44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Diarrhea, Colitis, and G</w:t>
            </w:r>
            <w:r w:rsidRPr="008C30CC">
              <w:rPr>
                <w:rFonts w:ascii="Times New Roman" w:hAnsi="Times New Roman"/>
                <w:color w:val="000000"/>
                <w:sz w:val="24"/>
                <w:szCs w:val="24"/>
              </w:rPr>
              <w:t>astroenteritis</w:t>
            </w:r>
          </w:p>
        </w:tc>
      </w:tr>
      <w:tr w:rsidR="00340622" w:rsidRPr="000B2A99" w:rsidTr="004766D9">
        <w:trPr>
          <w:trHeight w:val="44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Dysgeusia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Dysgeusia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616218">
              <w:rPr>
                <w:rFonts w:ascii="Times New Roman" w:hAnsi="Times New Roman"/>
                <w:color w:val="000000"/>
                <w:sz w:val="24"/>
                <w:szCs w:val="24"/>
              </w:rPr>
              <w:t>geusia</w:t>
            </w:r>
            <w:proofErr w:type="spellEnd"/>
          </w:p>
        </w:tc>
      </w:tr>
      <w:tr w:rsidR="00340622" w:rsidRPr="000B2A99" w:rsidTr="004766D9">
        <w:trPr>
          <w:trHeight w:val="40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99">
              <w:rPr>
                <w:rFonts w:ascii="Times New Roman" w:hAnsi="Times New Roman"/>
                <w:color w:val="000000"/>
                <w:sz w:val="24"/>
                <w:szCs w:val="24"/>
              </w:rPr>
              <w:t>Dyspnea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Dyspnea, Hypoxia, Bronchospasm, and R</w:t>
            </w:r>
            <w:r w:rsidRPr="00123688">
              <w:rPr>
                <w:rFonts w:ascii="Times New Roman" w:hAnsi="Times New Roman"/>
                <w:color w:val="000000"/>
                <w:sz w:val="24"/>
                <w:szCs w:val="24"/>
              </w:rPr>
              <w:t>espiratory failure</w:t>
            </w:r>
          </w:p>
        </w:tc>
      </w:tr>
      <w:tr w:rsidR="00340622" w:rsidRPr="000B2A99" w:rsidTr="004766D9">
        <w:trPr>
          <w:trHeight w:val="18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99">
              <w:rPr>
                <w:rFonts w:ascii="Times New Roman" w:hAnsi="Times New Roman"/>
                <w:color w:val="000000"/>
                <w:sz w:val="24"/>
                <w:szCs w:val="24"/>
              </w:rPr>
              <w:t>Edema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747B1">
              <w:rPr>
                <w:rFonts w:ascii="Times New Roman" w:hAnsi="Times New Roman"/>
                <w:color w:val="000000"/>
                <w:sz w:val="24"/>
                <w:szCs w:val="24"/>
              </w:rPr>
              <w:t>dema pe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ripheral, Edema, Fluid overload, Fluid retention, and S</w:t>
            </w:r>
            <w:r w:rsidRPr="004747B1">
              <w:rPr>
                <w:rFonts w:ascii="Times New Roman" w:hAnsi="Times New Roman"/>
                <w:color w:val="000000"/>
                <w:sz w:val="24"/>
                <w:szCs w:val="24"/>
              </w:rPr>
              <w:t>welling face</w:t>
            </w:r>
          </w:p>
        </w:tc>
      </w:tr>
      <w:tr w:rsidR="00340622" w:rsidRPr="000B2A99" w:rsidTr="004766D9">
        <w:trPr>
          <w:trHeight w:val="18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Fatigue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Asthenia and F</w:t>
            </w:r>
            <w:r w:rsidRPr="004747B1">
              <w:rPr>
                <w:rFonts w:ascii="Times New Roman" w:hAnsi="Times New Roman"/>
                <w:color w:val="000000"/>
                <w:sz w:val="24"/>
                <w:szCs w:val="24"/>
              </w:rPr>
              <w:t>atigue</w:t>
            </w:r>
          </w:p>
        </w:tc>
      </w:tr>
      <w:tr w:rsidR="00340622" w:rsidRPr="000B2A99" w:rsidTr="004766D9">
        <w:trPr>
          <w:trHeight w:val="18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Hemorrhage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Petechiae, Epistaxis, Hematoma, Contusion, Rectal hemorrhage, Anal hemorrhage, Ecchymosis, Gingival bleeding, Hematuria, Mouth hemorrhage, Purpura, C</w:t>
            </w:r>
            <w:r w:rsidRPr="00D821E0">
              <w:rPr>
                <w:rFonts w:ascii="Times New Roman" w:hAnsi="Times New Roman"/>
                <w:color w:val="000000"/>
                <w:sz w:val="24"/>
                <w:szCs w:val="24"/>
              </w:rPr>
              <w:t>erebral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hemorrhage, Eye contusion, Eye hemorrhage, Gastric hemorrhage, Gastrointestinal hemorrhage, Hematemesis, Hemoptysis, Hemorrhage, Implant site hematoma, Injection site bruising, Retroperitoneal hematoma, T</w:t>
            </w:r>
            <w:r w:rsidRPr="00D821E0">
              <w:rPr>
                <w:rFonts w:ascii="Times New Roman" w:hAnsi="Times New Roman"/>
                <w:color w:val="000000"/>
                <w:sz w:val="24"/>
                <w:szCs w:val="24"/>
              </w:rPr>
              <w:t>hromb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otic thrombocytopenic purpura, T</w:t>
            </w:r>
            <w:r w:rsidRPr="00D821E0">
              <w:rPr>
                <w:rFonts w:ascii="Times New Roman" w:hAnsi="Times New Roman"/>
                <w:color w:val="000000"/>
                <w:sz w:val="24"/>
                <w:szCs w:val="24"/>
              </w:rPr>
              <w:t>racheal hemorr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hage, Conjunctival hemorrhage, D</w:t>
            </w:r>
            <w:r w:rsidRPr="00D821E0">
              <w:rPr>
                <w:rFonts w:ascii="Times New Roman" w:hAnsi="Times New Roman"/>
                <w:color w:val="000000"/>
                <w:sz w:val="24"/>
                <w:szCs w:val="24"/>
              </w:rPr>
              <w:t>issemina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ted intravascular coagulation, Eyelid hematoma, Hematochezia, Hemorrhage intracranial, Hemorrhoidal hemorrhage, L</w:t>
            </w:r>
            <w:r w:rsidRPr="00D821E0">
              <w:rPr>
                <w:rFonts w:ascii="Times New Roman" w:hAnsi="Times New Roman"/>
                <w:color w:val="000000"/>
                <w:sz w:val="24"/>
                <w:szCs w:val="24"/>
              </w:rPr>
              <w:t>owe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gastrointestinal hemorrhage, R</w:t>
            </w:r>
            <w:r w:rsidRPr="00D82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etinal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hemorrhage, and S</w:t>
            </w:r>
            <w:r w:rsidRPr="00D821E0">
              <w:rPr>
                <w:rFonts w:ascii="Times New Roman" w:hAnsi="Times New Roman"/>
                <w:color w:val="000000"/>
                <w:sz w:val="24"/>
                <w:szCs w:val="24"/>
              </w:rPr>
              <w:t>ubdural hematoma</w:t>
            </w:r>
          </w:p>
        </w:tc>
      </w:tr>
      <w:tr w:rsidR="00340622" w:rsidRPr="000B2A99" w:rsidTr="004766D9">
        <w:trPr>
          <w:trHeight w:val="80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Mucositis</w:t>
            </w:r>
          </w:p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Mucosal inflammation, Oropharyngeal pain, Stomatitis, Anal ulcer, Gingival pain, Laryngeal inflammation, Esophagitis, Oral pain, Aphthous ulcer, Mouth ulceration, and P</w:t>
            </w:r>
            <w:r w:rsidRPr="00724F77">
              <w:rPr>
                <w:rFonts w:ascii="Times New Roman" w:hAnsi="Times New Roman"/>
                <w:color w:val="000000"/>
                <w:sz w:val="24"/>
                <w:szCs w:val="24"/>
              </w:rPr>
              <w:t>haryngeal inflammation</w:t>
            </w:r>
          </w:p>
        </w:tc>
      </w:tr>
      <w:tr w:rsidR="00340622" w:rsidRPr="000B2A99" w:rsidTr="004766D9">
        <w:trPr>
          <w:trHeight w:val="3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Muscle spasms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Muscle spasms and M</w:t>
            </w:r>
            <w:r w:rsidRPr="00125116">
              <w:rPr>
                <w:rFonts w:ascii="Times New Roman" w:hAnsi="Times New Roman"/>
                <w:color w:val="000000"/>
                <w:sz w:val="24"/>
                <w:szCs w:val="24"/>
              </w:rPr>
              <w:t>uscle tightness</w:t>
            </w:r>
          </w:p>
        </w:tc>
      </w:tr>
      <w:tr w:rsidR="00340622" w:rsidRPr="000B2A99" w:rsidTr="004766D9">
        <w:trPr>
          <w:trHeight w:val="80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Musculoskeletal pain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Pain in extremity, Arthralgia, Back pain, Myalgia, Musculoskeletal pain, Musculoskeletal chest pain, Neck pain, and B</w:t>
            </w:r>
            <w:r w:rsidRPr="005B7981">
              <w:rPr>
                <w:rFonts w:ascii="Times New Roman" w:hAnsi="Times New Roman"/>
                <w:color w:val="000000"/>
                <w:sz w:val="24"/>
                <w:szCs w:val="24"/>
              </w:rPr>
              <w:t>one pain</w:t>
            </w:r>
          </w:p>
        </w:tc>
      </w:tr>
      <w:tr w:rsidR="00340622" w:rsidRPr="000B2A99" w:rsidTr="004766D9">
        <w:trPr>
          <w:trHeight w:val="33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Pneumonia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Pneumonia, Pneumonia aspiration, and L</w:t>
            </w:r>
            <w:r w:rsidRPr="00037C61">
              <w:rPr>
                <w:color w:val="000000"/>
              </w:rPr>
              <w:t>ung infection</w:t>
            </w:r>
          </w:p>
        </w:tc>
      </w:tr>
      <w:tr w:rsidR="00340622" w:rsidRPr="000B2A99" w:rsidTr="004766D9">
        <w:trPr>
          <w:trHeight w:val="6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99">
              <w:rPr>
                <w:rFonts w:ascii="Times New Roman" w:hAnsi="Times New Roman"/>
                <w:color w:val="000000"/>
                <w:sz w:val="24"/>
                <w:szCs w:val="24"/>
              </w:rPr>
              <w:t>Rash</w:t>
            </w:r>
          </w:p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Rash, Pruritus, Erythema, Skin ulcer, Rash maculo-papular, and R</w:t>
            </w:r>
            <w:r w:rsidRPr="00616218">
              <w:rPr>
                <w:rFonts w:ascii="Times New Roman" w:hAnsi="Times New Roman"/>
                <w:color w:val="000000"/>
                <w:sz w:val="24"/>
                <w:szCs w:val="24"/>
              </w:rPr>
              <w:t>ash pruritic</w:t>
            </w:r>
          </w:p>
        </w:tc>
      </w:tr>
      <w:tr w:rsidR="00340622" w:rsidRPr="000B2A99" w:rsidTr="004766D9">
        <w:trPr>
          <w:trHeight w:val="18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Renal insufficiency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2" w:rsidRPr="000B2A99" w:rsidRDefault="00340622" w:rsidP="004766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87565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ute kidney injury, Blood creatinine increased, Oliguria, and R</w:t>
            </w:r>
            <w:r w:rsidRPr="0087565E">
              <w:rPr>
                <w:rFonts w:ascii="Times New Roman" w:hAnsi="Times New Roman"/>
                <w:color w:val="000000"/>
                <w:sz w:val="24"/>
                <w:szCs w:val="24"/>
              </w:rPr>
              <w:t>enal failure</w:t>
            </w:r>
          </w:p>
        </w:tc>
      </w:tr>
    </w:tbl>
    <w:p w:rsidR="00340622" w:rsidRPr="000B2A99" w:rsidRDefault="00340622" w:rsidP="0034062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B2A99">
        <w:rPr>
          <w:rFonts w:ascii="Times New Roman" w:hAnsi="Times New Roman"/>
          <w:sz w:val="24"/>
          <w:szCs w:val="24"/>
        </w:rPr>
        <w:t xml:space="preserve">NOTE: In the assessment of safety, adverse reactions are always evaluated at the level of standardized terminology, such as the Preferred Terms </w:t>
      </w:r>
      <w:r>
        <w:rPr>
          <w:rFonts w:ascii="Times New Roman" w:hAnsi="Times New Roman"/>
          <w:sz w:val="24"/>
          <w:szCs w:val="24"/>
        </w:rPr>
        <w:t xml:space="preserve">(PTs) </w:t>
      </w:r>
      <w:r w:rsidRPr="000B2A99">
        <w:rPr>
          <w:rFonts w:ascii="Times New Roman" w:hAnsi="Times New Roman"/>
          <w:sz w:val="24"/>
          <w:szCs w:val="24"/>
        </w:rPr>
        <w:t>coded according to the Medical Dictionary for Regulatory Activities (MedDRA). However, coding adverse events by MedDRA frequently provides categorizations that are too granular to allow recognition of a safety issue or to portray the true incidence of an adverse reaction as recognized by a healthcare provider. In such circumstances, grouping of MedDRA terms that describe the same general adverse reaction may provide a more meaningful summary of the safety events. For grouped terms used in Table 3, the actual Preferred Terms are provided here.</w:t>
      </w:r>
    </w:p>
    <w:p w:rsidR="00340622" w:rsidRPr="000B2A99" w:rsidRDefault="00340622" w:rsidP="00340622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340622" w:rsidRDefault="00340622" w:rsidP="00340622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</w:p>
    <w:p w:rsidR="00340622" w:rsidRDefault="00340622" w:rsidP="00340622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</w:p>
    <w:p w:rsidR="00340622" w:rsidRDefault="00340622" w:rsidP="00340622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</w:p>
    <w:p w:rsidR="00340622" w:rsidRDefault="00340622" w:rsidP="00340622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</w:p>
    <w:p w:rsidR="00340622" w:rsidRDefault="00340622" w:rsidP="00340622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</w:p>
    <w:p w:rsidR="00D24137" w:rsidRDefault="00340622">
      <w:bookmarkStart w:id="0" w:name="_GoBack"/>
      <w:bookmarkEnd w:id="0"/>
    </w:p>
    <w:sectPr w:rsidR="00D2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0622"/>
    <w:rsid w:val="00340622"/>
    <w:rsid w:val="00356AC8"/>
    <w:rsid w:val="006B21D4"/>
    <w:rsid w:val="00766445"/>
    <w:rsid w:val="00B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19BA1-209E-4DED-AC81-218DFAC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35D25B09040428EE29E811E75AF41" ma:contentTypeVersion="0" ma:contentTypeDescription="Create a new document." ma:contentTypeScope="" ma:versionID="aa10c387ed1b99695beb0f7781601e0a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7N7HWCAK227J-1621306859-391</_dlc_DocId>
    <_dlc_DocIdUrl xmlns="c593544c-8bc9-488a-9957-4d59a7b3d015">
      <Url>http://sharepoint.fda.gov/orgs/CDER-OHOP-DHP/_layouts/DocIdRedir.aspx?ID=7N7HWCAK227J-1621306859-391</Url>
      <Description>7N7HWCAK227J-1621306859-391</Description>
    </_dlc_DocIdUrl>
  </documentManagement>
</p:properties>
</file>

<file path=customXml/itemProps1.xml><?xml version="1.0" encoding="utf-8"?>
<ds:datastoreItem xmlns:ds="http://schemas.openxmlformats.org/officeDocument/2006/customXml" ds:itemID="{0E59103C-FF40-41DD-A682-6D5B134F5558}"/>
</file>

<file path=customXml/itemProps2.xml><?xml version="1.0" encoding="utf-8"?>
<ds:datastoreItem xmlns:ds="http://schemas.openxmlformats.org/officeDocument/2006/customXml" ds:itemID="{42ABF0D3-D1AD-4583-B059-4690E433F7F1}"/>
</file>

<file path=customXml/itemProps3.xml><?xml version="1.0" encoding="utf-8"?>
<ds:datastoreItem xmlns:ds="http://schemas.openxmlformats.org/officeDocument/2006/customXml" ds:itemID="{4EA0F0CC-D372-4EC7-948A-004E5A5DF1AE}"/>
</file>

<file path=customXml/itemProps4.xml><?xml version="1.0" encoding="utf-8"?>
<ds:datastoreItem xmlns:ds="http://schemas.openxmlformats.org/officeDocument/2006/customXml" ds:itemID="{59EC062A-0B7D-4854-8E4A-779C9D373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Norsworthy, Kelly</dc:creator>
  <cp:keywords/>
  <dc:description/>
  <cp:lastModifiedBy>Norsworthy, Kelly</cp:lastModifiedBy>
  <cp:revision>1</cp:revision>
  <dcterms:created xsi:type="dcterms:W3CDTF">2019-01-24T15:20:00Z</dcterms:created>
  <dcterms:modified xsi:type="dcterms:W3CDTF">2019-01-24T15:20:00Z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0x010100AC035D25B09040428EE29E811E75AF41</vt:lpwstr>
  </property>
  <property fmtid="{D5CDD505-2E9C-101B-9397-08002B2CF9AE}" pid="3" name="_dlc_DocIdItemGuid">
    <vt:lpwstr>ea0aba9f-c71e-41af-ada5-6aae5ddb9a07</vt:lpwstr>
  </property>
</Properties>
</file>