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5A20E" w14:textId="58182FA7" w:rsidR="00E01EAE" w:rsidRPr="00A14ADF" w:rsidRDefault="00E01EAE" w:rsidP="003D3EF4">
      <w:pPr>
        <w:spacing w:line="360" w:lineRule="auto"/>
        <w:outlineLvl w:val="0"/>
        <w:rPr>
          <w:rFonts w:ascii="Calibri" w:hAnsi="Calibri" w:cs="Calibri"/>
          <w:b/>
          <w:szCs w:val="24"/>
        </w:rPr>
      </w:pPr>
      <w:r w:rsidRPr="00A14ADF">
        <w:rPr>
          <w:rFonts w:ascii="Calibri" w:hAnsi="Calibri" w:cs="Calibri"/>
          <w:b/>
          <w:szCs w:val="24"/>
        </w:rPr>
        <w:t>Supplementary Methods</w:t>
      </w:r>
    </w:p>
    <w:p w14:paraId="32E91168" w14:textId="77777777" w:rsidR="00777D1E" w:rsidRPr="00A14ADF" w:rsidRDefault="00777D1E" w:rsidP="006F7635">
      <w:pPr>
        <w:spacing w:line="360" w:lineRule="auto"/>
        <w:rPr>
          <w:rFonts w:ascii="Calibri" w:hAnsi="Calibri" w:cs="Calibri"/>
        </w:rPr>
      </w:pPr>
    </w:p>
    <w:p w14:paraId="5167F2E3" w14:textId="77777777" w:rsidR="00E01EAE" w:rsidRPr="00A14ADF" w:rsidRDefault="00E01EAE" w:rsidP="003D3EF4">
      <w:pPr>
        <w:spacing w:line="360" w:lineRule="auto"/>
        <w:jc w:val="both"/>
        <w:outlineLvl w:val="0"/>
        <w:rPr>
          <w:rFonts w:ascii="Calibri" w:hAnsi="Calibri" w:cs="Calibri"/>
          <w:i/>
          <w:szCs w:val="24"/>
        </w:rPr>
      </w:pPr>
      <w:r w:rsidRPr="00A14ADF">
        <w:rPr>
          <w:rFonts w:ascii="Calibri" w:hAnsi="Calibri" w:cs="Calibri"/>
          <w:i/>
          <w:szCs w:val="24"/>
        </w:rPr>
        <w:t>Antibody conjugated-MPIO synthesis</w:t>
      </w:r>
    </w:p>
    <w:p w14:paraId="1BDDC89B" w14:textId="77777777" w:rsidR="00E01EAE" w:rsidRPr="00A14ADF" w:rsidRDefault="00E01EAE" w:rsidP="00E01EAE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>1</w:t>
      </w:r>
      <w:r w:rsidRPr="00A14ADF">
        <w:rPr>
          <w:rFonts w:ascii="Calibri" w:hAnsi="Calibri" w:cs="Calibri"/>
          <w:szCs w:val="24"/>
        </w:rPr>
        <w:sym w:font="Symbol" w:char="F06D"/>
      </w:r>
      <w:r w:rsidRPr="00A14ADF">
        <w:rPr>
          <w:rFonts w:ascii="Calibri" w:hAnsi="Calibri" w:cs="Calibri"/>
          <w:szCs w:val="24"/>
        </w:rPr>
        <w:t>m diameter MPIO (Dynabeads MyOne Carboxylic Acid; ThermoFisher Scientific) were chemically treated with 1-Ethyl-3-(3-dimethylaminopropyl)carbodiimide (EDC; ThermoFisher Scientific) to yield amide bonds as antibody binding sites. Activated carboxy-MPIO were incubated overnight with 80</w:t>
      </w:r>
      <w:r w:rsidRPr="00A14ADF">
        <w:rPr>
          <w:rFonts w:ascii="Calibri" w:hAnsi="Calibri" w:cs="Calibri"/>
          <w:szCs w:val="24"/>
        </w:rPr>
        <w:sym w:font="Symbol" w:char="F06D"/>
      </w:r>
      <w:r w:rsidRPr="00A14ADF">
        <w:rPr>
          <w:rFonts w:ascii="Calibri" w:hAnsi="Calibri" w:cs="Calibri"/>
          <w:szCs w:val="24"/>
        </w:rPr>
        <w:t>g of rat anti-mouse VCAM-1 low endotoxin/azide-free antibody (cat. no. 1510-14; Cambridge Bioscience) under continuous agitation at room temperature. Rat IgG1 isotype control low endotoxin/azide-free antibody (cat. no. 0116-14; Cambridge Bioscience) was used for control IgG-MPIO. Successful antibody loading (~20,000 antibodies per MPIO) was confirmed via fluorescence-activated cell sorting, compared against standardised calibration beads.</w:t>
      </w:r>
    </w:p>
    <w:p w14:paraId="0F6574E0" w14:textId="77777777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i/>
          <w:szCs w:val="24"/>
        </w:rPr>
      </w:pPr>
    </w:p>
    <w:p w14:paraId="42417C08" w14:textId="77777777" w:rsidR="00E01EAE" w:rsidRPr="00A14ADF" w:rsidRDefault="00E01EAE" w:rsidP="003D3EF4">
      <w:pPr>
        <w:spacing w:line="480" w:lineRule="auto"/>
        <w:jc w:val="both"/>
        <w:outlineLvl w:val="0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i/>
          <w:szCs w:val="24"/>
        </w:rPr>
        <w:t>Immunohistochemistry and immunofluorescence: Mouse tissue</w:t>
      </w:r>
    </w:p>
    <w:p w14:paraId="654023C2" w14:textId="62CED42A" w:rsidR="00E01EAE" w:rsidRPr="00A14ADF" w:rsidRDefault="00E01EAE" w:rsidP="00E01EAE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>After MRI, animals were transcardially perfused under terminal anaesthesia with 0.9% heparinised saline followed by 50ml of periodate lysine paraformaldehyde containing 0.1%</w:t>
      </w:r>
      <w:r w:rsidR="00A57873" w:rsidRPr="00A14ADF">
        <w:rPr>
          <w:rFonts w:ascii="Calibri" w:hAnsi="Calibri" w:cs="Calibri"/>
          <w:szCs w:val="24"/>
        </w:rPr>
        <w:t xml:space="preserve"> (vol/vol)</w:t>
      </w:r>
      <w:r w:rsidRPr="00A14ADF">
        <w:rPr>
          <w:rFonts w:ascii="Calibri" w:hAnsi="Calibri" w:cs="Calibri"/>
          <w:szCs w:val="24"/>
        </w:rPr>
        <w:t xml:space="preserve"> glutaraldehyde. The brains were post-fixed, cryoprotected, embedded, and frozen in isopentane at −20°C, before cryosectioning into 10μm coronal slices. Immunohistochemical analysis was performed to determine tumour number and area, VCAM-1 expression and MPIO binding. All incubations were performed at room temperature, unless otherwise stated.</w:t>
      </w:r>
    </w:p>
    <w:p w14:paraId="68A8B60C" w14:textId="77777777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2B5CCBC5" w14:textId="21E27CD9" w:rsidR="00E01EAE" w:rsidRPr="00A14ADF" w:rsidRDefault="00E01EAE" w:rsidP="00E01EAE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 xml:space="preserve">For immunohistochemical detection of MDA231Br-GFP and SEBTA-001 tumours, 10μm sections were quenched with 0.3% hydrogen peroxide in methanol (Sigma Aldrich) and blocked as per the Mouse-on-Mouse kit protocol (Vector Laboratories) for 1h. Sections were incubated with primary </w:t>
      </w:r>
      <w:r w:rsidRPr="00A14ADF">
        <w:rPr>
          <w:rFonts w:ascii="Calibri" w:hAnsi="Calibri" w:cs="Calibri"/>
          <w:szCs w:val="24"/>
        </w:rPr>
        <w:lastRenderedPageBreak/>
        <w:t>mouse anti-human cytokeratin antibody (12.5μg/</w:t>
      </w:r>
      <w:r w:rsidR="00A57873" w:rsidRPr="00A14ADF">
        <w:rPr>
          <w:rFonts w:ascii="Calibri" w:hAnsi="Calibri" w:cs="Calibri"/>
          <w:szCs w:val="24"/>
        </w:rPr>
        <w:t>ml</w:t>
      </w:r>
      <w:r w:rsidRPr="00A14ADF">
        <w:rPr>
          <w:rFonts w:ascii="Calibri" w:hAnsi="Calibri" w:cs="Calibri"/>
          <w:szCs w:val="24"/>
        </w:rPr>
        <w:t>; cat. no. 345779; BD Biosciences) overnight at 4°C. Subsequently, the sections were washed using PBS, and then incubated with a biotinylated horse anti-mouse IgG secondary antibody (1:200; cat. no. BA-2001; Vector Laboratories) for 1h. Slides were washed and then incubated in Vectorelite ABC kit (1:1:100; Vector Laboratories) for 45min. The peroxidase was visualized using 3,3’-diaminobenzidine (DAB; Sigma Aldrich). Sections were counterstained with 0.05% (vol/vol) cresyl violet (Sigma Aldrich) in distilled water. For H1_DL2 tumours, the protocol was modified through 10% normal goat serum blocking for 1h, overnight incubation with primary rabbit anti-human melan A antibody (1:100; cat. no. ab51061; Abcam) at 4°C and then incubation with biotinylated goat anti-rabbit IgG secondary antibody (1:100; cat. no. BA-1000; Vector Laboratories) for 1h.</w:t>
      </w:r>
    </w:p>
    <w:p w14:paraId="2201FD24" w14:textId="77777777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415906E0" w14:textId="7469BC01" w:rsidR="00E01EAE" w:rsidRPr="00A14ADF" w:rsidRDefault="00E01EAE" w:rsidP="00E01EAE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>For immunohistochemical detection of VCAM-1, sections were incubated overnight at 4°C with the primary rat anti–mouse VCAM-1 antibody (</w:t>
      </w:r>
      <w:r w:rsidR="00A57873" w:rsidRPr="00A14ADF">
        <w:rPr>
          <w:rFonts w:ascii="Calibri" w:hAnsi="Calibri" w:cs="Calibri"/>
          <w:szCs w:val="24"/>
        </w:rPr>
        <w:t>10</w:t>
      </w:r>
      <w:r w:rsidRPr="00A14ADF">
        <w:rPr>
          <w:rFonts w:ascii="Calibri" w:hAnsi="Calibri" w:cs="Calibri"/>
          <w:szCs w:val="24"/>
        </w:rPr>
        <w:t>μg/</w:t>
      </w:r>
      <w:r w:rsidR="00A57873" w:rsidRPr="00A14ADF">
        <w:rPr>
          <w:rFonts w:ascii="Calibri" w:hAnsi="Calibri" w:cs="Calibri"/>
          <w:szCs w:val="24"/>
        </w:rPr>
        <w:t>ml</w:t>
      </w:r>
      <w:r w:rsidRPr="00A14ADF">
        <w:rPr>
          <w:rFonts w:ascii="Calibri" w:hAnsi="Calibri" w:cs="Calibri"/>
          <w:szCs w:val="24"/>
        </w:rPr>
        <w:t xml:space="preserve">; Southern Biotech). After rinsing with PBS, sections were incubated for 1h with a biotinylated goat anti-rat IgG secondary antibody (1:100; Vector Laboratories). VCAM-1 staining was detected using a standard DAB reaction, and sections were counterstained with cresyl violet. </w:t>
      </w:r>
    </w:p>
    <w:p w14:paraId="0F698D14" w14:textId="77777777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5F55F99A" w14:textId="472A2F87" w:rsidR="00E01EAE" w:rsidRPr="00A14ADF" w:rsidRDefault="00E01EAE" w:rsidP="00E01EAE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>For immunofluorescent co-localisation of tumour-associated blood vessels and VCAM-1, sections were quenched with 0.3% (vol/vol) hydrogen peroxide in methanol and then sequentially streptavidin- and biotin-blocked (SP-2002; Vector Laboratories) for 15min, followed by 1h incubation in Tris·NaCl blocking buffer (TNB; PerkinElmer). Sections were incubated overnight at 4 °C with the primary rat anti–mouse VCAM-1 antibody (1</w:t>
      </w:r>
      <w:r w:rsidR="00A57873" w:rsidRPr="00A14ADF">
        <w:rPr>
          <w:rFonts w:ascii="Calibri" w:hAnsi="Calibri" w:cs="Calibri"/>
          <w:szCs w:val="24"/>
        </w:rPr>
        <w:t>0</w:t>
      </w:r>
      <w:r w:rsidRPr="00A14ADF">
        <w:rPr>
          <w:rFonts w:ascii="Calibri" w:hAnsi="Calibri" w:cs="Calibri"/>
          <w:szCs w:val="24"/>
        </w:rPr>
        <w:t>μg/</w:t>
      </w:r>
      <w:r w:rsidR="00A57873" w:rsidRPr="00A14ADF">
        <w:rPr>
          <w:rFonts w:ascii="Calibri" w:hAnsi="Calibri" w:cs="Calibri"/>
          <w:szCs w:val="24"/>
        </w:rPr>
        <w:t>ml</w:t>
      </w:r>
      <w:r w:rsidRPr="00A14ADF">
        <w:rPr>
          <w:rFonts w:ascii="Calibri" w:hAnsi="Calibri" w:cs="Calibri"/>
          <w:szCs w:val="24"/>
        </w:rPr>
        <w:t>; Southern Biotech) and primary goat anti-mouse CD31 antibody (2μg/</w:t>
      </w:r>
      <w:r w:rsidR="00A57873" w:rsidRPr="00A14ADF">
        <w:rPr>
          <w:rFonts w:ascii="Calibri" w:hAnsi="Calibri" w:cs="Calibri"/>
          <w:szCs w:val="24"/>
        </w:rPr>
        <w:t>ml</w:t>
      </w:r>
      <w:r w:rsidRPr="00A14ADF">
        <w:rPr>
          <w:rFonts w:ascii="Calibri" w:hAnsi="Calibri" w:cs="Calibri"/>
          <w:szCs w:val="24"/>
        </w:rPr>
        <w:t xml:space="preserve">; cat. no. AF3628; R&amp;D Systems) in TNB. </w:t>
      </w:r>
      <w:r w:rsidR="00533B72" w:rsidRPr="00A14ADF">
        <w:rPr>
          <w:rFonts w:ascii="Calibri" w:hAnsi="Calibri" w:cs="Calibri"/>
          <w:szCs w:val="24"/>
        </w:rPr>
        <w:t xml:space="preserve">In addition, the sections were incubated </w:t>
      </w:r>
      <w:r w:rsidR="00533B72" w:rsidRPr="00A14ADF">
        <w:rPr>
          <w:rFonts w:ascii="Calibri" w:hAnsi="Calibri" w:cs="Calibri"/>
          <w:szCs w:val="24"/>
        </w:rPr>
        <w:lastRenderedPageBreak/>
        <w:t xml:space="preserve">with antibodies targeting tumour specific markers as follows: primary chicken anti-GFP antibody (1:50; cat. no. ab13970; Abcam) for MDA231Br-GFP, primary rabbit anti-human (1:100; cat. no. ab51061; Abcam) for H1_DL2 and primary mouse anti-human </w:t>
      </w:r>
      <w:r w:rsidR="00BB621C" w:rsidRPr="00A14ADF">
        <w:rPr>
          <w:rFonts w:ascii="Calibri" w:hAnsi="Calibri" w:cs="Calibri"/>
          <w:szCs w:val="24"/>
        </w:rPr>
        <w:t>TTF-1 (1:50; cat. no. ab72876; Abcam) for SEBTA-001.</w:t>
      </w:r>
      <w:r w:rsidR="00533B72" w:rsidRPr="00A14ADF">
        <w:rPr>
          <w:rFonts w:ascii="Calibri" w:hAnsi="Calibri" w:cs="Calibri"/>
          <w:szCs w:val="24"/>
        </w:rPr>
        <w:t xml:space="preserve"> </w:t>
      </w:r>
      <w:r w:rsidRPr="00A14ADF">
        <w:rPr>
          <w:rFonts w:ascii="Calibri" w:hAnsi="Calibri" w:cs="Calibri"/>
          <w:szCs w:val="24"/>
        </w:rPr>
        <w:t xml:space="preserve">After rinsing with PBS, slides were incubated with a </w:t>
      </w:r>
      <w:r w:rsidR="00BB621C" w:rsidRPr="00A14ADF">
        <w:rPr>
          <w:rFonts w:ascii="Calibri" w:hAnsi="Calibri" w:cs="Calibri"/>
          <w:szCs w:val="24"/>
        </w:rPr>
        <w:t xml:space="preserve">corresponding </w:t>
      </w:r>
      <w:r w:rsidRPr="00A14ADF">
        <w:rPr>
          <w:rFonts w:ascii="Calibri" w:hAnsi="Calibri" w:cs="Calibri"/>
          <w:szCs w:val="24"/>
        </w:rPr>
        <w:t>biotinylated IgG secondary antibody</w:t>
      </w:r>
      <w:r w:rsidR="00BB621C" w:rsidRPr="00A14ADF">
        <w:rPr>
          <w:rFonts w:ascii="Calibri" w:hAnsi="Calibri" w:cs="Calibri"/>
          <w:szCs w:val="24"/>
        </w:rPr>
        <w:t xml:space="preserve"> against the tumour specific marker antibody</w:t>
      </w:r>
      <w:r w:rsidRPr="00A14ADF">
        <w:rPr>
          <w:rFonts w:ascii="Calibri" w:hAnsi="Calibri" w:cs="Calibri"/>
          <w:szCs w:val="24"/>
        </w:rPr>
        <w:t xml:space="preserve"> (1:100; Vector Laboratories) in TNB for 30min, washed with PBS, incubated with streptavidin-HRP (1:200; Perkin Elmer) in TNB for 30min, washed, and incubated for 8min in the dark with tyramide signal amplification–biotin (1:100; Perkin Elmer) in dilution buffer. Slides were washed and incubated with a streptavidin-488 fluorophore (1:100; cat. no. SA-5488; Vector Laboratories)</w:t>
      </w:r>
      <w:r w:rsidR="00BB621C" w:rsidRPr="00A14ADF">
        <w:rPr>
          <w:rFonts w:ascii="Calibri" w:hAnsi="Calibri" w:cs="Calibri"/>
          <w:szCs w:val="24"/>
        </w:rPr>
        <w:t>, a secondary donkey anti-rat Dylight 405 fluorophore (1:100; cat. no. 712-476-150-JIR; Stratech)</w:t>
      </w:r>
      <w:r w:rsidRPr="00A14ADF">
        <w:rPr>
          <w:rFonts w:ascii="Calibri" w:hAnsi="Calibri" w:cs="Calibri"/>
          <w:szCs w:val="24"/>
        </w:rPr>
        <w:t xml:space="preserve"> and a secondary rabbit anti-goat 555</w:t>
      </w:r>
      <w:r w:rsidR="00BB621C" w:rsidRPr="00A14ADF">
        <w:rPr>
          <w:rFonts w:ascii="Calibri" w:hAnsi="Calibri" w:cs="Calibri"/>
          <w:szCs w:val="24"/>
        </w:rPr>
        <w:t xml:space="preserve"> fluorophore</w:t>
      </w:r>
      <w:r w:rsidRPr="00A14ADF">
        <w:rPr>
          <w:rFonts w:ascii="Calibri" w:hAnsi="Calibri" w:cs="Calibri"/>
          <w:szCs w:val="24"/>
        </w:rPr>
        <w:t xml:space="preserve"> (1:100; cat. no. A-21431; Invitrogen) for 1h. </w:t>
      </w:r>
      <w:r w:rsidR="00BB621C" w:rsidRPr="00A14ADF">
        <w:rPr>
          <w:rFonts w:ascii="Calibri" w:hAnsi="Calibri" w:cs="Calibri"/>
          <w:szCs w:val="24"/>
        </w:rPr>
        <w:t xml:space="preserve">MDA231Br-GFP sections were incubated with a secondary donkey anti-chicken CF 488A (1:100; cat. no. SAB4600031; Invitrogen) fluorophore </w:t>
      </w:r>
      <w:r w:rsidRPr="00A14ADF">
        <w:rPr>
          <w:rFonts w:ascii="Calibri" w:hAnsi="Calibri" w:cs="Calibri"/>
          <w:szCs w:val="24"/>
        </w:rPr>
        <w:t>Slides were cover-slipped using Vectashield mounting medium.</w:t>
      </w:r>
    </w:p>
    <w:p w14:paraId="005571C6" w14:textId="77777777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68FA70D3" w14:textId="77777777" w:rsidR="00E01EAE" w:rsidRPr="00A14ADF" w:rsidRDefault="00E01EAE" w:rsidP="00E01EAE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>Images were acquired using a confocal microscope (Leica TCS SP8 Confocal platform; Leica Microsystems) and analysed using ImageJ (rsbweb.nih.gov) and Leica Application Suite X (Leica Microsystems) software. Detection ranges were set to eliminate cross-talk between fluorophores: 409–485 nm for DAPI, 494–553 nm for Alexa Fluor 488, and 564–712 nm for Alexa Fluor 555.</w:t>
      </w:r>
    </w:p>
    <w:p w14:paraId="6AC73BD2" w14:textId="77777777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5120024B" w14:textId="3C367FDD" w:rsidR="008969E3" w:rsidRPr="00A14ADF" w:rsidRDefault="008969E3" w:rsidP="00E01EAE">
      <w:pPr>
        <w:spacing w:line="480" w:lineRule="auto"/>
        <w:jc w:val="both"/>
        <w:rPr>
          <w:rFonts w:ascii="Calibri" w:hAnsi="Calibri" w:cs="Calibri"/>
          <w:szCs w:val="24"/>
          <w:u w:val="single"/>
        </w:rPr>
      </w:pPr>
      <w:r w:rsidRPr="00A14ADF">
        <w:rPr>
          <w:rFonts w:ascii="Calibri" w:hAnsi="Calibri" w:cs="Calibri"/>
          <w:i/>
          <w:szCs w:val="24"/>
        </w:rPr>
        <w:t>Quantitation of tumour volume and VCAM-1 expression</w:t>
      </w:r>
    </w:p>
    <w:p w14:paraId="77EA0F81" w14:textId="771C2254" w:rsidR="000D56D2" w:rsidRPr="00A14ADF" w:rsidRDefault="007A2DD3" w:rsidP="00171810">
      <w:pPr>
        <w:spacing w:line="480" w:lineRule="auto"/>
        <w:jc w:val="both"/>
        <w:rPr>
          <w:rFonts w:ascii="Calibri" w:hAnsi="Calibri" w:cs="Calibri"/>
          <w:szCs w:val="24"/>
        </w:rPr>
      </w:pPr>
      <w:r w:rsidRPr="004D7D27">
        <w:rPr>
          <w:rFonts w:ascii="Calibri" w:hAnsi="Calibri" w:cs="Calibri"/>
          <w:szCs w:val="24"/>
        </w:rPr>
        <w:tab/>
      </w:r>
      <w:r w:rsidR="0001796B" w:rsidRPr="004D7D27">
        <w:rPr>
          <w:rFonts w:ascii="Calibri" w:hAnsi="Calibri" w:cs="Calibri"/>
          <w:szCs w:val="24"/>
        </w:rPr>
        <w:t>Alternate</w:t>
      </w:r>
      <w:r w:rsidR="00171810" w:rsidRPr="004D7D27">
        <w:rPr>
          <w:rFonts w:ascii="Calibri" w:hAnsi="Calibri" w:cs="Calibri"/>
          <w:szCs w:val="24"/>
        </w:rPr>
        <w:t xml:space="preserve"> </w:t>
      </w:r>
      <w:r w:rsidR="0001796B" w:rsidRPr="004D7D27">
        <w:rPr>
          <w:rFonts w:ascii="Calibri" w:hAnsi="Calibri" w:cs="Calibri"/>
          <w:szCs w:val="24"/>
        </w:rPr>
        <w:t>sections</w:t>
      </w:r>
      <w:r w:rsidR="000D56D2" w:rsidRPr="004D7D27">
        <w:rPr>
          <w:rFonts w:ascii="Calibri" w:hAnsi="Calibri" w:cs="Calibri"/>
          <w:szCs w:val="24"/>
        </w:rPr>
        <w:t xml:space="preserve"> for each brain</w:t>
      </w:r>
      <w:r w:rsidR="00171810" w:rsidRPr="004D7D27">
        <w:rPr>
          <w:rFonts w:ascii="Calibri" w:hAnsi="Calibri" w:cs="Calibri"/>
          <w:szCs w:val="24"/>
        </w:rPr>
        <w:t xml:space="preserve"> were stained immunohistochemically with tumour-specific markers. Histological </w:t>
      </w:r>
      <w:r w:rsidR="00171810" w:rsidRPr="00A14ADF">
        <w:rPr>
          <w:rFonts w:ascii="Calibri" w:hAnsi="Calibri" w:cs="Calibri"/>
          <w:szCs w:val="24"/>
        </w:rPr>
        <w:t xml:space="preserve">slides were digitally scanned on an Aperio CS2 Brightfield scanner (Leica Biosystems) at x20 magnification. The digital images were visualised using Imagescope (v.12; Leica </w:t>
      </w:r>
      <w:r w:rsidR="00171810" w:rsidRPr="00A14ADF">
        <w:rPr>
          <w:rFonts w:ascii="Calibri" w:hAnsi="Calibri" w:cs="Calibri"/>
          <w:szCs w:val="24"/>
        </w:rPr>
        <w:lastRenderedPageBreak/>
        <w:t>Biosystems) software</w:t>
      </w:r>
      <w:r w:rsidR="00924492" w:rsidRPr="00A14ADF">
        <w:rPr>
          <w:rFonts w:ascii="Calibri" w:hAnsi="Calibri" w:cs="Calibri"/>
          <w:szCs w:val="24"/>
        </w:rPr>
        <w:t xml:space="preserve"> </w:t>
      </w:r>
      <w:r w:rsidR="0076089F" w:rsidRPr="00A14ADF">
        <w:rPr>
          <w:rFonts w:ascii="Calibri" w:hAnsi="Calibri" w:cs="Calibri"/>
          <w:szCs w:val="24"/>
        </w:rPr>
        <w:t>and manually</w:t>
      </w:r>
      <w:r w:rsidR="00171810" w:rsidRPr="00A14ADF">
        <w:rPr>
          <w:rFonts w:ascii="Calibri" w:hAnsi="Calibri" w:cs="Calibri"/>
          <w:szCs w:val="24"/>
        </w:rPr>
        <w:t xml:space="preserve"> annotated to</w:t>
      </w:r>
      <w:r w:rsidR="0001796B" w:rsidRPr="00A14ADF">
        <w:rPr>
          <w:rFonts w:ascii="Calibri" w:hAnsi="Calibri" w:cs="Calibri"/>
          <w:szCs w:val="24"/>
        </w:rPr>
        <w:t xml:space="preserve"> outline individual tumours on each section</w:t>
      </w:r>
      <w:r w:rsidR="00924492" w:rsidRPr="00A14ADF">
        <w:rPr>
          <w:rFonts w:ascii="Calibri" w:hAnsi="Calibri" w:cs="Calibri"/>
          <w:szCs w:val="24"/>
        </w:rPr>
        <w:t xml:space="preserve"> as </w:t>
      </w:r>
      <w:r w:rsidR="00D55F2E" w:rsidRPr="00A14ADF">
        <w:rPr>
          <w:rFonts w:ascii="Calibri" w:hAnsi="Calibri" w:cs="Calibri"/>
          <w:szCs w:val="24"/>
        </w:rPr>
        <w:t>a</w:t>
      </w:r>
      <w:r w:rsidR="00924492" w:rsidRPr="00A14ADF">
        <w:rPr>
          <w:rFonts w:ascii="Calibri" w:hAnsi="Calibri" w:cs="Calibri"/>
          <w:szCs w:val="24"/>
        </w:rPr>
        <w:t xml:space="preserve"> region of interest (ROI). The tumour area was returned for each ROI, in µm</w:t>
      </w:r>
      <w:r w:rsidR="00924492" w:rsidRPr="00A14ADF">
        <w:rPr>
          <w:rFonts w:ascii="Calibri" w:hAnsi="Calibri" w:cs="Calibri"/>
          <w:szCs w:val="24"/>
          <w:vertAlign w:val="superscript"/>
        </w:rPr>
        <w:t>2</w:t>
      </w:r>
      <w:r w:rsidR="00924492" w:rsidRPr="00A14ADF">
        <w:rPr>
          <w:rFonts w:ascii="Calibri" w:hAnsi="Calibri" w:cs="Calibri"/>
          <w:szCs w:val="24"/>
        </w:rPr>
        <w:t>, and missing data for the remaining alternate sections were calculated by linear interpolation. The sum of the tumour are</w:t>
      </w:r>
      <w:r w:rsidR="000D56D2" w:rsidRPr="00A14ADF">
        <w:rPr>
          <w:rFonts w:ascii="Calibri" w:hAnsi="Calibri" w:cs="Calibri"/>
          <w:szCs w:val="24"/>
        </w:rPr>
        <w:t>as</w:t>
      </w:r>
      <w:r w:rsidR="00924492" w:rsidRPr="00A14ADF">
        <w:rPr>
          <w:rFonts w:ascii="Calibri" w:hAnsi="Calibri" w:cs="Calibri"/>
          <w:szCs w:val="24"/>
        </w:rPr>
        <w:t xml:space="preserve"> </w:t>
      </w:r>
      <w:r w:rsidR="000D56D2" w:rsidRPr="00A14ADF">
        <w:rPr>
          <w:rFonts w:ascii="Calibri" w:hAnsi="Calibri" w:cs="Calibri"/>
          <w:szCs w:val="24"/>
        </w:rPr>
        <w:t>was multiplied by the slice thickness (10µm) to determine the total volume of tumours in each brain, reported in mm</w:t>
      </w:r>
      <w:r w:rsidR="000D56D2" w:rsidRPr="00A14ADF">
        <w:rPr>
          <w:rFonts w:ascii="Calibri" w:hAnsi="Calibri" w:cs="Calibri"/>
          <w:szCs w:val="24"/>
          <w:vertAlign w:val="superscript"/>
        </w:rPr>
        <w:t>3</w:t>
      </w:r>
      <w:r w:rsidR="000D56D2" w:rsidRPr="00A14ADF">
        <w:rPr>
          <w:rFonts w:ascii="Calibri" w:hAnsi="Calibri" w:cs="Calibri"/>
          <w:szCs w:val="24"/>
        </w:rPr>
        <w:t xml:space="preserve">. </w:t>
      </w:r>
    </w:p>
    <w:p w14:paraId="7455450A" w14:textId="77777777" w:rsidR="00271599" w:rsidRPr="00A14ADF" w:rsidRDefault="00271599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78E6A21E" w14:textId="64510AE9" w:rsidR="00271599" w:rsidRPr="00A14ADF" w:rsidRDefault="000D56D2" w:rsidP="00D21CB2">
      <w:pPr>
        <w:spacing w:line="480" w:lineRule="auto"/>
        <w:ind w:firstLine="720"/>
        <w:jc w:val="both"/>
        <w:rPr>
          <w:rFonts w:ascii="Calibri" w:hAnsi="Calibri" w:cs="Calibri"/>
          <w:szCs w:val="24"/>
          <w:u w:val="single"/>
        </w:rPr>
      </w:pPr>
      <w:r w:rsidRPr="00A14ADF">
        <w:rPr>
          <w:rFonts w:ascii="Calibri" w:hAnsi="Calibri" w:cs="Calibri"/>
          <w:szCs w:val="24"/>
        </w:rPr>
        <w:t xml:space="preserve">To quantify </w:t>
      </w:r>
      <w:r w:rsidR="00171810" w:rsidRPr="00A14ADF">
        <w:rPr>
          <w:rFonts w:ascii="Calibri" w:hAnsi="Calibri" w:cs="Calibri"/>
          <w:szCs w:val="24"/>
        </w:rPr>
        <w:t>VCAM-1 expression</w:t>
      </w:r>
      <w:r w:rsidR="00D55F2E" w:rsidRPr="00A14ADF">
        <w:rPr>
          <w:rFonts w:ascii="Calibri" w:hAnsi="Calibri" w:cs="Calibri"/>
          <w:szCs w:val="24"/>
        </w:rPr>
        <w:t xml:space="preserve"> in each brain, alternate sections were immunohistochemically stained for VCAM-1 and digitally scanned</w:t>
      </w:r>
      <w:r w:rsidR="00171810" w:rsidRPr="00A14ADF">
        <w:rPr>
          <w:rFonts w:ascii="Calibri" w:hAnsi="Calibri" w:cs="Calibri"/>
          <w:szCs w:val="24"/>
        </w:rPr>
        <w:t xml:space="preserve"> </w:t>
      </w:r>
      <w:r w:rsidR="00D55F2E" w:rsidRPr="00A14ADF">
        <w:rPr>
          <w:rFonts w:ascii="Calibri" w:hAnsi="Calibri" w:cs="Calibri"/>
          <w:szCs w:val="24"/>
        </w:rPr>
        <w:t xml:space="preserve">on an Aperio CS2 Brightfield scanner (Leica Biosystems) at x20 magnification. The digital images were visualised using Imagescope (v.12; Leica Biosystems) software </w:t>
      </w:r>
      <w:r w:rsidR="00FD0DE8" w:rsidRPr="00A14ADF">
        <w:rPr>
          <w:rFonts w:ascii="Calibri" w:hAnsi="Calibri" w:cs="Calibri"/>
          <w:szCs w:val="24"/>
        </w:rPr>
        <w:t>and manually</w:t>
      </w:r>
      <w:r w:rsidR="00D55F2E" w:rsidRPr="00A14ADF">
        <w:rPr>
          <w:rFonts w:ascii="Calibri" w:hAnsi="Calibri" w:cs="Calibri"/>
          <w:szCs w:val="24"/>
        </w:rPr>
        <w:t xml:space="preserve"> annotated to outline the entire section as a region of interest, excluding the choroid plexus and ventricles as these are known sites of false positive staining. U</w:t>
      </w:r>
      <w:r w:rsidR="00171810" w:rsidRPr="00A14ADF">
        <w:rPr>
          <w:rFonts w:ascii="Calibri" w:hAnsi="Calibri" w:cs="Calibri"/>
          <w:szCs w:val="24"/>
        </w:rPr>
        <w:t>sing the in-built Positive Pixel Count v.9 algorithm</w:t>
      </w:r>
      <w:r w:rsidR="00D55F2E" w:rsidRPr="00A14ADF">
        <w:rPr>
          <w:rFonts w:ascii="Calibri" w:hAnsi="Calibri" w:cs="Calibri"/>
          <w:szCs w:val="24"/>
        </w:rPr>
        <w:t xml:space="preserve">, all </w:t>
      </w:r>
      <w:r w:rsidR="00DC0A79" w:rsidRPr="00A14ADF">
        <w:rPr>
          <w:rFonts w:ascii="Calibri" w:hAnsi="Calibri" w:cs="Calibri"/>
          <w:szCs w:val="24"/>
        </w:rPr>
        <w:t>medium</w:t>
      </w:r>
      <w:r w:rsidR="00D55F2E" w:rsidRPr="00A14ADF">
        <w:rPr>
          <w:rFonts w:ascii="Calibri" w:hAnsi="Calibri" w:cs="Calibri"/>
          <w:szCs w:val="24"/>
        </w:rPr>
        <w:t xml:space="preserve"> and strong intensity brown pixels</w:t>
      </w:r>
      <w:r w:rsidR="00DC0A79" w:rsidRPr="00A14ADF">
        <w:rPr>
          <w:rFonts w:ascii="Calibri" w:hAnsi="Calibri" w:cs="Calibri"/>
          <w:szCs w:val="24"/>
        </w:rPr>
        <w:t xml:space="preserve"> (Intensity threshold between 0 to 174</w:t>
      </w:r>
      <w:r w:rsidR="00271599" w:rsidRPr="00A14ADF">
        <w:rPr>
          <w:rFonts w:ascii="Calibri" w:hAnsi="Calibri" w:cs="Calibri"/>
          <w:szCs w:val="24"/>
        </w:rPr>
        <w:t>, intensity th</w:t>
      </w:r>
      <w:r w:rsidR="00FD0DE8" w:rsidRPr="00A14ADF">
        <w:rPr>
          <w:rFonts w:ascii="Calibri" w:hAnsi="Calibri" w:cs="Calibri"/>
          <w:szCs w:val="24"/>
        </w:rPr>
        <w:t>reshold of negative pixels</w:t>
      </w:r>
      <w:r w:rsidR="00271599" w:rsidRPr="00A14ADF">
        <w:rPr>
          <w:rFonts w:ascii="Calibri" w:hAnsi="Calibri" w:cs="Calibri"/>
          <w:szCs w:val="24"/>
        </w:rPr>
        <w:t xml:space="preserve"> = -1, Colour saturation threshold = 0.04, Hue width = 0.5)</w:t>
      </w:r>
      <w:r w:rsidR="00D55F2E" w:rsidRPr="00A14ADF">
        <w:rPr>
          <w:rFonts w:ascii="Calibri" w:hAnsi="Calibri" w:cs="Calibri"/>
          <w:szCs w:val="24"/>
        </w:rPr>
        <w:t xml:space="preserve"> were</w:t>
      </w:r>
      <w:r w:rsidR="00DC0A79" w:rsidRPr="00A14ADF">
        <w:rPr>
          <w:rFonts w:ascii="Calibri" w:hAnsi="Calibri" w:cs="Calibri"/>
          <w:szCs w:val="24"/>
        </w:rPr>
        <w:t xml:space="preserve"> summed for each section and divided by the total area of the corresponding ROI to determine the </w:t>
      </w:r>
      <w:r w:rsidR="00271599" w:rsidRPr="00A14ADF">
        <w:rPr>
          <w:rFonts w:ascii="Calibri" w:hAnsi="Calibri" w:cs="Calibri"/>
          <w:szCs w:val="24"/>
        </w:rPr>
        <w:t xml:space="preserve">VCAM-1 staining, reported as </w:t>
      </w:r>
      <w:r w:rsidR="00DC0A79" w:rsidRPr="00A14ADF">
        <w:rPr>
          <w:rFonts w:ascii="Calibri" w:hAnsi="Calibri" w:cs="Calibri"/>
          <w:szCs w:val="24"/>
        </w:rPr>
        <w:t>number of positive pixels per mm</w:t>
      </w:r>
      <w:r w:rsidR="00DC0A79" w:rsidRPr="00A14ADF">
        <w:rPr>
          <w:rFonts w:ascii="Calibri" w:hAnsi="Calibri" w:cs="Calibri"/>
          <w:szCs w:val="24"/>
          <w:vertAlign w:val="superscript"/>
        </w:rPr>
        <w:t>2</w:t>
      </w:r>
      <w:r w:rsidR="00DC0A79" w:rsidRPr="00A14ADF">
        <w:rPr>
          <w:rFonts w:ascii="Calibri" w:hAnsi="Calibri" w:cs="Calibri"/>
          <w:szCs w:val="24"/>
        </w:rPr>
        <w:t xml:space="preserve"> of brain</w:t>
      </w:r>
      <w:r w:rsidR="00171810" w:rsidRPr="00A14ADF">
        <w:rPr>
          <w:rFonts w:ascii="Calibri" w:hAnsi="Calibri" w:cs="Calibri"/>
          <w:szCs w:val="24"/>
        </w:rPr>
        <w:t>.</w:t>
      </w:r>
    </w:p>
    <w:p w14:paraId="00DD9EC1" w14:textId="77777777" w:rsidR="008969E3" w:rsidRPr="00A14ADF" w:rsidRDefault="008969E3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784EE876" w14:textId="141C8A27" w:rsidR="00E01EAE" w:rsidRPr="00A14ADF" w:rsidRDefault="00321976" w:rsidP="003D3EF4">
      <w:pPr>
        <w:spacing w:line="480" w:lineRule="auto"/>
        <w:jc w:val="both"/>
        <w:outlineLvl w:val="0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i/>
          <w:szCs w:val="24"/>
        </w:rPr>
        <w:t>Immunohistochemistry</w:t>
      </w:r>
      <w:r w:rsidR="00E01EAE" w:rsidRPr="00A14ADF">
        <w:rPr>
          <w:rFonts w:ascii="Calibri" w:hAnsi="Calibri" w:cs="Calibri"/>
          <w:i/>
          <w:szCs w:val="24"/>
        </w:rPr>
        <w:t>: Human tissue</w:t>
      </w:r>
    </w:p>
    <w:p w14:paraId="0638FCC5" w14:textId="25ECB729" w:rsidR="00E01EAE" w:rsidRPr="00A14ADF" w:rsidRDefault="00E01EAE" w:rsidP="00E01EAE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>Three representative cases of human brain metastasis were obtained for each tumour type</w:t>
      </w:r>
      <w:r w:rsidR="00BC3EB1" w:rsidRPr="00A14ADF">
        <w:rPr>
          <w:rFonts w:ascii="Calibri" w:hAnsi="Calibri" w:cs="Calibri"/>
          <w:szCs w:val="24"/>
        </w:rPr>
        <w:t xml:space="preserve">, as previously described </w:t>
      </w:r>
      <w:r w:rsidR="00BC3EB1" w:rsidRPr="00A14ADF">
        <w:rPr>
          <w:rFonts w:ascii="Calibri" w:hAnsi="Calibri" w:cs="Calibri"/>
          <w:szCs w:val="24"/>
        </w:rPr>
        <w:fldChar w:fldCharType="begin"/>
      </w:r>
      <w:r w:rsidR="00BC3EB1" w:rsidRPr="00A14ADF">
        <w:rPr>
          <w:rFonts w:ascii="Calibri" w:hAnsi="Calibri" w:cs="Calibri"/>
          <w:szCs w:val="24"/>
        </w:rPr>
        <w:instrText xml:space="preserve"> ADDIN EN.CITE &lt;EndNote&gt;&lt;Cite&gt;&lt;Author&gt;Zakaria&lt;/Author&gt;&lt;Year&gt;2016&lt;/Year&gt;&lt;RecNum&gt;161&lt;/RecNum&gt;&lt;DisplayText&gt;(1)&lt;/DisplayText&gt;&lt;record&gt;&lt;rec-number&gt;161&lt;/rec-number&gt;&lt;foreign-keys&gt;&lt;key app="EN" db-id="se9rrdf5rx9efle5dewx90e50pr25r9sf9sx" timestamp="1533035130"&gt;161&lt;/key&gt;&lt;/foreign-keys&gt;&lt;ref-type name="Thesis"&gt;32&lt;/ref-type&gt;&lt;contributors&gt;&lt;authors&gt;&lt;author&gt;Zakaria, R.&lt;/author&gt;&lt;/authors&gt;&lt;tertiary-authors&gt;&lt;author&gt;Jenkinson, M. D.&lt;/author&gt;&lt;/tertiary-authors&gt;&lt;/contributors&gt;&lt;titles&gt;&lt;title&gt;Investigation of local brain invasion by cerebral metastases and implications for clinical management&lt;/title&gt;&lt;/titles&gt;&lt;pages&gt;126&lt;/pages&gt;&lt;dates&gt;&lt;year&gt;2016&lt;/year&gt;&lt;/dates&gt;&lt;pub-location&gt;University of Liverpool Repository&lt;/pub-location&gt;&lt;publisher&gt;University of Liverpool&lt;/publisher&gt;&lt;urls&gt;&lt;/urls&gt;&lt;/record&gt;&lt;/Cite&gt;&lt;/EndNote&gt;</w:instrText>
      </w:r>
      <w:r w:rsidR="00BC3EB1" w:rsidRPr="00A14ADF">
        <w:rPr>
          <w:rFonts w:ascii="Calibri" w:hAnsi="Calibri" w:cs="Calibri"/>
          <w:szCs w:val="24"/>
        </w:rPr>
        <w:fldChar w:fldCharType="separate"/>
      </w:r>
      <w:r w:rsidR="00BC3EB1" w:rsidRPr="00A14ADF">
        <w:rPr>
          <w:rFonts w:ascii="Calibri" w:hAnsi="Calibri" w:cs="Calibri"/>
          <w:noProof/>
          <w:szCs w:val="24"/>
        </w:rPr>
        <w:t>(1)</w:t>
      </w:r>
      <w:r w:rsidR="00BC3EB1" w:rsidRPr="00A14ADF">
        <w:rPr>
          <w:rFonts w:ascii="Calibri" w:hAnsi="Calibri" w:cs="Calibri"/>
          <w:szCs w:val="24"/>
        </w:rPr>
        <w:fldChar w:fldCharType="end"/>
      </w:r>
      <w:r w:rsidRPr="00A14ADF">
        <w:rPr>
          <w:rFonts w:ascii="Calibri" w:hAnsi="Calibri" w:cs="Calibri"/>
          <w:szCs w:val="24"/>
        </w:rPr>
        <w:t>; breast cancer, lung adenocarcinoma and melanoma (Walton Research Tissue Bank reference: 11/WNo03/02).</w:t>
      </w:r>
      <w:r w:rsidR="00644EDF" w:rsidRPr="00A14ADF">
        <w:rPr>
          <w:rFonts w:ascii="Calibri" w:hAnsi="Calibri" w:cs="Calibri"/>
          <w:szCs w:val="24"/>
        </w:rPr>
        <w:t xml:space="preserve"> </w:t>
      </w:r>
      <w:r w:rsidRPr="00A14ADF">
        <w:rPr>
          <w:rFonts w:ascii="Calibri" w:hAnsi="Calibri" w:cs="Calibri"/>
          <w:szCs w:val="24"/>
        </w:rPr>
        <w:t xml:space="preserve">Together with one VCAM-1 positive control brain sample (nonspecific inflammation), the samples were examined to assess VCAM-1 up-regulation; 6μm thick sections were cut from paraffin-embedded, formalin-fixed surgical material and processed. For immunohistochemistry, sections were dewaxed, rehydrated, and quenched. Blocking was achieved with 10% normal goat serum in PBS. A rabbit anti-human VCAM-1 primary antibody (20μg/100μl; Santa </w:t>
      </w:r>
      <w:r w:rsidRPr="00A14ADF">
        <w:rPr>
          <w:rFonts w:ascii="Calibri" w:hAnsi="Calibri" w:cs="Calibri"/>
          <w:szCs w:val="24"/>
        </w:rPr>
        <w:lastRenderedPageBreak/>
        <w:t>Cruz Biotechnology) was used, followed by biotinylated goat anti-rabbit IgG secondary antibody (1:200; Vector Laboratories) and visualized with DAB substrate as the chromogen. Sections were counterstained with cresyl violet in distilled water.</w:t>
      </w:r>
    </w:p>
    <w:p w14:paraId="5345B575" w14:textId="77777777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344F2392" w14:textId="77777777" w:rsidR="00E01EAE" w:rsidRPr="00A14ADF" w:rsidRDefault="00E01EAE" w:rsidP="00D21CB2">
      <w:pPr>
        <w:spacing w:line="480" w:lineRule="auto"/>
        <w:ind w:firstLine="720"/>
        <w:jc w:val="both"/>
        <w:rPr>
          <w:rFonts w:ascii="Calibri" w:hAnsi="Calibri" w:cs="Calibri"/>
          <w:szCs w:val="24"/>
        </w:rPr>
      </w:pPr>
      <w:r w:rsidRPr="00A14ADF">
        <w:rPr>
          <w:rFonts w:ascii="Calibri" w:hAnsi="Calibri" w:cs="Calibri"/>
          <w:szCs w:val="24"/>
        </w:rPr>
        <w:t>Histological slides were digitally scanned on an Aperio CS2 Brightfield scanner (Leica Biosystems) at x20 magnification and analysed using Imagescope (v.12; Leica Biosystems) software for assessment of VCAM-1 vessel proximity to tumour edge.</w:t>
      </w:r>
    </w:p>
    <w:p w14:paraId="41565D83" w14:textId="77777777" w:rsidR="001C0975" w:rsidRPr="00A14ADF" w:rsidRDefault="001C0975" w:rsidP="001C0975">
      <w:pPr>
        <w:pStyle w:val="SMText"/>
        <w:ind w:firstLine="0"/>
        <w:rPr>
          <w:rFonts w:ascii="Calibri" w:hAnsi="Calibri" w:cs="Calibri"/>
          <w:sz w:val="22"/>
          <w:szCs w:val="22"/>
        </w:rPr>
      </w:pPr>
    </w:p>
    <w:p w14:paraId="3CBD8973" w14:textId="1F971658" w:rsidR="00E01EAE" w:rsidRPr="00A14ADF" w:rsidRDefault="00E01EAE">
      <w:pPr>
        <w:rPr>
          <w:rFonts w:ascii="Calibri" w:hAnsi="Calibri" w:cs="Calibri"/>
          <w:sz w:val="22"/>
          <w:szCs w:val="22"/>
        </w:rPr>
      </w:pPr>
      <w:r w:rsidRPr="00A14ADF">
        <w:rPr>
          <w:rFonts w:ascii="Calibri" w:hAnsi="Calibri" w:cs="Calibri"/>
          <w:sz w:val="22"/>
          <w:szCs w:val="22"/>
        </w:rPr>
        <w:br w:type="page"/>
      </w:r>
    </w:p>
    <w:p w14:paraId="07263329" w14:textId="77777777" w:rsidR="00E01EAE" w:rsidRPr="00A14ADF" w:rsidRDefault="00E01EAE" w:rsidP="003D3EF4">
      <w:pPr>
        <w:outlineLvl w:val="0"/>
        <w:rPr>
          <w:rFonts w:ascii="Calibri" w:hAnsi="Calibri" w:cs="Calibri"/>
          <w:b/>
        </w:rPr>
      </w:pPr>
      <w:r w:rsidRPr="00A14ADF">
        <w:rPr>
          <w:rFonts w:ascii="Calibri" w:hAnsi="Calibri" w:cs="Calibri"/>
          <w:b/>
        </w:rPr>
        <w:lastRenderedPageBreak/>
        <w:t>Supplementary Figures</w:t>
      </w:r>
    </w:p>
    <w:p w14:paraId="4BC61FBF" w14:textId="77777777" w:rsidR="00636A95" w:rsidRPr="00A14ADF" w:rsidRDefault="00636A95" w:rsidP="003D3EF4">
      <w:pPr>
        <w:outlineLvl w:val="0"/>
        <w:rPr>
          <w:rFonts w:ascii="Calibri" w:hAnsi="Calibri" w:cs="Calibri"/>
          <w:b/>
        </w:rPr>
      </w:pPr>
    </w:p>
    <w:p w14:paraId="0ABCBEDB" w14:textId="67DC17BC" w:rsidR="00636A95" w:rsidRPr="00A14ADF" w:rsidRDefault="005A462C" w:rsidP="00636A95">
      <w:pPr>
        <w:jc w:val="center"/>
        <w:outlineLvl w:val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GB" w:eastAsia="zh-TW"/>
        </w:rPr>
        <w:drawing>
          <wp:inline distT="0" distB="0" distL="0" distR="0" wp14:anchorId="0187663C" wp14:editId="3C9D6CA8">
            <wp:extent cx="3200263" cy="5709037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171" cy="57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BD63" w14:textId="77777777" w:rsidR="00636A95" w:rsidRPr="00A14ADF" w:rsidRDefault="00636A95" w:rsidP="00636A95">
      <w:pPr>
        <w:rPr>
          <w:rFonts w:ascii="Calibri" w:hAnsi="Calibri" w:cs="Calibri"/>
        </w:rPr>
      </w:pPr>
    </w:p>
    <w:p w14:paraId="1CC286F6" w14:textId="77777777" w:rsidR="00636A95" w:rsidRPr="00A14ADF" w:rsidRDefault="00636A95" w:rsidP="00636A95">
      <w:pPr>
        <w:rPr>
          <w:rFonts w:ascii="Calibri" w:hAnsi="Calibri" w:cs="Calibri"/>
        </w:rPr>
      </w:pPr>
    </w:p>
    <w:p w14:paraId="07200924" w14:textId="2AB5E383" w:rsidR="00636A95" w:rsidRPr="00A14ADF" w:rsidRDefault="00636A95" w:rsidP="00636A95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A14ADF">
        <w:rPr>
          <w:rFonts w:ascii="Calibri" w:hAnsi="Calibri" w:cs="Calibri"/>
          <w:b/>
          <w:sz w:val="22"/>
          <w:szCs w:val="22"/>
        </w:rPr>
        <w:t>Supplementary Figure S1.</w:t>
      </w:r>
      <w:r w:rsidRPr="00A14ADF">
        <w:rPr>
          <w:rFonts w:ascii="Calibri" w:hAnsi="Calibri" w:cs="Calibri"/>
          <w:sz w:val="22"/>
          <w:szCs w:val="22"/>
        </w:rPr>
        <w:t xml:space="preserve"> </w:t>
      </w:r>
      <w:r w:rsidR="000308C8" w:rsidRPr="00A14ADF">
        <w:rPr>
          <w:rFonts w:ascii="Calibri" w:hAnsi="Calibri" w:cs="Calibri"/>
          <w:b/>
          <w:sz w:val="22"/>
          <w:szCs w:val="22"/>
        </w:rPr>
        <w:t>(A)</w:t>
      </w:r>
      <w:r w:rsidR="000308C8" w:rsidRPr="00A14ADF">
        <w:rPr>
          <w:rFonts w:ascii="Calibri" w:hAnsi="Calibri" w:cs="Calibri"/>
          <w:sz w:val="22"/>
          <w:szCs w:val="22"/>
        </w:rPr>
        <w:t xml:space="preserve"> </w:t>
      </w:r>
      <w:r w:rsidR="00E237A2" w:rsidRPr="00A14ADF">
        <w:rPr>
          <w:rFonts w:ascii="Calibri" w:hAnsi="Calibri" w:cs="Calibri"/>
          <w:sz w:val="22"/>
          <w:szCs w:val="22"/>
        </w:rPr>
        <w:t>3D reconstruction of a r</w:t>
      </w:r>
      <w:r w:rsidR="00F1208E" w:rsidRPr="00A14ADF">
        <w:rPr>
          <w:rFonts w:ascii="Calibri" w:hAnsi="Calibri" w:cs="Calibri"/>
          <w:sz w:val="22"/>
          <w:szCs w:val="22"/>
        </w:rPr>
        <w:t>epresentative post-processing mask of a mouse brain with MDA231Br-GFP metastases following intravenous injection of VCAM-MPIO</w:t>
      </w:r>
      <w:r w:rsidRPr="00A14ADF">
        <w:rPr>
          <w:rFonts w:ascii="Calibri" w:hAnsi="Calibri" w:cs="Calibri"/>
          <w:sz w:val="22"/>
          <w:szCs w:val="22"/>
        </w:rPr>
        <w:t xml:space="preserve"> </w:t>
      </w:r>
      <w:r w:rsidR="005C0B4F" w:rsidRPr="00A14ADF">
        <w:rPr>
          <w:rFonts w:ascii="Calibri" w:hAnsi="Calibri" w:cs="Calibri"/>
          <w:sz w:val="22"/>
          <w:szCs w:val="22"/>
        </w:rPr>
        <w:t>showing</w:t>
      </w:r>
      <w:r w:rsidRPr="00A14ADF">
        <w:rPr>
          <w:rFonts w:ascii="Calibri" w:hAnsi="Calibri" w:cs="Calibri"/>
          <w:sz w:val="22"/>
          <w:szCs w:val="22"/>
        </w:rPr>
        <w:t xml:space="preserve"> </w:t>
      </w:r>
      <w:r w:rsidR="0055496E" w:rsidRPr="00A14ADF">
        <w:rPr>
          <w:rFonts w:ascii="Calibri" w:hAnsi="Calibri" w:cs="Calibri"/>
          <w:sz w:val="22"/>
          <w:szCs w:val="22"/>
        </w:rPr>
        <w:t>segmented hypointense regions classified by co</w:t>
      </w:r>
      <w:r w:rsidR="00F53847" w:rsidRPr="00A14ADF">
        <w:rPr>
          <w:rFonts w:ascii="Calibri" w:hAnsi="Calibri" w:cs="Calibri"/>
          <w:sz w:val="22"/>
          <w:szCs w:val="22"/>
        </w:rPr>
        <w:t xml:space="preserve">lour: </w:t>
      </w:r>
      <w:r w:rsidR="00EF49B4" w:rsidRPr="00A14ADF">
        <w:rPr>
          <w:rFonts w:ascii="Calibri" w:hAnsi="Calibri" w:cs="Calibri"/>
          <w:sz w:val="22"/>
          <w:szCs w:val="22"/>
        </w:rPr>
        <w:t>green (1 voxel)</w:t>
      </w:r>
      <w:r w:rsidR="00F53847" w:rsidRPr="00A14ADF">
        <w:rPr>
          <w:rFonts w:ascii="Calibri" w:hAnsi="Calibri" w:cs="Calibri"/>
          <w:sz w:val="22"/>
          <w:szCs w:val="22"/>
        </w:rPr>
        <w:t xml:space="preserve">, red </w:t>
      </w:r>
      <w:r w:rsidR="0055496E" w:rsidRPr="00A14ADF">
        <w:rPr>
          <w:rFonts w:ascii="Calibri" w:hAnsi="Calibri" w:cs="Calibri"/>
          <w:sz w:val="22"/>
          <w:szCs w:val="22"/>
        </w:rPr>
        <w:t xml:space="preserve">(between 2 and </w:t>
      </w:r>
      <w:r w:rsidR="00EF49B4" w:rsidRPr="00A14ADF">
        <w:rPr>
          <w:rFonts w:ascii="Calibri" w:hAnsi="Calibri" w:cs="Calibri"/>
          <w:sz w:val="22"/>
          <w:szCs w:val="22"/>
        </w:rPr>
        <w:t>19</w:t>
      </w:r>
      <w:r w:rsidR="0055496E" w:rsidRPr="00A14ADF">
        <w:rPr>
          <w:rFonts w:ascii="Calibri" w:hAnsi="Calibri" w:cs="Calibri"/>
          <w:sz w:val="22"/>
          <w:szCs w:val="22"/>
        </w:rPr>
        <w:t xml:space="preserve"> voxels) and</w:t>
      </w:r>
      <w:r w:rsidR="00EF49B4" w:rsidRPr="00A14ADF">
        <w:rPr>
          <w:rFonts w:ascii="Calibri" w:hAnsi="Calibri" w:cs="Calibri"/>
          <w:sz w:val="22"/>
          <w:szCs w:val="22"/>
        </w:rPr>
        <w:t xml:space="preserve"> yellow (≥20 voxels)</w:t>
      </w:r>
      <w:r w:rsidRPr="00A14ADF">
        <w:rPr>
          <w:rFonts w:ascii="Calibri" w:hAnsi="Calibri" w:cs="Calibri"/>
          <w:sz w:val="22"/>
          <w:szCs w:val="22"/>
        </w:rPr>
        <w:t>.</w:t>
      </w:r>
      <w:r w:rsidR="0055496E" w:rsidRPr="00A14ADF">
        <w:rPr>
          <w:rFonts w:ascii="Calibri" w:hAnsi="Calibri" w:cs="Calibri"/>
          <w:sz w:val="22"/>
          <w:szCs w:val="22"/>
        </w:rPr>
        <w:t xml:space="preserve"> </w:t>
      </w:r>
      <w:r w:rsidR="0055496E" w:rsidRPr="00A14ADF">
        <w:rPr>
          <w:rFonts w:ascii="Calibri" w:hAnsi="Calibri" w:cs="Calibri"/>
          <w:b/>
          <w:sz w:val="22"/>
          <w:szCs w:val="22"/>
        </w:rPr>
        <w:t>(</w:t>
      </w:r>
      <w:r w:rsidR="005C0B4F" w:rsidRPr="00A14ADF">
        <w:rPr>
          <w:rFonts w:ascii="Calibri" w:hAnsi="Calibri" w:cs="Calibri"/>
          <w:b/>
          <w:sz w:val="22"/>
          <w:szCs w:val="22"/>
        </w:rPr>
        <w:t>B</w:t>
      </w:r>
      <w:r w:rsidR="0055496E" w:rsidRPr="00A14ADF">
        <w:rPr>
          <w:rFonts w:ascii="Calibri" w:hAnsi="Calibri" w:cs="Calibri"/>
          <w:b/>
          <w:sz w:val="22"/>
          <w:szCs w:val="22"/>
        </w:rPr>
        <w:t>)</w:t>
      </w:r>
      <w:r w:rsidRPr="00A14ADF">
        <w:rPr>
          <w:rFonts w:ascii="Calibri" w:hAnsi="Calibri" w:cs="Calibri"/>
          <w:sz w:val="22"/>
          <w:szCs w:val="22"/>
        </w:rPr>
        <w:t xml:space="preserve"> </w:t>
      </w:r>
      <w:r w:rsidR="0055496E" w:rsidRPr="00A14ADF">
        <w:rPr>
          <w:rFonts w:ascii="Calibri" w:hAnsi="Calibri" w:cs="Calibri"/>
          <w:sz w:val="22"/>
          <w:szCs w:val="22"/>
        </w:rPr>
        <w:t xml:space="preserve">The post-processing mask was overlaid on the corresponding </w:t>
      </w:r>
      <w:r w:rsidR="0055496E" w:rsidRPr="00A14ADF">
        <w:rPr>
          <w:rFonts w:ascii="Calibri" w:hAnsi="Calibri" w:cs="Calibri"/>
          <w:i/>
          <w:sz w:val="22"/>
          <w:szCs w:val="22"/>
        </w:rPr>
        <w:t>T</w:t>
      </w:r>
      <w:r w:rsidR="0055496E" w:rsidRPr="00A14ADF">
        <w:rPr>
          <w:rFonts w:ascii="Calibri" w:hAnsi="Calibri" w:cs="Calibri"/>
          <w:sz w:val="22"/>
          <w:szCs w:val="22"/>
        </w:rPr>
        <w:t>2*-weighted images to verify the accuracy of the analysis</w:t>
      </w:r>
      <w:r w:rsidR="003520C1" w:rsidRPr="00A14ADF">
        <w:rPr>
          <w:rFonts w:ascii="Calibri" w:hAnsi="Calibri" w:cs="Calibri"/>
          <w:sz w:val="22"/>
          <w:szCs w:val="22"/>
        </w:rPr>
        <w:t>; scale bar = 1.5mm</w:t>
      </w:r>
      <w:r w:rsidRPr="00A14ADF">
        <w:rPr>
          <w:rFonts w:ascii="Calibri" w:hAnsi="Calibri" w:cs="Calibri"/>
          <w:sz w:val="22"/>
          <w:szCs w:val="22"/>
        </w:rPr>
        <w:t>.</w:t>
      </w:r>
    </w:p>
    <w:p w14:paraId="6DC058EA" w14:textId="77777777" w:rsidR="00636A95" w:rsidRPr="00A14ADF" w:rsidRDefault="00636A95" w:rsidP="00636A95">
      <w:pPr>
        <w:rPr>
          <w:rFonts w:ascii="Calibri" w:hAnsi="Calibri" w:cs="Calibri"/>
        </w:rPr>
      </w:pPr>
    </w:p>
    <w:p w14:paraId="01134B42" w14:textId="0138DA68" w:rsidR="00E01EAE" w:rsidRPr="00A14ADF" w:rsidRDefault="005A462C" w:rsidP="002E06F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GB" w:eastAsia="zh-TW"/>
        </w:rPr>
        <w:lastRenderedPageBreak/>
        <w:drawing>
          <wp:inline distT="0" distB="0" distL="0" distR="0" wp14:anchorId="7D1F842C" wp14:editId="25D99400">
            <wp:extent cx="3304039" cy="65166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39" cy="651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DE9E" w14:textId="77777777" w:rsidR="00E01EAE" w:rsidRPr="00A14ADF" w:rsidRDefault="00E01EAE" w:rsidP="00E01EAE">
      <w:pPr>
        <w:rPr>
          <w:rFonts w:ascii="Calibri" w:hAnsi="Calibri" w:cs="Calibri"/>
        </w:rPr>
      </w:pPr>
    </w:p>
    <w:p w14:paraId="597B43B7" w14:textId="77777777" w:rsidR="00E01EAE" w:rsidRPr="00A14ADF" w:rsidRDefault="00E01EAE" w:rsidP="00E01EAE">
      <w:pPr>
        <w:rPr>
          <w:rFonts w:ascii="Calibri" w:hAnsi="Calibri" w:cs="Calibri"/>
        </w:rPr>
      </w:pPr>
    </w:p>
    <w:p w14:paraId="78501A38" w14:textId="25EEAAD9" w:rsidR="00E01EAE" w:rsidRPr="00A14ADF" w:rsidRDefault="00E01EAE" w:rsidP="00E01EAE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A14ADF">
        <w:rPr>
          <w:rFonts w:ascii="Calibri" w:hAnsi="Calibri" w:cs="Calibri"/>
          <w:b/>
          <w:sz w:val="22"/>
          <w:szCs w:val="22"/>
        </w:rPr>
        <w:t>Supplementary Figure S</w:t>
      </w:r>
      <w:r w:rsidR="00636A95" w:rsidRPr="00A14ADF">
        <w:rPr>
          <w:rFonts w:ascii="Calibri" w:hAnsi="Calibri" w:cs="Calibri"/>
          <w:b/>
          <w:sz w:val="22"/>
          <w:szCs w:val="22"/>
        </w:rPr>
        <w:t>2</w:t>
      </w:r>
      <w:r w:rsidRPr="00A14ADF">
        <w:rPr>
          <w:rFonts w:ascii="Calibri" w:hAnsi="Calibri" w:cs="Calibri"/>
          <w:b/>
          <w:sz w:val="22"/>
          <w:szCs w:val="22"/>
        </w:rPr>
        <w:t>.</w:t>
      </w:r>
      <w:r w:rsidRPr="00A14ADF">
        <w:rPr>
          <w:rFonts w:ascii="Calibri" w:hAnsi="Calibri" w:cs="Calibri"/>
          <w:sz w:val="22"/>
          <w:szCs w:val="22"/>
        </w:rPr>
        <w:t xml:space="preserve"> Selected </w:t>
      </w:r>
      <w:r w:rsidRPr="00A14ADF">
        <w:rPr>
          <w:rFonts w:ascii="Calibri" w:hAnsi="Calibri" w:cs="Calibri"/>
          <w:i/>
          <w:sz w:val="22"/>
          <w:szCs w:val="22"/>
        </w:rPr>
        <w:t>T</w:t>
      </w:r>
      <w:r w:rsidRPr="00A14ADF">
        <w:rPr>
          <w:rFonts w:ascii="Calibri" w:hAnsi="Calibri" w:cs="Calibri"/>
          <w:sz w:val="22"/>
          <w:szCs w:val="22"/>
          <w:vertAlign w:val="subscript"/>
        </w:rPr>
        <w:t>2</w:t>
      </w:r>
      <w:r w:rsidRPr="00A14ADF">
        <w:rPr>
          <w:rFonts w:ascii="Calibri" w:hAnsi="Calibri" w:cs="Calibri"/>
          <w:sz w:val="22"/>
          <w:szCs w:val="22"/>
          <w:vertAlign w:val="superscript"/>
        </w:rPr>
        <w:t>*</w:t>
      </w:r>
      <w:r w:rsidRPr="00A14ADF">
        <w:rPr>
          <w:rFonts w:ascii="Calibri" w:hAnsi="Calibri" w:cs="Calibri"/>
          <w:sz w:val="22"/>
          <w:szCs w:val="22"/>
        </w:rPr>
        <w:t xml:space="preserve">-weighted images from </w:t>
      </w:r>
      <w:r w:rsidRPr="00A14ADF">
        <w:rPr>
          <w:rFonts w:ascii="Calibri" w:hAnsi="Calibri" w:cs="Calibri"/>
          <w:b/>
          <w:sz w:val="22"/>
          <w:szCs w:val="22"/>
        </w:rPr>
        <w:t>(A)</w:t>
      </w:r>
      <w:r w:rsidRPr="00A14ADF">
        <w:rPr>
          <w:rFonts w:ascii="Calibri" w:hAnsi="Calibri" w:cs="Calibri"/>
          <w:sz w:val="22"/>
          <w:szCs w:val="22"/>
        </w:rPr>
        <w:t xml:space="preserve"> a naïve mouse following intravenous injection of VCAM-MPIO and </w:t>
      </w:r>
      <w:r w:rsidRPr="00A14ADF">
        <w:rPr>
          <w:rFonts w:ascii="Calibri" w:hAnsi="Calibri" w:cs="Calibri"/>
          <w:b/>
          <w:sz w:val="22"/>
          <w:szCs w:val="22"/>
        </w:rPr>
        <w:t>(B)</w:t>
      </w:r>
      <w:r w:rsidRPr="00A14ADF">
        <w:rPr>
          <w:rFonts w:ascii="Calibri" w:hAnsi="Calibri" w:cs="Calibri"/>
          <w:sz w:val="22"/>
          <w:szCs w:val="22"/>
        </w:rPr>
        <w:t xml:space="preserve"> a mouse bearing MDA231Br-GFP metastases following in</w:t>
      </w:r>
      <w:r w:rsidR="002E06FC" w:rsidRPr="00A14ADF">
        <w:rPr>
          <w:rFonts w:ascii="Calibri" w:hAnsi="Calibri" w:cs="Calibri"/>
          <w:sz w:val="22"/>
          <w:szCs w:val="22"/>
        </w:rPr>
        <w:t>travenous injection of IgG-MPIO; scale bar = 1.5mm.</w:t>
      </w:r>
      <w:r w:rsidRPr="00A14ADF">
        <w:rPr>
          <w:rFonts w:ascii="Calibri" w:hAnsi="Calibri" w:cs="Calibri"/>
          <w:sz w:val="22"/>
          <w:szCs w:val="22"/>
        </w:rPr>
        <w:t xml:space="preserve"> Minimal background (non-specific) hypointensities are evident.</w:t>
      </w:r>
    </w:p>
    <w:p w14:paraId="340AC1DE" w14:textId="77777777" w:rsidR="00E01EAE" w:rsidRPr="00A14ADF" w:rsidRDefault="00E01EAE" w:rsidP="00E01EAE">
      <w:pPr>
        <w:rPr>
          <w:rFonts w:ascii="Calibri" w:hAnsi="Calibri" w:cs="Calibri"/>
        </w:rPr>
      </w:pPr>
      <w:r w:rsidRPr="00A14ADF">
        <w:rPr>
          <w:rFonts w:ascii="Calibri" w:hAnsi="Calibri" w:cs="Calibri"/>
        </w:rPr>
        <w:br w:type="page"/>
      </w:r>
    </w:p>
    <w:p w14:paraId="565C050A" w14:textId="1A597CD0" w:rsidR="00E01EAE" w:rsidRPr="00A14ADF" w:rsidRDefault="005A462C" w:rsidP="002E06FC">
      <w:pPr>
        <w:spacing w:line="48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GB" w:eastAsia="zh-TW"/>
        </w:rPr>
        <w:lastRenderedPageBreak/>
        <w:drawing>
          <wp:inline distT="0" distB="0" distL="0" distR="0" wp14:anchorId="7615E9D6" wp14:editId="789CFB01">
            <wp:extent cx="3840480" cy="581173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74" cy="581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CCDA" w14:textId="77777777" w:rsidR="002E06FC" w:rsidRPr="00A14ADF" w:rsidRDefault="002E06FC" w:rsidP="002E06FC">
      <w:pPr>
        <w:spacing w:line="480" w:lineRule="auto"/>
        <w:jc w:val="center"/>
        <w:rPr>
          <w:rFonts w:ascii="Calibri" w:hAnsi="Calibri" w:cs="Calibri"/>
          <w:b/>
        </w:rPr>
      </w:pPr>
    </w:p>
    <w:p w14:paraId="374AB8F6" w14:textId="79C9973A" w:rsidR="00E01EAE" w:rsidRPr="00A14ADF" w:rsidRDefault="00E01EAE" w:rsidP="002E06FC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A14ADF">
        <w:rPr>
          <w:rFonts w:ascii="Calibri" w:hAnsi="Calibri" w:cs="Calibri"/>
          <w:b/>
          <w:sz w:val="22"/>
          <w:szCs w:val="22"/>
        </w:rPr>
        <w:t>Supplementary Figure S</w:t>
      </w:r>
      <w:r w:rsidR="00636A95" w:rsidRPr="00A14ADF">
        <w:rPr>
          <w:rFonts w:ascii="Calibri" w:hAnsi="Calibri" w:cs="Calibri"/>
          <w:b/>
          <w:sz w:val="22"/>
          <w:szCs w:val="22"/>
        </w:rPr>
        <w:t>3</w:t>
      </w:r>
      <w:r w:rsidRPr="00A14ADF">
        <w:rPr>
          <w:rFonts w:ascii="Calibri" w:hAnsi="Calibri" w:cs="Calibri"/>
          <w:b/>
          <w:sz w:val="22"/>
          <w:szCs w:val="22"/>
        </w:rPr>
        <w:t>.</w:t>
      </w:r>
      <w:r w:rsidRPr="00A14ADF">
        <w:rPr>
          <w:rFonts w:ascii="Calibri" w:hAnsi="Calibri" w:cs="Calibri"/>
          <w:sz w:val="22"/>
          <w:szCs w:val="22"/>
        </w:rPr>
        <w:t xml:space="preserve"> Representative </w:t>
      </w:r>
      <w:r w:rsidRPr="00A14ADF">
        <w:rPr>
          <w:rFonts w:ascii="Calibri" w:hAnsi="Calibri" w:cs="Calibri"/>
          <w:i/>
          <w:sz w:val="22"/>
          <w:szCs w:val="22"/>
        </w:rPr>
        <w:t>T</w:t>
      </w:r>
      <w:r w:rsidRPr="00A14ADF">
        <w:rPr>
          <w:rFonts w:ascii="Calibri" w:hAnsi="Calibri" w:cs="Calibri"/>
          <w:sz w:val="22"/>
          <w:szCs w:val="22"/>
          <w:vertAlign w:val="subscript"/>
        </w:rPr>
        <w:t>2</w:t>
      </w:r>
      <w:r w:rsidRPr="00A14ADF">
        <w:rPr>
          <w:rFonts w:ascii="Calibri" w:hAnsi="Calibri" w:cs="Calibri"/>
          <w:sz w:val="22"/>
          <w:szCs w:val="22"/>
          <w:vertAlign w:val="superscript"/>
        </w:rPr>
        <w:t>*</w:t>
      </w:r>
      <w:r w:rsidRPr="00A14ADF">
        <w:rPr>
          <w:rFonts w:ascii="Calibri" w:hAnsi="Calibri" w:cs="Calibri"/>
          <w:sz w:val="22"/>
          <w:szCs w:val="22"/>
        </w:rPr>
        <w:t xml:space="preserve">-weighted images (left-hand column) and corresponding pre- (middle column) and post-gadolinium (right-hand column) </w:t>
      </w:r>
      <w:r w:rsidRPr="00A14ADF">
        <w:rPr>
          <w:rFonts w:ascii="Calibri" w:hAnsi="Calibri" w:cs="Calibri"/>
          <w:i/>
          <w:sz w:val="22"/>
          <w:szCs w:val="22"/>
        </w:rPr>
        <w:t>T</w:t>
      </w:r>
      <w:r w:rsidRPr="00A14ADF">
        <w:rPr>
          <w:rFonts w:ascii="Calibri" w:hAnsi="Calibri" w:cs="Calibri"/>
          <w:sz w:val="22"/>
          <w:szCs w:val="22"/>
          <w:vertAlign w:val="subscript"/>
        </w:rPr>
        <w:t>1</w:t>
      </w:r>
      <w:r w:rsidRPr="00A14ADF">
        <w:rPr>
          <w:rFonts w:ascii="Calibri" w:hAnsi="Calibri" w:cs="Calibri"/>
          <w:sz w:val="22"/>
          <w:szCs w:val="22"/>
        </w:rPr>
        <w:t>-weighted images for a mouse injected intracardially with SEBTA-001 cells</w:t>
      </w:r>
      <w:r w:rsidR="00D33844" w:rsidRPr="00A14ADF">
        <w:rPr>
          <w:rFonts w:ascii="Calibri" w:hAnsi="Calibri" w:cs="Calibri"/>
          <w:sz w:val="22"/>
          <w:szCs w:val="22"/>
        </w:rPr>
        <w:t>; scale bar = 1.5mm</w:t>
      </w:r>
      <w:r w:rsidRPr="00A14ADF">
        <w:rPr>
          <w:rFonts w:ascii="Calibri" w:hAnsi="Calibri" w:cs="Calibri"/>
          <w:sz w:val="22"/>
          <w:szCs w:val="22"/>
        </w:rPr>
        <w:t xml:space="preserve">. Gadolinium enhancement confirms presence of a single large metastasis exhibiting blood-brain barrier breakdown (green arrow). The presence of additional micrometastases is indicated on the </w:t>
      </w:r>
      <w:r w:rsidRPr="00A14ADF">
        <w:rPr>
          <w:rFonts w:ascii="Calibri" w:hAnsi="Calibri" w:cs="Calibri"/>
          <w:i/>
          <w:sz w:val="22"/>
          <w:szCs w:val="22"/>
        </w:rPr>
        <w:t>T</w:t>
      </w:r>
      <w:r w:rsidRPr="00A14ADF">
        <w:rPr>
          <w:rFonts w:ascii="Calibri" w:hAnsi="Calibri" w:cs="Calibri"/>
          <w:sz w:val="22"/>
          <w:szCs w:val="22"/>
          <w:vertAlign w:val="subscript"/>
        </w:rPr>
        <w:t>2</w:t>
      </w:r>
      <w:r w:rsidRPr="00A14ADF">
        <w:rPr>
          <w:rFonts w:ascii="Calibri" w:hAnsi="Calibri" w:cs="Calibri"/>
          <w:sz w:val="22"/>
          <w:szCs w:val="22"/>
          <w:vertAlign w:val="superscript"/>
        </w:rPr>
        <w:t>*</w:t>
      </w:r>
      <w:r w:rsidRPr="00A14ADF">
        <w:rPr>
          <w:rFonts w:ascii="Calibri" w:hAnsi="Calibri" w:cs="Calibri"/>
          <w:sz w:val="22"/>
          <w:szCs w:val="22"/>
        </w:rPr>
        <w:t xml:space="preserve">-weighted images as multiple focal hypointensities (red arrows), which are not detected on the post-contrast </w:t>
      </w:r>
      <w:r w:rsidRPr="00A14ADF">
        <w:rPr>
          <w:rFonts w:ascii="Calibri" w:hAnsi="Calibri" w:cs="Calibri"/>
          <w:i/>
          <w:sz w:val="22"/>
          <w:szCs w:val="22"/>
        </w:rPr>
        <w:t>T</w:t>
      </w:r>
      <w:r w:rsidRPr="00A14ADF">
        <w:rPr>
          <w:rFonts w:ascii="Calibri" w:hAnsi="Calibri" w:cs="Calibri"/>
          <w:sz w:val="22"/>
          <w:szCs w:val="22"/>
          <w:vertAlign w:val="subscript"/>
        </w:rPr>
        <w:t>1</w:t>
      </w:r>
      <w:r w:rsidRPr="00A14ADF">
        <w:rPr>
          <w:rFonts w:ascii="Calibri" w:hAnsi="Calibri" w:cs="Calibri"/>
          <w:sz w:val="22"/>
          <w:szCs w:val="22"/>
        </w:rPr>
        <w:t xml:space="preserve">-weighted images. </w:t>
      </w:r>
    </w:p>
    <w:p w14:paraId="45BB7FE9" w14:textId="09C90FE8" w:rsidR="002152DC" w:rsidRPr="00A14ADF" w:rsidRDefault="002152DC" w:rsidP="002E06FC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p w14:paraId="0173F2EE" w14:textId="57013165" w:rsidR="002152DC" w:rsidRPr="00A14ADF" w:rsidRDefault="005A462C" w:rsidP="00D21CB2">
      <w:pPr>
        <w:spacing w:line="480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GB" w:eastAsia="zh-TW"/>
        </w:rPr>
        <w:drawing>
          <wp:inline distT="0" distB="0" distL="0" distR="0" wp14:anchorId="63D0D897" wp14:editId="2C671DCA">
            <wp:extent cx="5775972" cy="409347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72" cy="409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ED0F10" w14:textId="18ED3A94" w:rsidR="002152DC" w:rsidRPr="00A14ADF" w:rsidRDefault="002152DC" w:rsidP="00D21CB2">
      <w:pPr>
        <w:spacing w:line="480" w:lineRule="auto"/>
        <w:jc w:val="center"/>
        <w:rPr>
          <w:rFonts w:ascii="Calibri" w:hAnsi="Calibri" w:cs="Calibri"/>
          <w:sz w:val="22"/>
          <w:szCs w:val="22"/>
        </w:rPr>
      </w:pPr>
    </w:p>
    <w:p w14:paraId="5FECFB42" w14:textId="55DF54E4" w:rsidR="002152DC" w:rsidRPr="00A14ADF" w:rsidRDefault="002152DC" w:rsidP="002152DC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A14ADF">
        <w:rPr>
          <w:rFonts w:ascii="Calibri" w:hAnsi="Calibri" w:cs="Calibri"/>
          <w:b/>
          <w:sz w:val="22"/>
          <w:szCs w:val="22"/>
        </w:rPr>
        <w:t>Supplementary Figure S4.</w:t>
      </w:r>
      <w:r w:rsidRPr="00A14ADF">
        <w:rPr>
          <w:rFonts w:ascii="Calibri" w:hAnsi="Calibri" w:cs="Calibri"/>
          <w:sz w:val="22"/>
          <w:szCs w:val="22"/>
        </w:rPr>
        <w:t xml:space="preserve"> (A) </w:t>
      </w:r>
      <w:r w:rsidR="00BF2D0C" w:rsidRPr="00A14ADF">
        <w:rPr>
          <w:rFonts w:ascii="Calibri" w:hAnsi="Calibri" w:cs="Calibri"/>
          <w:sz w:val="22"/>
          <w:szCs w:val="22"/>
        </w:rPr>
        <w:t>A</w:t>
      </w:r>
      <w:r w:rsidR="00E85425" w:rsidRPr="00A14ADF">
        <w:rPr>
          <w:rFonts w:ascii="Calibri" w:hAnsi="Calibri" w:cs="Calibri"/>
          <w:sz w:val="22"/>
          <w:szCs w:val="22"/>
        </w:rPr>
        <w:t>xial</w:t>
      </w:r>
      <w:r w:rsidR="00BF2D0C" w:rsidRPr="00A14ADF">
        <w:rPr>
          <w:rFonts w:ascii="Calibri" w:hAnsi="Calibri" w:cs="Calibri"/>
          <w:sz w:val="22"/>
          <w:szCs w:val="22"/>
        </w:rPr>
        <w:t xml:space="preserve"> </w:t>
      </w:r>
      <w:r w:rsidRPr="00A14ADF">
        <w:rPr>
          <w:rFonts w:ascii="Calibri" w:hAnsi="Calibri" w:cs="Calibri"/>
          <w:i/>
          <w:sz w:val="22"/>
          <w:szCs w:val="22"/>
        </w:rPr>
        <w:t>T</w:t>
      </w:r>
      <w:r w:rsidRPr="00A14ADF">
        <w:rPr>
          <w:rFonts w:ascii="Calibri" w:hAnsi="Calibri" w:cs="Calibri"/>
          <w:sz w:val="22"/>
          <w:szCs w:val="22"/>
          <w:vertAlign w:val="subscript"/>
        </w:rPr>
        <w:t>2</w:t>
      </w:r>
      <w:r w:rsidRPr="00A14ADF">
        <w:rPr>
          <w:rFonts w:ascii="Calibri" w:hAnsi="Calibri" w:cs="Calibri"/>
          <w:sz w:val="22"/>
          <w:szCs w:val="22"/>
          <w:vertAlign w:val="superscript"/>
        </w:rPr>
        <w:t>*</w:t>
      </w:r>
      <w:r w:rsidR="00A14ADF">
        <w:rPr>
          <w:rFonts w:ascii="Calibri" w:hAnsi="Calibri" w:cs="Calibri"/>
          <w:sz w:val="22"/>
          <w:szCs w:val="22"/>
        </w:rPr>
        <w:t>-</w:t>
      </w:r>
      <w:r w:rsidRPr="00A14ADF">
        <w:rPr>
          <w:rFonts w:ascii="Calibri" w:hAnsi="Calibri" w:cs="Calibri"/>
          <w:sz w:val="22"/>
          <w:szCs w:val="22"/>
        </w:rPr>
        <w:t>w</w:t>
      </w:r>
      <w:r w:rsidR="00A14ADF">
        <w:rPr>
          <w:rFonts w:ascii="Calibri" w:hAnsi="Calibri" w:cs="Calibri"/>
          <w:sz w:val="22"/>
          <w:szCs w:val="22"/>
        </w:rPr>
        <w:t>eighted</w:t>
      </w:r>
      <w:r w:rsidRPr="00A14ADF">
        <w:rPr>
          <w:rFonts w:ascii="Calibri" w:hAnsi="Calibri" w:cs="Calibri"/>
          <w:sz w:val="22"/>
          <w:szCs w:val="22"/>
        </w:rPr>
        <w:t xml:space="preserve"> image slice of a mouse brain following intracardiac injection of SEBTA-001 cells with several hypointensities (red arrows); scale bar = 1.5mm. (B) One corresponding histological section of the same mouse demonstrating a single SEBTA-001 metastasis in this location (black box); scale bar = 1.5mm. (C) Magnified images from alternate sections of the highlighted metastasis showing multiple VCAM-1 activated vessels (red arrows) around the periphery of the tumour (green arrows); scale bar = 100µm.</w:t>
      </w:r>
    </w:p>
    <w:p w14:paraId="61C9172C" w14:textId="02FE15B9" w:rsidR="002152DC" w:rsidRPr="00A14ADF" w:rsidRDefault="002152DC">
      <w:pPr>
        <w:rPr>
          <w:rFonts w:ascii="Calibri" w:hAnsi="Calibri" w:cs="Calibri"/>
          <w:sz w:val="22"/>
          <w:szCs w:val="22"/>
        </w:rPr>
      </w:pPr>
      <w:r w:rsidRPr="00A14ADF">
        <w:rPr>
          <w:rFonts w:ascii="Calibri" w:hAnsi="Calibri" w:cs="Calibri"/>
          <w:sz w:val="22"/>
          <w:szCs w:val="22"/>
        </w:rPr>
        <w:br w:type="page"/>
      </w:r>
    </w:p>
    <w:p w14:paraId="68940164" w14:textId="77777777" w:rsidR="002152DC" w:rsidRPr="00A14ADF" w:rsidRDefault="002152DC" w:rsidP="00D21CB2">
      <w:pPr>
        <w:rPr>
          <w:rFonts w:ascii="Calibri" w:hAnsi="Calibri" w:cs="Calibri"/>
          <w:sz w:val="22"/>
          <w:szCs w:val="22"/>
        </w:rPr>
      </w:pPr>
    </w:p>
    <w:p w14:paraId="5058B82E" w14:textId="77777777" w:rsidR="00BC3EB1" w:rsidRPr="00A14ADF" w:rsidRDefault="00BC3EB1" w:rsidP="00B9440A">
      <w:pPr>
        <w:pStyle w:val="SMcaption"/>
        <w:rPr>
          <w:rFonts w:ascii="Calibri" w:hAnsi="Calibri" w:cs="Calibri"/>
        </w:rPr>
      </w:pPr>
    </w:p>
    <w:p w14:paraId="4091A7E6" w14:textId="77777777" w:rsidR="00BC3EB1" w:rsidRPr="00A14ADF" w:rsidRDefault="00BC3EB1" w:rsidP="00B9440A">
      <w:pPr>
        <w:pStyle w:val="SMcaption"/>
        <w:rPr>
          <w:rFonts w:ascii="Calibri" w:hAnsi="Calibri" w:cs="Calibri"/>
        </w:rPr>
      </w:pPr>
    </w:p>
    <w:p w14:paraId="7DCFD5C1" w14:textId="77777777" w:rsidR="00BC3EB1" w:rsidRPr="00A14ADF" w:rsidRDefault="00BC3EB1" w:rsidP="00BC3EB1">
      <w:pPr>
        <w:pStyle w:val="EndNoteBibliography"/>
        <w:rPr>
          <w:rFonts w:ascii="Calibri" w:hAnsi="Calibri" w:cs="Calibri"/>
        </w:rPr>
      </w:pPr>
      <w:r w:rsidRPr="00A14ADF">
        <w:rPr>
          <w:rFonts w:ascii="Calibri" w:hAnsi="Calibri" w:cs="Calibri"/>
        </w:rPr>
        <w:fldChar w:fldCharType="begin"/>
      </w:r>
      <w:r w:rsidRPr="00A14ADF">
        <w:rPr>
          <w:rFonts w:ascii="Calibri" w:hAnsi="Calibri" w:cs="Calibri"/>
        </w:rPr>
        <w:instrText xml:space="preserve"> ADDIN EN.REFLIST </w:instrText>
      </w:r>
      <w:r w:rsidRPr="00A14ADF">
        <w:rPr>
          <w:rFonts w:ascii="Calibri" w:hAnsi="Calibri" w:cs="Calibri"/>
        </w:rPr>
        <w:fldChar w:fldCharType="separate"/>
      </w:r>
      <w:r w:rsidRPr="00A14ADF">
        <w:rPr>
          <w:rFonts w:ascii="Calibri" w:hAnsi="Calibri" w:cs="Calibri"/>
        </w:rPr>
        <w:t>1.</w:t>
      </w:r>
      <w:r w:rsidRPr="00A14ADF">
        <w:rPr>
          <w:rFonts w:ascii="Calibri" w:hAnsi="Calibri" w:cs="Calibri"/>
        </w:rPr>
        <w:tab/>
        <w:t>Zakaria R. Investigation of local brain invasion by cerebral metastases and implications for clinical management. University of Liverpool Repository: University of Liverpool; 2016.</w:t>
      </w:r>
    </w:p>
    <w:p w14:paraId="553A16F0" w14:textId="171066B7" w:rsidR="00B9440A" w:rsidRPr="00A14ADF" w:rsidRDefault="00BC3EB1" w:rsidP="00B9440A">
      <w:pPr>
        <w:pStyle w:val="SMcaption"/>
        <w:rPr>
          <w:rFonts w:ascii="Calibri" w:hAnsi="Calibri" w:cs="Calibri"/>
        </w:rPr>
      </w:pPr>
      <w:r w:rsidRPr="00A14ADF">
        <w:rPr>
          <w:rFonts w:ascii="Calibri" w:hAnsi="Calibri" w:cs="Calibri"/>
        </w:rPr>
        <w:fldChar w:fldCharType="end"/>
      </w:r>
    </w:p>
    <w:sectPr w:rsidR="00B9440A" w:rsidRPr="00A14ADF" w:rsidSect="00E01EAE">
      <w:headerReference w:type="default" r:id="rId12"/>
      <w:footerReference w:type="default" r:id="rId13"/>
      <w:pgSz w:w="12240" w:h="15840"/>
      <w:pgMar w:top="1134" w:right="1134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50D39" w14:textId="77777777" w:rsidR="000619E9" w:rsidRDefault="000619E9">
      <w:r>
        <w:separator/>
      </w:r>
    </w:p>
  </w:endnote>
  <w:endnote w:type="continuationSeparator" w:id="0">
    <w:p w14:paraId="2AFF450E" w14:textId="77777777" w:rsidR="000619E9" w:rsidRDefault="00061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96907" w14:textId="2B4B1E94" w:rsidR="009E14A0" w:rsidRDefault="009E14A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462C">
      <w:rPr>
        <w:noProof/>
      </w:rPr>
      <w:t>5</w:t>
    </w:r>
    <w:r>
      <w:fldChar w:fldCharType="end"/>
    </w:r>
  </w:p>
  <w:p w14:paraId="180EEFF6" w14:textId="77777777" w:rsidR="009E14A0" w:rsidRDefault="009E1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CE320" w14:textId="77777777" w:rsidR="000619E9" w:rsidRDefault="000619E9">
      <w:r>
        <w:separator/>
      </w:r>
    </w:p>
  </w:footnote>
  <w:footnote w:type="continuationSeparator" w:id="0">
    <w:p w14:paraId="52328A4F" w14:textId="77777777" w:rsidR="000619E9" w:rsidRDefault="00061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40DC9" w14:textId="77777777" w:rsidR="009E14A0" w:rsidRPr="005001AC" w:rsidRDefault="009E14A0" w:rsidP="005001AC">
    <w:pPr>
      <w:jc w:val="right"/>
      <w:rPr>
        <w:sz w:val="20"/>
      </w:rPr>
    </w:pPr>
  </w:p>
  <w:p w14:paraId="0091C365" w14:textId="77777777" w:rsidR="009E14A0" w:rsidRDefault="009E14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wsrSwNDWwsDQwMzRS0lEKTi0uzszPAykwrAUAGBRVS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9rrdf5rx9efle5dewx90e50pr25r9sf9sx&quot;&gt;My EndNote Library&lt;record-ids&gt;&lt;item&gt;161&lt;/item&gt;&lt;/record-ids&gt;&lt;/item&gt;&lt;/Libraries&gt;"/>
  </w:docVars>
  <w:rsids>
    <w:rsidRoot w:val="002C030F"/>
    <w:rsid w:val="00015F74"/>
    <w:rsid w:val="000160BA"/>
    <w:rsid w:val="0001796B"/>
    <w:rsid w:val="00017C53"/>
    <w:rsid w:val="00030840"/>
    <w:rsid w:val="000308C8"/>
    <w:rsid w:val="000619E9"/>
    <w:rsid w:val="00065EBD"/>
    <w:rsid w:val="00083B44"/>
    <w:rsid w:val="000850DC"/>
    <w:rsid w:val="000C2771"/>
    <w:rsid w:val="000D2A68"/>
    <w:rsid w:val="000D56D2"/>
    <w:rsid w:val="000F0DCE"/>
    <w:rsid w:val="00112C5B"/>
    <w:rsid w:val="00114193"/>
    <w:rsid w:val="00115A38"/>
    <w:rsid w:val="0011687B"/>
    <w:rsid w:val="00124F82"/>
    <w:rsid w:val="0016337A"/>
    <w:rsid w:val="00164269"/>
    <w:rsid w:val="00171810"/>
    <w:rsid w:val="001A0F38"/>
    <w:rsid w:val="001A1BDE"/>
    <w:rsid w:val="001B4F74"/>
    <w:rsid w:val="001C0520"/>
    <w:rsid w:val="001C0975"/>
    <w:rsid w:val="001F0876"/>
    <w:rsid w:val="001F167C"/>
    <w:rsid w:val="001F5E91"/>
    <w:rsid w:val="002077B9"/>
    <w:rsid w:val="002152DC"/>
    <w:rsid w:val="00262D72"/>
    <w:rsid w:val="00271599"/>
    <w:rsid w:val="00294FBB"/>
    <w:rsid w:val="002C030F"/>
    <w:rsid w:val="002E06FC"/>
    <w:rsid w:val="002E2759"/>
    <w:rsid w:val="00305C9F"/>
    <w:rsid w:val="00321976"/>
    <w:rsid w:val="00325D90"/>
    <w:rsid w:val="00331D75"/>
    <w:rsid w:val="0033212A"/>
    <w:rsid w:val="003520C1"/>
    <w:rsid w:val="00355362"/>
    <w:rsid w:val="00363E44"/>
    <w:rsid w:val="00376958"/>
    <w:rsid w:val="00387114"/>
    <w:rsid w:val="00395E86"/>
    <w:rsid w:val="003A0D23"/>
    <w:rsid w:val="003A2FD8"/>
    <w:rsid w:val="003B40E6"/>
    <w:rsid w:val="003D3EF4"/>
    <w:rsid w:val="003F6E14"/>
    <w:rsid w:val="00405336"/>
    <w:rsid w:val="00425639"/>
    <w:rsid w:val="004550B9"/>
    <w:rsid w:val="004571D5"/>
    <w:rsid w:val="00461D81"/>
    <w:rsid w:val="0046356B"/>
    <w:rsid w:val="00466BFF"/>
    <w:rsid w:val="00477182"/>
    <w:rsid w:val="004779CB"/>
    <w:rsid w:val="004A159F"/>
    <w:rsid w:val="004B2F21"/>
    <w:rsid w:val="004D7D27"/>
    <w:rsid w:val="004E42D8"/>
    <w:rsid w:val="004E7BA2"/>
    <w:rsid w:val="004F0AEA"/>
    <w:rsid w:val="004F7EDF"/>
    <w:rsid w:val="005001AC"/>
    <w:rsid w:val="00527D71"/>
    <w:rsid w:val="00533B72"/>
    <w:rsid w:val="00536338"/>
    <w:rsid w:val="0055496E"/>
    <w:rsid w:val="005607DD"/>
    <w:rsid w:val="005A462C"/>
    <w:rsid w:val="005A558C"/>
    <w:rsid w:val="005C0B4F"/>
    <w:rsid w:val="005C4931"/>
    <w:rsid w:val="005E28F8"/>
    <w:rsid w:val="005E6513"/>
    <w:rsid w:val="005F0977"/>
    <w:rsid w:val="006140DF"/>
    <w:rsid w:val="00636A95"/>
    <w:rsid w:val="00644EDF"/>
    <w:rsid w:val="00646906"/>
    <w:rsid w:val="00651114"/>
    <w:rsid w:val="0065772A"/>
    <w:rsid w:val="00663146"/>
    <w:rsid w:val="00670299"/>
    <w:rsid w:val="006707E2"/>
    <w:rsid w:val="00691985"/>
    <w:rsid w:val="006A1B64"/>
    <w:rsid w:val="006A3C5C"/>
    <w:rsid w:val="006E3E68"/>
    <w:rsid w:val="006F7635"/>
    <w:rsid w:val="007108F5"/>
    <w:rsid w:val="00713E5B"/>
    <w:rsid w:val="007402FC"/>
    <w:rsid w:val="007411A1"/>
    <w:rsid w:val="0076089F"/>
    <w:rsid w:val="00777D1E"/>
    <w:rsid w:val="007979CD"/>
    <w:rsid w:val="007A2DD3"/>
    <w:rsid w:val="007B5946"/>
    <w:rsid w:val="007F7FB4"/>
    <w:rsid w:val="00807D35"/>
    <w:rsid w:val="00820484"/>
    <w:rsid w:val="00824DF3"/>
    <w:rsid w:val="0084498B"/>
    <w:rsid w:val="00844CA2"/>
    <w:rsid w:val="00856979"/>
    <w:rsid w:val="00885C9B"/>
    <w:rsid w:val="008969E3"/>
    <w:rsid w:val="008D115E"/>
    <w:rsid w:val="008D5D2A"/>
    <w:rsid w:val="00914B63"/>
    <w:rsid w:val="00917CC8"/>
    <w:rsid w:val="00924492"/>
    <w:rsid w:val="00924AD7"/>
    <w:rsid w:val="009258B8"/>
    <w:rsid w:val="009354F3"/>
    <w:rsid w:val="00943C3C"/>
    <w:rsid w:val="009447DC"/>
    <w:rsid w:val="00961BA5"/>
    <w:rsid w:val="009743A9"/>
    <w:rsid w:val="009A5287"/>
    <w:rsid w:val="009A670E"/>
    <w:rsid w:val="009B2AC5"/>
    <w:rsid w:val="009B7984"/>
    <w:rsid w:val="009E14A0"/>
    <w:rsid w:val="009F4BED"/>
    <w:rsid w:val="009F7D93"/>
    <w:rsid w:val="00A14ADF"/>
    <w:rsid w:val="00A3403B"/>
    <w:rsid w:val="00A400CA"/>
    <w:rsid w:val="00A51A12"/>
    <w:rsid w:val="00A57873"/>
    <w:rsid w:val="00A627D4"/>
    <w:rsid w:val="00A74A5D"/>
    <w:rsid w:val="00A74DA2"/>
    <w:rsid w:val="00A903D0"/>
    <w:rsid w:val="00AC15B4"/>
    <w:rsid w:val="00AC7001"/>
    <w:rsid w:val="00AD499C"/>
    <w:rsid w:val="00B36869"/>
    <w:rsid w:val="00B42F9C"/>
    <w:rsid w:val="00B43231"/>
    <w:rsid w:val="00B43B31"/>
    <w:rsid w:val="00B47CFA"/>
    <w:rsid w:val="00B57F00"/>
    <w:rsid w:val="00B77B2A"/>
    <w:rsid w:val="00B82C22"/>
    <w:rsid w:val="00B8723B"/>
    <w:rsid w:val="00B93DBA"/>
    <w:rsid w:val="00B9440A"/>
    <w:rsid w:val="00BB2D2A"/>
    <w:rsid w:val="00BB621C"/>
    <w:rsid w:val="00BC3EB1"/>
    <w:rsid w:val="00BD4566"/>
    <w:rsid w:val="00BD58CF"/>
    <w:rsid w:val="00BF2D0C"/>
    <w:rsid w:val="00C04CC1"/>
    <w:rsid w:val="00C50C6D"/>
    <w:rsid w:val="00C600D9"/>
    <w:rsid w:val="00C740F8"/>
    <w:rsid w:val="00CC1384"/>
    <w:rsid w:val="00CC5C64"/>
    <w:rsid w:val="00CD0822"/>
    <w:rsid w:val="00CD3720"/>
    <w:rsid w:val="00CE14C1"/>
    <w:rsid w:val="00CF1848"/>
    <w:rsid w:val="00CF5C2F"/>
    <w:rsid w:val="00D00712"/>
    <w:rsid w:val="00D04BCF"/>
    <w:rsid w:val="00D143D9"/>
    <w:rsid w:val="00D21CB2"/>
    <w:rsid w:val="00D269AB"/>
    <w:rsid w:val="00D33844"/>
    <w:rsid w:val="00D346C2"/>
    <w:rsid w:val="00D4192E"/>
    <w:rsid w:val="00D55F2E"/>
    <w:rsid w:val="00DA00A2"/>
    <w:rsid w:val="00DC0A79"/>
    <w:rsid w:val="00DD421A"/>
    <w:rsid w:val="00E01EAE"/>
    <w:rsid w:val="00E237A2"/>
    <w:rsid w:val="00E2400A"/>
    <w:rsid w:val="00E257C8"/>
    <w:rsid w:val="00E37047"/>
    <w:rsid w:val="00E60D0F"/>
    <w:rsid w:val="00E77106"/>
    <w:rsid w:val="00E85425"/>
    <w:rsid w:val="00E9773B"/>
    <w:rsid w:val="00EA596B"/>
    <w:rsid w:val="00EC13A3"/>
    <w:rsid w:val="00EC7C85"/>
    <w:rsid w:val="00EF49B4"/>
    <w:rsid w:val="00F1208E"/>
    <w:rsid w:val="00F125EE"/>
    <w:rsid w:val="00F12E98"/>
    <w:rsid w:val="00F22029"/>
    <w:rsid w:val="00F30FAE"/>
    <w:rsid w:val="00F53847"/>
    <w:rsid w:val="00F630EA"/>
    <w:rsid w:val="00F7007E"/>
    <w:rsid w:val="00F70200"/>
    <w:rsid w:val="00F73193"/>
    <w:rsid w:val="00F74F95"/>
    <w:rsid w:val="00F80705"/>
    <w:rsid w:val="00F874B9"/>
    <w:rsid w:val="00FA1481"/>
    <w:rsid w:val="00FD0DE8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D1EA8"/>
  <w15:docId w15:val="{1CA1F8A2-1A10-4F92-94A1-B498B4E3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42F9C"/>
    <w:rPr>
      <w:i/>
      <w:iCs/>
    </w:rPr>
  </w:style>
  <w:style w:type="character" w:styleId="CommentReference">
    <w:name w:val="annotation reference"/>
    <w:basedOn w:val="DefaultParagraphFont"/>
    <w:semiHidden/>
    <w:rsid w:val="009258B8"/>
    <w:rPr>
      <w:sz w:val="16"/>
      <w:szCs w:val="16"/>
    </w:rPr>
  </w:style>
  <w:style w:type="paragraph" w:customStyle="1" w:styleId="EndNoteBibliography">
    <w:name w:val="EndNote Bibliography"/>
    <w:basedOn w:val="Normal"/>
    <w:link w:val="EndNoteBibliographyChar"/>
    <w:rsid w:val="00E01EAE"/>
    <w:pPr>
      <w:spacing w:after="160"/>
      <w:jc w:val="both"/>
    </w:pPr>
    <w:rPr>
      <w:rFonts w:eastAsiaTheme="minorEastAsia"/>
      <w:noProof/>
      <w:szCs w:val="22"/>
      <w:lang w:val="en-GB" w:eastAsia="zh-TW"/>
    </w:rPr>
  </w:style>
  <w:style w:type="character" w:customStyle="1" w:styleId="EndNoteBibliographyChar">
    <w:name w:val="EndNote Bibliography Char"/>
    <w:basedOn w:val="DefaultParagraphFont"/>
    <w:link w:val="EndNoteBibliography"/>
    <w:rsid w:val="00E01EAE"/>
    <w:rPr>
      <w:rFonts w:eastAsiaTheme="minorEastAsia"/>
      <w:noProof/>
      <w:sz w:val="24"/>
      <w:szCs w:val="22"/>
      <w:lang w:val="en-GB" w:eastAsia="zh-TW"/>
    </w:rPr>
  </w:style>
  <w:style w:type="paragraph" w:customStyle="1" w:styleId="EndNoteBibliographyTitle">
    <w:name w:val="EndNote Bibliography Title"/>
    <w:basedOn w:val="Normal"/>
    <w:link w:val="EndNoteBibliographyTitleChar"/>
    <w:rsid w:val="00BC3EB1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BC3EB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3A93B-2BD5-4CE6-BA3C-5843643D7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10849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dc:description/>
  <cp:lastModifiedBy>Vinton W T Cheng</cp:lastModifiedBy>
  <cp:revision>2</cp:revision>
  <cp:lastPrinted>2018-02-26T17:19:00Z</cp:lastPrinted>
  <dcterms:created xsi:type="dcterms:W3CDTF">2018-10-20T09:09:00Z</dcterms:created>
  <dcterms:modified xsi:type="dcterms:W3CDTF">2018-10-20T09:09:00Z</dcterms:modified>
</cp:coreProperties>
</file>