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02" w:rsidRPr="000940EF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EF">
        <w:rPr>
          <w:rFonts w:ascii="Times New Roman" w:hAnsi="Times New Roman" w:cs="Times New Roman"/>
          <w:b/>
          <w:sz w:val="24"/>
          <w:szCs w:val="24"/>
        </w:rPr>
        <w:t>Supplementary Figures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0EF">
        <w:rPr>
          <w:rFonts w:ascii="Times New Roman" w:hAnsi="Times New Roman" w:cs="Times New Roman"/>
          <w:b/>
          <w:bCs/>
          <w:sz w:val="24"/>
          <w:szCs w:val="24"/>
        </w:rPr>
        <w:t>Fig. S1. Extended clinical annotation of primary canine lung cancer patients.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Cohort distribution of: (</w:t>
      </w:r>
      <w:r w:rsidRPr="00CA6461">
        <w:rPr>
          <w:rFonts w:ascii="Times New Roman" w:hAnsi="Times New Roman" w:cs="Times New Roman"/>
          <w:sz w:val="24"/>
          <w:szCs w:val="24"/>
        </w:rPr>
        <w:t>A</w:t>
      </w:r>
      <w:r w:rsidRPr="00CA6461">
        <w:rPr>
          <w:rFonts w:ascii="Times New Roman" w:hAnsi="Times New Roman" w:cs="Times New Roman"/>
          <w:bCs/>
          <w:sz w:val="24"/>
          <w:szCs w:val="24"/>
        </w:rPr>
        <w:t>) Affected breeds, (</w:t>
      </w:r>
      <w:r w:rsidRPr="00CA6461">
        <w:rPr>
          <w:rFonts w:ascii="Times New Roman" w:hAnsi="Times New Roman" w:cs="Times New Roman"/>
          <w:sz w:val="24"/>
          <w:szCs w:val="24"/>
        </w:rPr>
        <w:t>B</w:t>
      </w:r>
      <w:r w:rsidRPr="00CA6461">
        <w:rPr>
          <w:rFonts w:ascii="Times New Roman" w:hAnsi="Times New Roman" w:cs="Times New Roman"/>
          <w:bCs/>
          <w:sz w:val="24"/>
          <w:szCs w:val="24"/>
        </w:rPr>
        <w:t>) Age at diagnosis, (</w:t>
      </w:r>
      <w:r w:rsidRPr="00CA6461">
        <w:rPr>
          <w:rFonts w:ascii="Times New Roman" w:hAnsi="Times New Roman" w:cs="Times New Roman"/>
          <w:sz w:val="24"/>
          <w:szCs w:val="24"/>
        </w:rPr>
        <w:t>C</w:t>
      </w:r>
      <w:r w:rsidRPr="00CA6461">
        <w:rPr>
          <w:rFonts w:ascii="Times New Roman" w:hAnsi="Times New Roman" w:cs="Times New Roman"/>
          <w:bCs/>
          <w:sz w:val="24"/>
          <w:szCs w:val="24"/>
        </w:rPr>
        <w:t>) Primary tumor location distribution, (</w:t>
      </w:r>
      <w:r w:rsidRPr="00CA6461">
        <w:rPr>
          <w:rFonts w:ascii="Times New Roman" w:hAnsi="Times New Roman" w:cs="Times New Roman"/>
          <w:sz w:val="24"/>
          <w:szCs w:val="24"/>
        </w:rPr>
        <w:t>D</w:t>
      </w:r>
      <w:r w:rsidRPr="00CA6461">
        <w:rPr>
          <w:rFonts w:ascii="Times New Roman" w:hAnsi="Times New Roman" w:cs="Times New Roman"/>
          <w:bCs/>
          <w:sz w:val="24"/>
          <w:szCs w:val="24"/>
        </w:rPr>
        <w:t>) Sex, (</w:t>
      </w:r>
      <w:r w:rsidRPr="00CA6461">
        <w:rPr>
          <w:rFonts w:ascii="Times New Roman" w:hAnsi="Times New Roman" w:cs="Times New Roman"/>
          <w:sz w:val="24"/>
          <w:szCs w:val="24"/>
        </w:rPr>
        <w:t>E</w:t>
      </w:r>
      <w:r w:rsidRPr="00CA6461">
        <w:rPr>
          <w:rFonts w:ascii="Times New Roman" w:hAnsi="Times New Roman" w:cs="Times New Roman"/>
          <w:bCs/>
          <w:sz w:val="24"/>
          <w:szCs w:val="24"/>
        </w:rPr>
        <w:t>) Adenocarcinoma subtype, and (</w:t>
      </w:r>
      <w:r w:rsidRPr="00CA6461">
        <w:rPr>
          <w:rFonts w:ascii="Times New Roman" w:hAnsi="Times New Roman" w:cs="Times New Roman"/>
          <w:sz w:val="24"/>
          <w:szCs w:val="24"/>
        </w:rPr>
        <w:t>F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) Treatment. </w:t>
      </w:r>
      <w:proofErr w:type="spellStart"/>
      <w:r w:rsidRPr="00CA6461">
        <w:rPr>
          <w:rFonts w:ascii="Times New Roman" w:hAnsi="Times New Roman" w:cs="Times New Roman"/>
          <w:bCs/>
          <w:sz w:val="24"/>
          <w:szCs w:val="24"/>
        </w:rPr>
        <w:t>Yr</w:t>
      </w:r>
      <w:proofErr w:type="spellEnd"/>
      <w:r w:rsidRPr="00CA6461">
        <w:rPr>
          <w:rFonts w:ascii="Times New Roman" w:hAnsi="Times New Roman" w:cs="Times New Roman"/>
          <w:bCs/>
          <w:sz w:val="24"/>
          <w:szCs w:val="24"/>
        </w:rPr>
        <w:t>=years.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0EF">
        <w:rPr>
          <w:rFonts w:ascii="Times New Roman" w:hAnsi="Times New Roman" w:cs="Times New Roman"/>
          <w:b/>
          <w:bCs/>
          <w:sz w:val="24"/>
          <w:szCs w:val="24"/>
        </w:rPr>
        <w:t>Fig. S2. Somatic copy number plots derived from exome sequencing of five primary canine pulmonary adenocarcinomas (</w:t>
      </w:r>
      <w:proofErr w:type="spellStart"/>
      <w:r w:rsidRPr="000940EF">
        <w:rPr>
          <w:rFonts w:ascii="Times New Roman" w:hAnsi="Times New Roman" w:cs="Times New Roman"/>
          <w:b/>
          <w:bCs/>
          <w:sz w:val="24"/>
          <w:szCs w:val="24"/>
        </w:rPr>
        <w:t>cPAC</w:t>
      </w:r>
      <w:proofErr w:type="spellEnd"/>
      <w:r w:rsidRPr="000940EF">
        <w:rPr>
          <w:rFonts w:ascii="Times New Roman" w:hAnsi="Times New Roman" w:cs="Times New Roman"/>
          <w:b/>
          <w:bCs/>
          <w:sz w:val="24"/>
          <w:szCs w:val="24"/>
        </w:rPr>
        <w:t>) and matched constitutional DNA.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Tumor copy number states determined by </w:t>
      </w:r>
      <w:proofErr w:type="spellStart"/>
      <w:r w:rsidRPr="00CA6461">
        <w:rPr>
          <w:rFonts w:ascii="Times New Roman" w:eastAsia="Times New Roman" w:hAnsi="Times New Roman" w:cs="Times New Roman"/>
          <w:sz w:val="24"/>
          <w:szCs w:val="24"/>
        </w:rPr>
        <w:t>tCoNutT</w:t>
      </w:r>
      <w:proofErr w:type="spellEnd"/>
      <w:r w:rsidRPr="00CA6461">
        <w:rPr>
          <w:rFonts w:ascii="Times New Roman" w:eastAsia="Times New Roman" w:hAnsi="Times New Roman" w:cs="Times New Roman"/>
          <w:sz w:val="24"/>
          <w:szCs w:val="24"/>
        </w:rPr>
        <w:t xml:space="preserve"> analysis of tumors and matched constitutional DNA from five </w:t>
      </w:r>
      <w:proofErr w:type="spellStart"/>
      <w:r w:rsidRPr="00CA6461">
        <w:rPr>
          <w:rFonts w:ascii="Times New Roman" w:eastAsia="Times New Roman" w:hAnsi="Times New Roman" w:cs="Times New Roman"/>
          <w:sz w:val="24"/>
          <w:szCs w:val="24"/>
        </w:rPr>
        <w:t>cPAC</w:t>
      </w:r>
      <w:proofErr w:type="spellEnd"/>
      <w:r w:rsidRPr="00CA6461">
        <w:rPr>
          <w:rFonts w:ascii="Times New Roman" w:eastAsia="Times New Roman" w:hAnsi="Times New Roman" w:cs="Times New Roman"/>
          <w:sz w:val="24"/>
          <w:szCs w:val="24"/>
        </w:rPr>
        <w:t xml:space="preserve"> cases is shown with each canine chromosome plotted on the x-axis (shown in alternating green and black) and log</w:t>
      </w:r>
      <w:r w:rsidRPr="00CA64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6461">
        <w:rPr>
          <w:rFonts w:ascii="Times New Roman" w:eastAsia="Times New Roman" w:hAnsi="Times New Roman" w:cs="Times New Roman"/>
          <w:sz w:val="24"/>
          <w:szCs w:val="24"/>
        </w:rPr>
        <w:t xml:space="preserve"> fold change shown on the y-axis.</w:t>
      </w:r>
    </w:p>
    <w:p w:rsidR="00DB5D02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0EF">
        <w:rPr>
          <w:rFonts w:ascii="Times New Roman" w:hAnsi="Times New Roman" w:cs="Times New Roman"/>
          <w:b/>
          <w:bCs/>
          <w:sz w:val="24"/>
          <w:szCs w:val="24"/>
        </w:rPr>
        <w:t>Fig. S3. Somatic mutation signatures identified by exome sequencing in primary canine lung cancers.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461">
        <w:rPr>
          <w:rFonts w:ascii="Times New Roman" w:hAnsi="Times New Roman" w:cs="Times New Roman"/>
          <w:sz w:val="24"/>
          <w:szCs w:val="24"/>
        </w:rPr>
        <w:t>(</w:t>
      </w:r>
      <w:r w:rsidRPr="00CA6461">
        <w:rPr>
          <w:rFonts w:ascii="Times New Roman" w:hAnsi="Times New Roman" w:cs="Times New Roman"/>
          <w:bCs/>
          <w:sz w:val="24"/>
          <w:szCs w:val="24"/>
        </w:rPr>
        <w:t>A</w:t>
      </w:r>
      <w:r w:rsidRPr="00CA6461">
        <w:rPr>
          <w:rFonts w:ascii="Times New Roman" w:hAnsi="Times New Roman" w:cs="Times New Roman"/>
          <w:sz w:val="24"/>
          <w:szCs w:val="24"/>
        </w:rPr>
        <w:t>)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The distribution of somatic single nucleotide mutation types in their trinucleotide context from tumor/normal exome sequencing of five </w:t>
      </w:r>
      <w:proofErr w:type="spellStart"/>
      <w:r w:rsidRPr="00CA6461">
        <w:rPr>
          <w:rFonts w:ascii="Times New Roman" w:hAnsi="Times New Roman" w:cs="Times New Roman"/>
          <w:bCs/>
          <w:sz w:val="24"/>
          <w:szCs w:val="24"/>
        </w:rPr>
        <w:t>cPAC</w:t>
      </w:r>
      <w:proofErr w:type="spellEnd"/>
      <w:r w:rsidRPr="00CA6461">
        <w:rPr>
          <w:rFonts w:ascii="Times New Roman" w:hAnsi="Times New Roman" w:cs="Times New Roman"/>
          <w:bCs/>
          <w:sz w:val="24"/>
          <w:szCs w:val="24"/>
        </w:rPr>
        <w:t xml:space="preserve"> cases. </w:t>
      </w:r>
      <w:r w:rsidRPr="00CA6461">
        <w:rPr>
          <w:rFonts w:ascii="Times New Roman" w:hAnsi="Times New Roman" w:cs="Times New Roman"/>
          <w:sz w:val="24"/>
          <w:szCs w:val="24"/>
        </w:rPr>
        <w:t>(</w:t>
      </w:r>
      <w:r w:rsidRPr="00CA6461">
        <w:rPr>
          <w:rFonts w:ascii="Times New Roman" w:hAnsi="Times New Roman" w:cs="Times New Roman"/>
          <w:bCs/>
          <w:sz w:val="24"/>
          <w:szCs w:val="24"/>
        </w:rPr>
        <w:t>B</w:t>
      </w:r>
      <w:r w:rsidRPr="00CA6461">
        <w:rPr>
          <w:rFonts w:ascii="Times New Roman" w:hAnsi="Times New Roman" w:cs="Times New Roman"/>
          <w:sz w:val="24"/>
          <w:szCs w:val="24"/>
        </w:rPr>
        <w:t>)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The most common mutation signatures based on trinucleotide context and frequency of somatic single nucleotide mutations from tumor/normal exome sequencing of five </w:t>
      </w:r>
      <w:proofErr w:type="spellStart"/>
      <w:r w:rsidRPr="00CA6461">
        <w:rPr>
          <w:rFonts w:ascii="Times New Roman" w:hAnsi="Times New Roman" w:cs="Times New Roman"/>
          <w:bCs/>
          <w:sz w:val="24"/>
          <w:szCs w:val="24"/>
        </w:rPr>
        <w:t>cPAC</w:t>
      </w:r>
      <w:proofErr w:type="spellEnd"/>
      <w:r w:rsidRPr="00CA6461">
        <w:rPr>
          <w:rFonts w:ascii="Times New Roman" w:hAnsi="Times New Roman" w:cs="Times New Roman"/>
          <w:bCs/>
          <w:sz w:val="24"/>
          <w:szCs w:val="24"/>
        </w:rPr>
        <w:t xml:space="preserve"> cases. COSMIC Signature 1A (C&gt;T substitutions at </w:t>
      </w:r>
      <w:proofErr w:type="spellStart"/>
      <w:r w:rsidRPr="00CA6461">
        <w:rPr>
          <w:rFonts w:ascii="Times New Roman" w:hAnsi="Times New Roman" w:cs="Times New Roman"/>
          <w:bCs/>
          <w:sz w:val="24"/>
          <w:szCs w:val="24"/>
        </w:rPr>
        <w:t>NpCpG</w:t>
      </w:r>
      <w:proofErr w:type="spellEnd"/>
      <w:r w:rsidRPr="00CA6461">
        <w:rPr>
          <w:rFonts w:ascii="Times New Roman" w:hAnsi="Times New Roman" w:cs="Times New Roman"/>
          <w:bCs/>
          <w:sz w:val="24"/>
          <w:szCs w:val="24"/>
        </w:rPr>
        <w:t xml:space="preserve"> trinucleotides that are associated with age) was present in four cases. COSMIC Signature 2 (C&gt;T and C&gt;G substitutions at </w:t>
      </w:r>
      <w:proofErr w:type="spellStart"/>
      <w:r w:rsidRPr="00CA6461">
        <w:rPr>
          <w:rFonts w:ascii="Times New Roman" w:hAnsi="Times New Roman" w:cs="Times New Roman"/>
          <w:bCs/>
          <w:sz w:val="24"/>
          <w:szCs w:val="24"/>
        </w:rPr>
        <w:t>TpCpN</w:t>
      </w:r>
      <w:proofErr w:type="spellEnd"/>
      <w:r w:rsidRPr="00CA6461">
        <w:rPr>
          <w:rFonts w:ascii="Times New Roman" w:hAnsi="Times New Roman" w:cs="Times New Roman"/>
          <w:bCs/>
          <w:sz w:val="24"/>
          <w:szCs w:val="24"/>
        </w:rPr>
        <w:t xml:space="preserve">, associated with APOBEC cytidine deaminase activity) was present in two cases. </w:t>
      </w:r>
    </w:p>
    <w:p w:rsidR="00DB5D02" w:rsidRPr="000A0746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0EF">
        <w:rPr>
          <w:rFonts w:ascii="Times New Roman" w:hAnsi="Times New Roman" w:cs="Times New Roman"/>
          <w:b/>
          <w:bCs/>
          <w:sz w:val="24"/>
          <w:szCs w:val="24"/>
        </w:rPr>
        <w:t>Fig. S4. Comparison of HER2 mutant allele fractions measured using droplet digital PCR and targeted sequencing in tumor tissue.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054">
        <w:rPr>
          <w:rFonts w:ascii="Times New Roman" w:hAnsi="Times New Roman" w:cs="Times New Roman"/>
          <w:i/>
          <w:sz w:val="24"/>
          <w:szCs w:val="24"/>
        </w:rPr>
        <w:t>HER2</w:t>
      </w:r>
      <w:r w:rsidRPr="00CF30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V659E</w:t>
      </w:r>
      <w:r w:rsidRPr="00CF3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evaluated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ddPCR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CF3054">
        <w:rPr>
          <w:rFonts w:ascii="Times New Roman" w:eastAsia="Times New Roman" w:hAnsi="Times New Roman" w:cs="Times New Roman"/>
          <w:sz w:val="24"/>
          <w:szCs w:val="24"/>
        </w:rPr>
        <w:t xml:space="preserve"> tumor DNA samples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which these </w:t>
      </w:r>
      <w:r w:rsidRPr="00CF3054">
        <w:rPr>
          <w:rFonts w:ascii="Times New Roman" w:eastAsia="Times New Roman" w:hAnsi="Times New Roman" w:cs="Times New Roman"/>
          <w:sz w:val="24"/>
          <w:szCs w:val="24"/>
        </w:rPr>
        <w:t xml:space="preserve">mutations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also detected </w:t>
      </w:r>
      <w:r w:rsidRPr="00CF3054">
        <w:rPr>
          <w:rFonts w:ascii="Times New Roman" w:eastAsia="Times New Roman" w:hAnsi="Times New Roman" w:cs="Times New Roman"/>
          <w:sz w:val="24"/>
          <w:szCs w:val="24"/>
        </w:rPr>
        <w:t xml:space="preserve">using amplicon sequencing.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F3054">
        <w:rPr>
          <w:rFonts w:ascii="Times New Roman" w:eastAsia="Times New Roman" w:hAnsi="Times New Roman" w:cs="Times New Roman"/>
          <w:sz w:val="24"/>
          <w:szCs w:val="24"/>
        </w:rPr>
        <w:t xml:space="preserve">e observed a high correlation between allele fractions measured using </w:t>
      </w:r>
      <w:r>
        <w:rPr>
          <w:rFonts w:ascii="Times New Roman" w:eastAsia="Times New Roman" w:hAnsi="Times New Roman" w:cs="Times New Roman"/>
          <w:sz w:val="24"/>
          <w:szCs w:val="24"/>
        </w:rPr>
        <w:t>both techniques</w:t>
      </w:r>
      <w:r w:rsidRPr="00CF3054">
        <w:rPr>
          <w:rFonts w:ascii="Times New Roman" w:eastAsia="Times New Roman" w:hAnsi="Times New Roman" w:cs="Times New Roman"/>
          <w:sz w:val="24"/>
          <w:szCs w:val="24"/>
        </w:rPr>
        <w:t xml:space="preserve"> (Pearson’s r 0.976, p=0.0008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0EF">
        <w:rPr>
          <w:rFonts w:ascii="Times New Roman" w:hAnsi="Times New Roman" w:cs="Times New Roman"/>
          <w:b/>
          <w:bCs/>
          <w:sz w:val="24"/>
          <w:szCs w:val="24"/>
        </w:rPr>
        <w:t>Fig. S5. HER2 expression in primary canine lung cancer based on quantitative real-time PCR analyses.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Box plots are shown for HER2 2^(-</w:t>
      </w:r>
      <w:proofErr w:type="spellStart"/>
      <w:r w:rsidRPr="00CA6461">
        <w:rPr>
          <w:rFonts w:ascii="Times New Roman" w:hAnsi="Times New Roman" w:cs="Times New Roman"/>
          <w:color w:val="000000"/>
          <w:sz w:val="24"/>
          <w:szCs w:val="24"/>
        </w:rPr>
        <w:t>ΔΔCt</w:t>
      </w:r>
      <w:proofErr w:type="spellEnd"/>
      <w:r w:rsidRPr="00CA6461">
        <w:rPr>
          <w:rFonts w:ascii="Times New Roman" w:hAnsi="Times New Roman" w:cs="Times New Roman"/>
          <w:bCs/>
          <w:sz w:val="24"/>
          <w:szCs w:val="24"/>
        </w:rPr>
        <w:t xml:space="preserve">) expression fold-change relative to the housekeeping gene HPRT (x-axis) in 49 tumors and 14 matched normal lung tissues comparing (A) Normal lung tissue versus tumor tissue, and (B) Normal lung tissue versus </w:t>
      </w:r>
      <w:r w:rsidRPr="00CA6461">
        <w:rPr>
          <w:rFonts w:ascii="Times New Roman" w:hAnsi="Times New Roman" w:cs="Times New Roman"/>
          <w:bCs/>
          <w:i/>
          <w:sz w:val="24"/>
          <w:szCs w:val="24"/>
        </w:rPr>
        <w:t>HER2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-wild-type tumor tissue versus </w:t>
      </w:r>
      <w:r w:rsidRPr="00CA6461">
        <w:rPr>
          <w:rFonts w:ascii="Times New Roman" w:hAnsi="Times New Roman" w:cs="Times New Roman"/>
          <w:bCs/>
          <w:i/>
          <w:sz w:val="24"/>
          <w:szCs w:val="24"/>
        </w:rPr>
        <w:t>HER2</w:t>
      </w:r>
      <w:r w:rsidRPr="00CA6461">
        <w:rPr>
          <w:rFonts w:ascii="Times New Roman" w:hAnsi="Times New Roman" w:cs="Times New Roman"/>
          <w:bCs/>
          <w:sz w:val="24"/>
          <w:szCs w:val="24"/>
        </w:rPr>
        <w:t>-mutant tumor tissue.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0EF">
        <w:rPr>
          <w:rFonts w:ascii="Times New Roman" w:hAnsi="Times New Roman" w:cs="Times New Roman"/>
          <w:b/>
          <w:bCs/>
          <w:sz w:val="24"/>
          <w:szCs w:val="24"/>
        </w:rPr>
        <w:t>Fig. S6. HER2 cellular location and function in primary canine lung cancer.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(A) Canine papillary adenocarcinoma with intense, complete, circumferential membrane (white arrow) and lateral cytoplasmic membrane (black arrow) anti-HER2 antibody positive staining (brown) in a patient with wild-type HER2. </w:t>
      </w:r>
      <w:r w:rsidRPr="00CA6461">
        <w:rPr>
          <w:rFonts w:ascii="Times New Roman" w:hAnsi="Times New Roman" w:cs="Times New Roman"/>
          <w:sz w:val="24"/>
          <w:szCs w:val="24"/>
        </w:rPr>
        <w:t>(</w:t>
      </w:r>
      <w:r w:rsidRPr="00CA6461">
        <w:rPr>
          <w:rFonts w:ascii="Times New Roman" w:hAnsi="Times New Roman" w:cs="Times New Roman"/>
          <w:bCs/>
          <w:sz w:val="24"/>
          <w:szCs w:val="24"/>
        </w:rPr>
        <w:t>B</w:t>
      </w:r>
      <w:r w:rsidRPr="00CA6461">
        <w:rPr>
          <w:rFonts w:ascii="Times New Roman" w:hAnsi="Times New Roman" w:cs="Times New Roman"/>
          <w:sz w:val="24"/>
          <w:szCs w:val="24"/>
        </w:rPr>
        <w:t>)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Canine papillary adenocarcinoma with moderate cytoplasmic (black arrow) anti-HER2 antibody positive staining (light brown) in a patient with wild-type HER2. x 40; bar 50 µm. </w:t>
      </w:r>
      <w:r w:rsidRPr="00CA6461">
        <w:rPr>
          <w:rFonts w:ascii="Times New Roman" w:hAnsi="Times New Roman" w:cs="Times New Roman"/>
          <w:sz w:val="24"/>
          <w:szCs w:val="24"/>
        </w:rPr>
        <w:t>(</w:t>
      </w:r>
      <w:r w:rsidRPr="00CA6461">
        <w:rPr>
          <w:rFonts w:ascii="Times New Roman" w:hAnsi="Times New Roman" w:cs="Times New Roman"/>
          <w:bCs/>
          <w:sz w:val="24"/>
          <w:szCs w:val="24"/>
        </w:rPr>
        <w:t>C</w:t>
      </w:r>
      <w:r w:rsidRPr="00CA6461">
        <w:rPr>
          <w:rFonts w:ascii="Times New Roman" w:hAnsi="Times New Roman" w:cs="Times New Roman"/>
          <w:sz w:val="24"/>
          <w:szCs w:val="24"/>
        </w:rPr>
        <w:t>)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Anti-HER2 immunohistochemistry of a Grade 1 canine papillary adenocarcinoma wild type for HER2. x 20. </w:t>
      </w:r>
      <w:r w:rsidRPr="00CA6461">
        <w:rPr>
          <w:rFonts w:ascii="Times New Roman" w:hAnsi="Times New Roman" w:cs="Times New Roman"/>
          <w:sz w:val="24"/>
          <w:szCs w:val="24"/>
        </w:rPr>
        <w:t>(</w:t>
      </w:r>
      <w:r w:rsidRPr="00CA6461">
        <w:rPr>
          <w:rFonts w:ascii="Times New Roman" w:hAnsi="Times New Roman" w:cs="Times New Roman"/>
          <w:bCs/>
          <w:sz w:val="24"/>
          <w:szCs w:val="24"/>
        </w:rPr>
        <w:t>D</w:t>
      </w:r>
      <w:r w:rsidRPr="00CA6461">
        <w:rPr>
          <w:rFonts w:ascii="Times New Roman" w:hAnsi="Times New Roman" w:cs="Times New Roman"/>
          <w:sz w:val="24"/>
          <w:szCs w:val="24"/>
        </w:rPr>
        <w:t>)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Segmentation mark-up of the tumor from adjacent normal lung. Tumor is identified by green, whereas red is area within tumor that contains no tissue, and yellow represents areas of non-tumor such as necrosis or tumor stroma. x20.</w:t>
      </w:r>
    </w:p>
    <w:p w:rsidR="00DB5D02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0EF">
        <w:rPr>
          <w:rFonts w:ascii="Times New Roman" w:hAnsi="Times New Roman" w:cs="Times New Roman"/>
          <w:b/>
          <w:bCs/>
          <w:sz w:val="24"/>
          <w:szCs w:val="24"/>
        </w:rPr>
        <w:t>Fig. S7. Canine primary lung cancer cell line sensitivity to lapatinib.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Four canine cell lines (three </w:t>
      </w:r>
      <w:r w:rsidRPr="00CA6461">
        <w:rPr>
          <w:rFonts w:ascii="Times New Roman" w:hAnsi="Times New Roman" w:cs="Times New Roman"/>
          <w:i/>
          <w:sz w:val="24"/>
          <w:szCs w:val="24"/>
        </w:rPr>
        <w:t>HER2</w:t>
      </w:r>
      <w:r w:rsidRPr="00CA646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WT </w:t>
      </w:r>
      <w:r w:rsidRPr="00CA6461">
        <w:rPr>
          <w:rFonts w:ascii="Times New Roman" w:hAnsi="Times New Roman" w:cs="Times New Roman"/>
          <w:bCs/>
          <w:sz w:val="24"/>
          <w:szCs w:val="24"/>
        </w:rPr>
        <w:t>and one</w:t>
      </w:r>
      <w:r w:rsidRPr="00CA646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CA6461">
        <w:rPr>
          <w:rFonts w:ascii="Times New Roman" w:hAnsi="Times New Roman" w:cs="Times New Roman"/>
          <w:i/>
          <w:sz w:val="24"/>
          <w:szCs w:val="24"/>
        </w:rPr>
        <w:t>HER2</w:t>
      </w:r>
      <w:r w:rsidRPr="00CA6461">
        <w:rPr>
          <w:rFonts w:ascii="Times New Roman" w:hAnsi="Times New Roman" w:cs="Times New Roman"/>
          <w:bCs/>
          <w:sz w:val="24"/>
          <w:szCs w:val="24"/>
          <w:vertAlign w:val="superscript"/>
        </w:rPr>
        <w:t>V659E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) were treated with 14 lapatinib doses ranging from 100 </w:t>
      </w:r>
      <w:proofErr w:type="spellStart"/>
      <w:r w:rsidRPr="00CA6461">
        <w:rPr>
          <w:rFonts w:ascii="Times New Roman" w:hAnsi="Times New Roman" w:cs="Times New Roman"/>
          <w:bCs/>
          <w:sz w:val="24"/>
          <w:szCs w:val="24"/>
        </w:rPr>
        <w:t>μM</w:t>
      </w:r>
      <w:proofErr w:type="spellEnd"/>
      <w:r w:rsidRPr="00CA6461">
        <w:rPr>
          <w:rFonts w:ascii="Times New Roman" w:hAnsi="Times New Roman" w:cs="Times New Roman"/>
          <w:bCs/>
          <w:sz w:val="24"/>
          <w:szCs w:val="24"/>
        </w:rPr>
        <w:t xml:space="preserve"> to 5.5x10</w:t>
      </w:r>
      <w:r w:rsidRPr="00CA6461">
        <w:rPr>
          <w:rFonts w:ascii="Times New Roman" w:hAnsi="Times New Roman" w:cs="Times New Roman"/>
          <w:bCs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CA6461">
        <w:rPr>
          <w:rFonts w:ascii="Times New Roman" w:hAnsi="Times New Roman" w:cs="Times New Roman"/>
          <w:bCs/>
          <w:sz w:val="24"/>
          <w:szCs w:val="24"/>
        </w:rPr>
        <w:t>nM</w:t>
      </w:r>
      <w:proofErr w:type="spellEnd"/>
      <w:r w:rsidRPr="00CA6461">
        <w:rPr>
          <w:rFonts w:ascii="Times New Roman" w:hAnsi="Times New Roman" w:cs="Times New Roman"/>
          <w:bCs/>
          <w:sz w:val="24"/>
          <w:szCs w:val="24"/>
        </w:rPr>
        <w:t xml:space="preserve"> for 72 hours with </w:t>
      </w:r>
      <w:proofErr w:type="spellStart"/>
      <w:r w:rsidRPr="00CA6461">
        <w:rPr>
          <w:rFonts w:ascii="Times New Roman" w:hAnsi="Times New Roman" w:cs="Times New Roman"/>
          <w:bCs/>
          <w:sz w:val="24"/>
          <w:szCs w:val="24"/>
        </w:rPr>
        <w:t>CellTiterGlo</w:t>
      </w:r>
      <w:proofErr w:type="spellEnd"/>
      <w:r w:rsidRPr="00CA6461">
        <w:rPr>
          <w:rFonts w:ascii="Times New Roman" w:hAnsi="Times New Roman" w:cs="Times New Roman"/>
          <w:bCs/>
          <w:sz w:val="24"/>
          <w:szCs w:val="24"/>
        </w:rPr>
        <w:t xml:space="preserve"> viability endpoints were measured and shown as percent survival relative to DMSO vehicle control.</w:t>
      </w:r>
    </w:p>
    <w:p w:rsidR="00DB5D02" w:rsidRDefault="00DB5D02" w:rsidP="00DB5D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0EF">
        <w:rPr>
          <w:rFonts w:ascii="Times New Roman" w:eastAsia="Times New Roman" w:hAnsi="Times New Roman" w:cs="Times New Roman"/>
          <w:b/>
          <w:sz w:val="24"/>
          <w:szCs w:val="24"/>
        </w:rPr>
        <w:t>Fig. S8. Canine primary lung cancer cell line sensitivity to erlotinib.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Five canine cell lines (three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WT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two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V659E</w:t>
      </w:r>
      <w:r>
        <w:rPr>
          <w:rFonts w:ascii="Times New Roman" w:eastAsia="Times New Roman" w:hAnsi="Times New Roman" w:cs="Times New Roman"/>
          <w:sz w:val="24"/>
          <w:szCs w:val="24"/>
        </w:rPr>
        <w:t>) and one human cell line BT474 (</w:t>
      </w:r>
      <w:r w:rsidRPr="00507C1A">
        <w:rPr>
          <w:rFonts w:ascii="Times New Roman" w:eastAsia="Times New Roman" w:hAnsi="Times New Roman" w:cs="Times New Roman"/>
          <w:i/>
          <w:sz w:val="24"/>
          <w:szCs w:val="24"/>
        </w:rPr>
        <w:t>HER2</w:t>
      </w:r>
      <w:r w:rsidRPr="00507C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were treated with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 erlotinib doses ranging from 5x10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72 hours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CellTiterGlo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viability endpoints measured and shown as percent growth inhibition relative to DMSO vehicle control.</w:t>
      </w:r>
    </w:p>
    <w:p w:rsidR="00DB5D02" w:rsidRDefault="00DB5D02" w:rsidP="00DB5D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0EF">
        <w:rPr>
          <w:rFonts w:ascii="Times New Roman" w:eastAsia="Times New Roman" w:hAnsi="Times New Roman" w:cs="Times New Roman"/>
          <w:b/>
          <w:sz w:val="24"/>
          <w:szCs w:val="24"/>
        </w:rPr>
        <w:t>Fig. S9. Canine primary lung cancer cell line sensitivity to trastuzumab.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Five canine cell lines (three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WT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two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V659E</w:t>
      </w:r>
      <w:r>
        <w:rPr>
          <w:rFonts w:ascii="Times New Roman" w:eastAsia="Times New Roman" w:hAnsi="Times New Roman" w:cs="Times New Roman"/>
          <w:sz w:val="24"/>
          <w:szCs w:val="24"/>
        </w:rPr>
        <w:t>) and one human cell line BT474 (</w:t>
      </w:r>
      <w:r w:rsidRPr="00E73EC9">
        <w:rPr>
          <w:rFonts w:ascii="Times New Roman" w:eastAsia="Times New Roman" w:hAnsi="Times New Roman" w:cs="Times New Roman"/>
          <w:i/>
          <w:sz w:val="24"/>
          <w:szCs w:val="24"/>
        </w:rPr>
        <w:t>HER2</w:t>
      </w:r>
      <w:r w:rsidRPr="00E73E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amp</w:t>
      </w:r>
      <w:r>
        <w:rPr>
          <w:rFonts w:ascii="Times New Roman" w:eastAsia="Times New Roman" w:hAnsi="Times New Roman" w:cs="Times New Roman"/>
          <w:sz w:val="24"/>
          <w:szCs w:val="24"/>
        </w:rPr>
        <w:t>) were treated with 10 trastuzumab doses ranging from 1x10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/ml to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/ml for 72 hours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CellTiterGlo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viability endpoints measured and shown as percent growth inhibition relative to PBS vehicle control. Relative survival was measured with respect of the sensitive cell line BT474.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5D02" w:rsidRPr="000940EF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EF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S1</w:t>
      </w:r>
      <w:r w:rsidRPr="00CA6461">
        <w:rPr>
          <w:rFonts w:ascii="Times New Roman" w:hAnsi="Times New Roman" w:cs="Times New Roman"/>
          <w:bCs/>
          <w:sz w:val="24"/>
          <w:szCs w:val="24"/>
        </w:rPr>
        <w:t>. Informatic tools utilized in primary canin</w:t>
      </w:r>
      <w:r>
        <w:rPr>
          <w:rFonts w:ascii="Times New Roman" w:hAnsi="Times New Roman" w:cs="Times New Roman"/>
          <w:bCs/>
          <w:sz w:val="24"/>
          <w:szCs w:val="24"/>
        </w:rPr>
        <w:t>e lung cancer genomic analyses.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461">
        <w:rPr>
          <w:rFonts w:ascii="Times New Roman" w:hAnsi="Times New Roman" w:cs="Times New Roman"/>
          <w:bCs/>
          <w:sz w:val="24"/>
          <w:szCs w:val="24"/>
        </w:rPr>
        <w:t>Table S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A6461">
        <w:rPr>
          <w:rFonts w:ascii="Times New Roman" w:hAnsi="Times New Roman" w:cs="Times New Roman"/>
          <w:bCs/>
          <w:sz w:val="24"/>
          <w:szCs w:val="24"/>
        </w:rPr>
        <w:t>. Extended clinical and multiplatform annotation of primary canine lung cancer cases.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S3</w:t>
      </w:r>
      <w:r w:rsidRPr="00CA6461">
        <w:rPr>
          <w:rFonts w:ascii="Times New Roman" w:hAnsi="Times New Roman" w:cs="Times New Roman"/>
          <w:bCs/>
          <w:sz w:val="24"/>
          <w:szCs w:val="24"/>
        </w:rPr>
        <w:t>. Sequencing metrics for primary canine lung cancer exome analysis.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S4</w:t>
      </w:r>
      <w:r w:rsidRPr="00CA6461">
        <w:rPr>
          <w:rFonts w:ascii="Times New Roman" w:hAnsi="Times New Roman" w:cs="Times New Roman"/>
          <w:bCs/>
          <w:sz w:val="24"/>
          <w:szCs w:val="24"/>
        </w:rPr>
        <w:t>. Somatic coding SNVs identified by exome sequencing of primary canine lung cancers.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S5</w:t>
      </w:r>
      <w:r w:rsidRPr="00CA6461">
        <w:rPr>
          <w:rFonts w:ascii="Times New Roman" w:hAnsi="Times New Roman" w:cs="Times New Roman"/>
          <w:bCs/>
          <w:sz w:val="24"/>
          <w:szCs w:val="24"/>
        </w:rPr>
        <w:t>. Somatic coding CNVs identified by exome sequencing of primary canine lung cancers.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S6</w:t>
      </w:r>
      <w:r w:rsidRPr="00CA6461">
        <w:rPr>
          <w:rFonts w:ascii="Times New Roman" w:hAnsi="Times New Roman" w:cs="Times New Roman"/>
          <w:bCs/>
          <w:sz w:val="24"/>
          <w:szCs w:val="24"/>
        </w:rPr>
        <w:t>. Somatic coding SVs identified by exome sequencing of primary canine lung cancers.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S7</w:t>
      </w:r>
      <w:r w:rsidRPr="00CA6461">
        <w:rPr>
          <w:rFonts w:ascii="Times New Roman" w:hAnsi="Times New Roman" w:cs="Times New Roman"/>
          <w:bCs/>
          <w:sz w:val="24"/>
          <w:szCs w:val="24"/>
        </w:rPr>
        <w:t>. Canine genomic regions covered by custom amplicon panel.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S8</w:t>
      </w:r>
      <w:r w:rsidRPr="00CA6461">
        <w:rPr>
          <w:rFonts w:ascii="Times New Roman" w:hAnsi="Times New Roman" w:cs="Times New Roman"/>
          <w:bCs/>
          <w:sz w:val="24"/>
          <w:szCs w:val="24"/>
        </w:rPr>
        <w:t>. Sequencing metrics for primary canine lung cancer amplicon analysis.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S9</w:t>
      </w:r>
      <w:r w:rsidRPr="00CA6461">
        <w:rPr>
          <w:rFonts w:ascii="Times New Roman" w:hAnsi="Times New Roman" w:cs="Times New Roman"/>
          <w:bCs/>
          <w:sz w:val="24"/>
          <w:szCs w:val="24"/>
        </w:rPr>
        <w:t>. Somatic coding SNVs identified by panel sequencing of primary canine lung cancers.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S10</w:t>
      </w:r>
      <w:r w:rsidRPr="00CA6461">
        <w:rPr>
          <w:rFonts w:ascii="Times New Roman" w:hAnsi="Times New Roman" w:cs="Times New Roman"/>
          <w:bCs/>
          <w:sz w:val="24"/>
          <w:szCs w:val="24"/>
        </w:rPr>
        <w:t>. Germline SNPs in COSMIC Tier 1 cancer genes identified by exome and panel sequencing in primary canine lung cancers.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S11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. Multi-platform validation of </w:t>
      </w:r>
      <w:r w:rsidRPr="00CA6461">
        <w:rPr>
          <w:rFonts w:ascii="Times New Roman" w:hAnsi="Times New Roman" w:cs="Times New Roman"/>
          <w:bCs/>
          <w:i/>
          <w:sz w:val="24"/>
          <w:szCs w:val="24"/>
        </w:rPr>
        <w:t>HER2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mutations.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S12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. Non-invasive detection of </w:t>
      </w:r>
      <w:r w:rsidRPr="00CA6461">
        <w:rPr>
          <w:rFonts w:ascii="Times New Roman" w:hAnsi="Times New Roman" w:cs="Times New Roman"/>
          <w:bCs/>
          <w:i/>
          <w:sz w:val="24"/>
          <w:szCs w:val="24"/>
        </w:rPr>
        <w:t>HER2</w:t>
      </w:r>
      <w:r w:rsidRPr="00CA6461">
        <w:rPr>
          <w:rFonts w:ascii="Times New Roman" w:hAnsi="Times New Roman" w:cs="Times New Roman"/>
          <w:bCs/>
          <w:sz w:val="24"/>
          <w:szCs w:val="24"/>
          <w:vertAlign w:val="superscript"/>
        </w:rPr>
        <w:t>V659E</w:t>
      </w:r>
      <w:r w:rsidRPr="00CA6461">
        <w:rPr>
          <w:rFonts w:ascii="Times New Roman" w:hAnsi="Times New Roman" w:cs="Times New Roman"/>
          <w:bCs/>
          <w:sz w:val="24"/>
          <w:szCs w:val="24"/>
        </w:rPr>
        <w:t xml:space="preserve"> in the plasma of primary canine lung cancer patients.</w:t>
      </w:r>
    </w:p>
    <w:p w:rsidR="00DB5D02" w:rsidRPr="00CA6461" w:rsidRDefault="00DB5D02" w:rsidP="00DB5D0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S13</w:t>
      </w:r>
      <w:r w:rsidRPr="00CA6461">
        <w:rPr>
          <w:rFonts w:ascii="Times New Roman" w:hAnsi="Times New Roman" w:cs="Times New Roman"/>
          <w:bCs/>
          <w:sz w:val="24"/>
          <w:szCs w:val="24"/>
        </w:rPr>
        <w:t>. HER2 protein expression and quantific</w:t>
      </w:r>
      <w:r>
        <w:rPr>
          <w:rFonts w:ascii="Times New Roman" w:hAnsi="Times New Roman" w:cs="Times New Roman"/>
          <w:bCs/>
          <w:sz w:val="24"/>
          <w:szCs w:val="24"/>
        </w:rPr>
        <w:t>ation by immunohistochemistry.</w:t>
      </w:r>
    </w:p>
    <w:p w:rsidR="00537B8B" w:rsidRDefault="00537B8B">
      <w:bookmarkStart w:id="0" w:name="_GoBack"/>
      <w:bookmarkEnd w:id="0"/>
    </w:p>
    <w:sectPr w:rsidR="00537B8B" w:rsidSect="00D6637E">
      <w:footerReference w:type="even" r:id="rId4"/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DCF" w:rsidRDefault="00DB5D02" w:rsidP="00662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DCF" w:rsidRDefault="00DB5D02" w:rsidP="009E06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DCF" w:rsidRDefault="00DB5D02" w:rsidP="00662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86DCF" w:rsidRDefault="00DB5D02" w:rsidP="00F600F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02"/>
    <w:rsid w:val="00537B8B"/>
    <w:rsid w:val="00D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E33C1-8060-4407-A105-4AE72E22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D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02"/>
  </w:style>
  <w:style w:type="character" w:styleId="PageNumber">
    <w:name w:val="page number"/>
    <w:basedOn w:val="DefaultParagraphFont"/>
    <w:uiPriority w:val="99"/>
    <w:semiHidden/>
    <w:unhideWhenUsed/>
    <w:rsid w:val="00DB5D02"/>
  </w:style>
  <w:style w:type="character" w:styleId="LineNumber">
    <w:name w:val="line number"/>
    <w:basedOn w:val="DefaultParagraphFont"/>
    <w:uiPriority w:val="99"/>
    <w:semiHidden/>
    <w:unhideWhenUsed/>
    <w:rsid w:val="00DB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2019-07-29T16:46:00Z</dcterms:created>
  <dcterms:modified xsi:type="dcterms:W3CDTF">2019-07-29T16:46:00Z</dcterms:modified>
</cp:coreProperties>
</file>