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F468" w14:textId="77777777" w:rsidR="00083906" w:rsidRPr="009350EB" w:rsidRDefault="00083906" w:rsidP="00083906">
      <w:pPr>
        <w:pStyle w:val="Caption"/>
        <w:jc w:val="both"/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</w:pPr>
      <w:r w:rsidRPr="00DB3139">
        <w:rPr>
          <w:rFonts w:ascii="Arial" w:eastAsia="+mn-ea" w:hAnsi="Arial" w:cs="Arial"/>
          <w:i/>
          <w:iCs/>
          <w:color w:val="000000"/>
          <w:kern w:val="24"/>
          <w:sz w:val="18"/>
          <w:szCs w:val="18"/>
        </w:rPr>
        <w:t>Figure S1:</w:t>
      </w:r>
      <w:r w:rsidRPr="009350EB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 xml:space="preserve"> PRS-343 specificity for 4-1BB within TNF receptor superfamily. Seven recombinant human TNF receptor superfamily proteins were purchased from Sino Biological (4-1BB: 10041-H08H, RANK: 16078-H08H, GITR: 13643-H08H, Ox40: 10481-H08H) or R&amp;D Systems (CD30: 6126-CD, TNF-RII: 1089-R2, TNF-RI: 636-R1) and used for determination of PRS-343 selectivity for 4-1BB. Proteins were coated to an ELISA plate, PRS-343 was added in a dilution series and detected via HRP-labeled anti-human IgG Fc antibody. Within the set of tested TNF receptor family proteins, PRS-343 binds exclusively to 4-1BB.</w:t>
      </w:r>
    </w:p>
    <w:p w14:paraId="6B7A20E1" w14:textId="77777777" w:rsidR="00083906" w:rsidRDefault="00083906" w:rsidP="00083906">
      <w:pPr>
        <w:spacing w:line="216" w:lineRule="auto"/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  <w:lang w:val="en-GB"/>
        </w:rPr>
      </w:pPr>
    </w:p>
    <w:p w14:paraId="474C558B" w14:textId="77777777" w:rsidR="00083906" w:rsidRPr="001762DF" w:rsidRDefault="00083906" w:rsidP="00083906">
      <w:pPr>
        <w:pStyle w:val="Caption"/>
        <w:jc w:val="both"/>
        <w:rPr>
          <w:rFonts w:ascii="Arial" w:eastAsia="+mn-ea" w:hAnsi="Arial" w:cs="Arial"/>
          <w:i/>
          <w:iCs/>
          <w:color w:val="000000"/>
          <w:kern w:val="24"/>
          <w:sz w:val="18"/>
          <w:szCs w:val="18"/>
        </w:rPr>
      </w:pPr>
      <w:r w:rsidRPr="001762DF">
        <w:rPr>
          <w:rFonts w:ascii="Arial" w:eastAsia="+mn-ea" w:hAnsi="Arial" w:cs="Arial"/>
          <w:i/>
          <w:iCs/>
          <w:color w:val="000000"/>
          <w:kern w:val="24"/>
          <w:sz w:val="18"/>
          <w:szCs w:val="18"/>
        </w:rPr>
        <w:t>Figure S2:</w:t>
      </w:r>
      <w:r>
        <w:rPr>
          <w:rFonts w:ascii="Arial" w:eastAsia="+mn-ea" w:hAnsi="Arial" w:cs="Arial"/>
          <w:i/>
          <w:iCs/>
          <w:color w:val="000000"/>
          <w:kern w:val="24"/>
          <w:sz w:val="18"/>
          <w:szCs w:val="18"/>
        </w:rPr>
        <w:t xml:space="preserve"> </w:t>
      </w:r>
      <w:r w:rsidRPr="001762DF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>Characterization of multiple bispecific formats of a 4-1BB targeting Anticalin protein recombinantly fused to an anti-HER2 antibody (A). ELISA based binding properties of all formats were compared to parental building blocks (C) while the ability to activate T-cells (IL2 induction) was assessed in a co-culture assay.</w:t>
      </w:r>
    </w:p>
    <w:p w14:paraId="567A8E6F" w14:textId="77777777" w:rsidR="00083906" w:rsidRDefault="00083906" w:rsidP="00083906">
      <w:pPr>
        <w:spacing w:line="216" w:lineRule="auto"/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</w:pPr>
    </w:p>
    <w:p w14:paraId="36B72978" w14:textId="77777777" w:rsidR="00083906" w:rsidRPr="004F1AAC" w:rsidRDefault="00083906" w:rsidP="00083906">
      <w:pPr>
        <w:pStyle w:val="Caption"/>
        <w:jc w:val="both"/>
      </w:pPr>
      <w:r w:rsidRPr="00AB0634">
        <w:rPr>
          <w:rFonts w:ascii="Arial" w:eastAsia="+mn-ea" w:hAnsi="Arial" w:cs="Arial"/>
          <w:i/>
          <w:iCs/>
          <w:color w:val="000000"/>
          <w:kern w:val="24"/>
          <w:sz w:val="18"/>
          <w:szCs w:val="18"/>
        </w:rPr>
        <w:t>Figure S3:</w:t>
      </w:r>
      <w:r w:rsidRPr="00AB0634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 xml:space="preserve"> Cytokine release assay with PRS-343. PBMC were isolated from the blood of twelve healthy donors and incubated for 72 hours with PRS-343 either air dried, in soluble form, or wet coated. Four concentrations of PRS-343 in a volume of 50 µl were tested in each setting as indicated in the figure. The anti-CD3 monoclonal antibody OKT3 at three different concentrations served as the positive control, and an IgG4 isotype antibody was the negative control. </w:t>
      </w:r>
      <w:proofErr w:type="spellStart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>Supernatant</w:t>
      </w:r>
      <w:proofErr w:type="spellEnd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 </w:t>
      </w:r>
      <w:proofErr w:type="spellStart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>levels</w:t>
      </w:r>
      <w:proofErr w:type="spellEnd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 of </w:t>
      </w:r>
      <w:proofErr w:type="spellStart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>ten</w:t>
      </w:r>
      <w:proofErr w:type="spellEnd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 cytokines (IL-1</w:t>
      </w:r>
      <w:r w:rsidRPr="00AB0634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>β</w:t>
      </w:r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>, IL-2, IL-4, IL-6, IL-8, IL-10, IL-12p70, GM-CSF, IFN-</w:t>
      </w:r>
      <w:r w:rsidRPr="00AB0634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>γ</w:t>
      </w:r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 and TNF-</w:t>
      </w:r>
      <w:r w:rsidRPr="00AB0634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>α</w:t>
      </w:r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) </w:t>
      </w:r>
      <w:proofErr w:type="spellStart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>were</w:t>
      </w:r>
      <w:proofErr w:type="spellEnd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 </w:t>
      </w:r>
      <w:proofErr w:type="spellStart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>analyzed</w:t>
      </w:r>
      <w:proofErr w:type="spellEnd"/>
      <w:r w:rsidRPr="00083906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  <w:lang w:val="fr-FR"/>
        </w:rPr>
        <w:t xml:space="preserve">. </w:t>
      </w:r>
      <w:r w:rsidRPr="00AB0634">
        <w:rPr>
          <w:rFonts w:ascii="Arial" w:eastAsia="+mn-ea" w:hAnsi="Arial" w:cs="Arial"/>
          <w:b w:val="0"/>
          <w:i/>
          <w:iCs/>
          <w:color w:val="000000"/>
          <w:kern w:val="24"/>
          <w:sz w:val="18"/>
          <w:szCs w:val="18"/>
        </w:rPr>
        <w:t>The figure shows the average response for the ten donors that displayed a significant response to OKT3, and for a selection of the most relevant cytokines</w:t>
      </w:r>
      <w:r w:rsidRPr="004F1AAC">
        <w:rPr>
          <w:i/>
          <w:iCs/>
        </w:rPr>
        <w:t>.</w:t>
      </w:r>
    </w:p>
    <w:p w14:paraId="2BBE9EB6" w14:textId="77777777" w:rsidR="00083906" w:rsidRDefault="00083906" w:rsidP="00083906">
      <w:pPr>
        <w:spacing w:line="216" w:lineRule="auto"/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</w:pPr>
    </w:p>
    <w:p w14:paraId="79E5A360" w14:textId="61D431F1" w:rsidR="007E05C8" w:rsidRPr="00083906" w:rsidRDefault="007E05C8" w:rsidP="007E05C8">
      <w:pPr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</w:pPr>
      <w:r w:rsidRPr="00083906"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  <w:t>Figure S</w:t>
      </w:r>
      <w:r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  <w:t>4</w:t>
      </w:r>
      <w:r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:</w:t>
      </w:r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 Dose-dependent 4-1BB activation of a 4-1BB over-expressing </w:t>
      </w:r>
      <w:proofErr w:type="spellStart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Jurkat</w:t>
      </w:r>
      <w:proofErr w:type="spellEnd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 </w:t>
      </w:r>
      <w:proofErr w:type="spellStart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Nf</w:t>
      </w:r>
      <w:proofErr w:type="spellEnd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-kB reporter cell line induced by PRS-343 with ON preincubation of the drug in the presence of NCI-N87 (HER2 high), MKN45 (HER2 low) and HepG2 (HER2 null) cell lines, or without tumor cells. Briefly, cancer cells were seeded onto tissue culture plates with PRS-343 (at 10, 1, 0.1 and 0,01 </w:t>
      </w:r>
      <w:proofErr w:type="spellStart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nM</w:t>
      </w:r>
      <w:proofErr w:type="spellEnd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) and incubated ON. All plates were then washed twice with PBS. 4-1BB over-expressing </w:t>
      </w:r>
      <w:proofErr w:type="spellStart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Jurkat</w:t>
      </w:r>
      <w:proofErr w:type="spellEnd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 </w:t>
      </w:r>
      <w:proofErr w:type="spellStart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Nf</w:t>
      </w:r>
      <w:proofErr w:type="spellEnd"/>
      <w:r w:rsidRPr="00083906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>-kB reporter (at 3:1 ratio) were added to each well. Following a 6 hours incubation, Bio-Glow luciferase reagent was added to each well and luminescence was measured.</w:t>
      </w:r>
    </w:p>
    <w:p w14:paraId="663AD40B" w14:textId="77777777" w:rsidR="007E05C8" w:rsidRDefault="007E05C8" w:rsidP="00083906">
      <w:pPr>
        <w:spacing w:line="216" w:lineRule="auto"/>
        <w:jc w:val="both"/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</w:pPr>
    </w:p>
    <w:p w14:paraId="4ADB75D9" w14:textId="474B8284" w:rsidR="00083906" w:rsidRDefault="00083906" w:rsidP="00083906">
      <w:pPr>
        <w:spacing w:line="216" w:lineRule="auto"/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</w:pPr>
      <w:r w:rsidRPr="005C55F3"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  <w:t>Figure S</w:t>
      </w:r>
      <w:r w:rsidR="007E05C8"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  <w:t>5</w:t>
      </w:r>
      <w:r w:rsidRPr="005C55F3"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  <w:t>:</w:t>
      </w:r>
      <w:r w:rsidRPr="005C55F3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 Fold increase changes of a panel of cytokines induced by human T-cells co-stimulated by PRS-343 in the presence of SKBR-3 (HER2 high) or MCF-7 (HER2 low).</w:t>
      </w:r>
    </w:p>
    <w:p w14:paraId="312D0B02" w14:textId="77777777" w:rsidR="00083906" w:rsidRDefault="00083906" w:rsidP="00083906">
      <w:pPr>
        <w:rPr>
          <w:b/>
        </w:rPr>
      </w:pPr>
    </w:p>
    <w:p w14:paraId="33D81812" w14:textId="379EC03C" w:rsidR="00A57F92" w:rsidRDefault="00A57F92" w:rsidP="00A57F92">
      <w:pPr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</w:pPr>
      <w:r w:rsidRPr="00A57F92"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  <w:t>Figure S6:</w:t>
      </w:r>
      <w:r w:rsidRPr="00A57F92"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  <w:t xml:space="preserve"> h-4-1BB expression in T-cells during co-culture assay. Using a similar set up as described in M&amp;M, purified Pan T-cells (from healthy donors) and SK-BR3 high Her2 expressing cells were co-incubated in the presence of coated anti-CD3 antibody. After 24, 48 and 72 hours of co-incubation, Pan T-cells were collected and 4-1BB expression on CD3 positive cells was assessed by flow cytometry. (A) shows the % of 4-1BB positive T-cells for two donors and (B) shows histogram of h-4-1BB expression on CD3 positive T-cells from two donors (red 24 hours; blue 48 hours; brown 72 hours).</w:t>
      </w:r>
    </w:p>
    <w:p w14:paraId="60417FF5" w14:textId="77777777" w:rsidR="000F021F" w:rsidRPr="000F021F" w:rsidRDefault="000F021F" w:rsidP="00A57F92">
      <w:pPr>
        <w:jc w:val="both"/>
        <w:rPr>
          <w:rFonts w:ascii="Arial" w:eastAsia="+mn-ea" w:hAnsi="Arial" w:cs="Arial"/>
          <w:b/>
          <w:bCs/>
          <w:i/>
          <w:iCs/>
          <w:color w:val="000000"/>
          <w:kern w:val="24"/>
          <w:sz w:val="18"/>
          <w:szCs w:val="18"/>
        </w:rPr>
      </w:pPr>
    </w:p>
    <w:p w14:paraId="1A61DE6D" w14:textId="77777777" w:rsidR="000F021F" w:rsidRPr="000F021F" w:rsidRDefault="000F021F" w:rsidP="000F021F">
      <w:pPr>
        <w:pStyle w:val="Caption"/>
        <w:rPr>
          <w:b w:val="0"/>
          <w:i/>
        </w:rPr>
      </w:pPr>
      <w:bookmarkStart w:id="0" w:name="_Ref481066457"/>
      <w:bookmarkStart w:id="1" w:name="_Toc475993923"/>
      <w:r w:rsidRPr="000F021F">
        <w:rPr>
          <w:i/>
        </w:rPr>
        <w:t xml:space="preserve">Table S </w:t>
      </w:r>
      <w:r w:rsidRPr="000F021F">
        <w:rPr>
          <w:i/>
        </w:rPr>
        <w:fldChar w:fldCharType="begin"/>
      </w:r>
      <w:r w:rsidRPr="000F021F">
        <w:rPr>
          <w:i/>
        </w:rPr>
        <w:instrText xml:space="preserve"> SEQ Table_S \* ARABIC </w:instrText>
      </w:r>
      <w:r w:rsidRPr="000F021F">
        <w:rPr>
          <w:i/>
        </w:rPr>
        <w:fldChar w:fldCharType="separate"/>
      </w:r>
      <w:r w:rsidRPr="000F021F">
        <w:rPr>
          <w:i/>
          <w:noProof/>
        </w:rPr>
        <w:t>1</w:t>
      </w:r>
      <w:r w:rsidRPr="000F021F">
        <w:rPr>
          <w:i/>
        </w:rPr>
        <w:fldChar w:fldCharType="end"/>
      </w:r>
      <w:bookmarkEnd w:id="0"/>
      <w:r w:rsidRPr="000F021F">
        <w:rPr>
          <w:i/>
        </w:rPr>
        <w:t>:</w:t>
      </w:r>
      <w:r w:rsidRPr="000F021F">
        <w:rPr>
          <w:b w:val="0"/>
          <w:i/>
        </w:rPr>
        <w:tab/>
        <w:t>Relative HER2 cell surface expression</w:t>
      </w:r>
      <w:bookmarkEnd w:id="1"/>
      <w:r w:rsidRPr="000F021F">
        <w:rPr>
          <w:b w:val="0"/>
          <w:i/>
        </w:rPr>
        <w:t xml:space="preserve"> on a panel of cell lines. Expression was experimentally determined using a specific anti-HER2-antibody binding capacity (</w:t>
      </w:r>
      <w:proofErr w:type="spellStart"/>
      <w:r w:rsidRPr="000F021F">
        <w:rPr>
          <w:b w:val="0"/>
          <w:i/>
        </w:rPr>
        <w:t>sABC</w:t>
      </w:r>
      <w:proofErr w:type="spellEnd"/>
      <w:r w:rsidRPr="000F021F">
        <w:rPr>
          <w:b w:val="0"/>
          <w:i/>
        </w:rPr>
        <w:t xml:space="preserve"> [HER2]) and quantitative indirect immunofluorescence in flow cytometry (QIFIKIT). HER2 surface levels are also provided relative to the level on SKBR3 cells which were chosen as a reference cell line. </w:t>
      </w:r>
    </w:p>
    <w:p w14:paraId="4BBEACBF" w14:textId="77777777" w:rsidR="00083906" w:rsidRPr="001762DF" w:rsidRDefault="00083906" w:rsidP="00083906">
      <w:pPr>
        <w:spacing w:line="216" w:lineRule="auto"/>
        <w:jc w:val="both"/>
        <w:rPr>
          <w:rFonts w:ascii="Arial" w:eastAsia="+mn-ea" w:hAnsi="Arial" w:cs="Arial"/>
          <w:bCs/>
          <w:i/>
          <w:iCs/>
          <w:color w:val="000000"/>
          <w:kern w:val="24"/>
          <w:sz w:val="18"/>
          <w:szCs w:val="18"/>
        </w:rPr>
      </w:pPr>
    </w:p>
    <w:p w14:paraId="3758B4F9" w14:textId="313532B4" w:rsidR="005B0F61" w:rsidRDefault="005B0F61">
      <w:bookmarkStart w:id="2" w:name="_GoBack"/>
      <w:bookmarkEnd w:id="2"/>
    </w:p>
    <w:sectPr w:rsidR="005B0F6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6CA5"/>
    <w:multiLevelType w:val="hybridMultilevel"/>
    <w:tmpl w:val="9C841F8A"/>
    <w:lvl w:ilvl="0" w:tplc="673E4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7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0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E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4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28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C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61"/>
    <w:rsid w:val="00083906"/>
    <w:rsid w:val="000F021F"/>
    <w:rsid w:val="001762DF"/>
    <w:rsid w:val="00400806"/>
    <w:rsid w:val="005B0F61"/>
    <w:rsid w:val="005C55F3"/>
    <w:rsid w:val="005D5F21"/>
    <w:rsid w:val="00612017"/>
    <w:rsid w:val="00794489"/>
    <w:rsid w:val="007E05C8"/>
    <w:rsid w:val="008B2492"/>
    <w:rsid w:val="008D6832"/>
    <w:rsid w:val="009350EB"/>
    <w:rsid w:val="00A57F92"/>
    <w:rsid w:val="00AB0634"/>
    <w:rsid w:val="00B03257"/>
    <w:rsid w:val="00BF628A"/>
    <w:rsid w:val="00DB3139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CB52"/>
  <w15:chartTrackingRefBased/>
  <w15:docId w15:val="{8E24BC6B-9C73-4568-AAD6-31198E2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5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57"/>
    <w:rPr>
      <w:rFonts w:ascii="Segoe UI" w:hAnsi="Segoe UI" w:cs="Segoe UI"/>
      <w:sz w:val="18"/>
      <w:szCs w:val="18"/>
    </w:rPr>
  </w:style>
  <w:style w:type="paragraph" w:styleId="Caption">
    <w:name w:val="caption"/>
    <w:aliases w:val="Table Caption"/>
    <w:basedOn w:val="Normal"/>
    <w:next w:val="Normal"/>
    <w:link w:val="CaptionChar"/>
    <w:qFormat/>
    <w:rsid w:val="005D5F2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aptionChar">
    <w:name w:val="Caption Char"/>
    <w:aliases w:val="Table Caption Char"/>
    <w:link w:val="Caption"/>
    <w:locked/>
    <w:rsid w:val="005D5F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3F04E2EAB041B6AFA8CAD93FB4C5" ma:contentTypeVersion="8" ma:contentTypeDescription="Create a new document." ma:contentTypeScope="" ma:versionID="f8daa0d65b24c570b2918bd7490b07e6">
  <xsd:schema xmlns:xsd="http://www.w3.org/2001/XMLSchema" xmlns:xs="http://www.w3.org/2001/XMLSchema" xmlns:p="http://schemas.microsoft.com/office/2006/metadata/properties" xmlns:ns2="784da424-9c4f-4146-8e2b-a0397d30afa2" xmlns:ns3="0f3f9ba5-55b7-43c0-9df8-9ce8a27870f1" targetNamespace="http://schemas.microsoft.com/office/2006/metadata/properties" ma:root="true" ma:fieldsID="3f4b528b3f1b111beb91950e8423336d" ns2:_="" ns3:_="">
    <xsd:import namespace="784da424-9c4f-4146-8e2b-a0397d30afa2"/>
    <xsd:import namespace="0f3f9ba5-55b7-43c0-9df8-9ce8a278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a424-9c4f-4146-8e2b-a0397d30a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9ba5-55b7-43c0-9df8-9ce8a278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3F7E7-A23C-4788-8E5B-E4281F00D565}">
  <ds:schemaRefs>
    <ds:schemaRef ds:uri="http://schemas.microsoft.com/office/infopath/2007/PartnerControls"/>
    <ds:schemaRef ds:uri="0f3f9ba5-55b7-43c0-9df8-9ce8a27870f1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784da424-9c4f-4146-8e2b-a0397d30af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07218-E585-4C34-B1C6-B039F79E9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E7998-1174-4A8D-A68F-0C446782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da424-9c4f-4146-8e2b-a0397d30afa2"/>
    <ds:schemaRef ds:uri="0f3f9ba5-55b7-43c0-9df8-9ce8a2787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Jaquin</dc:creator>
  <cp:keywords/>
  <dc:description/>
  <cp:lastModifiedBy>Siegmann, Bill</cp:lastModifiedBy>
  <cp:revision>2</cp:revision>
  <dcterms:created xsi:type="dcterms:W3CDTF">2019-05-22T13:15:00Z</dcterms:created>
  <dcterms:modified xsi:type="dcterms:W3CDTF">2019-05-22T13:15:00Z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0x010100EF1A3F04E2EAB041B6AFA8CAD93FB4C5</vt:lpwstr>
  </property>
</Properties>
</file>