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70" w:rsidRPr="001D3A8D" w:rsidRDefault="00FA5A70" w:rsidP="00FA5A70">
      <w:pPr>
        <w:spacing w:line="276" w:lineRule="auto"/>
        <w:rPr>
          <w:rFonts w:ascii="Arial" w:eastAsia="Arial" w:hAnsi="Arial" w:cs="Arial"/>
          <w:b/>
          <w:u w:val="single"/>
        </w:rPr>
      </w:pPr>
      <w:r w:rsidRPr="001D3A8D">
        <w:rPr>
          <w:rFonts w:ascii="Arial" w:eastAsia="Arial" w:hAnsi="Arial" w:cs="Arial"/>
          <w:b/>
          <w:u w:val="single"/>
        </w:rPr>
        <w:t>SUPPLEMENTAL FIGURES/TABLES</w:t>
      </w:r>
    </w:p>
    <w:p w:rsidR="00FA5A70" w:rsidRPr="001D3A8D" w:rsidRDefault="00FA5A70" w:rsidP="00FA5A70">
      <w:pPr>
        <w:spacing w:line="276" w:lineRule="auto"/>
        <w:rPr>
          <w:rFonts w:ascii="Arial" w:eastAsia="Arial" w:hAnsi="Arial" w:cs="Arial"/>
        </w:rPr>
      </w:pPr>
      <w:r w:rsidRPr="001D3A8D">
        <w:rPr>
          <w:rFonts w:ascii="Arial" w:eastAsia="Arial" w:hAnsi="Arial" w:cs="Arial"/>
        </w:rPr>
        <w:t xml:space="preserve">Supplemental Table 1: Exposure parameters to STM 434 </w:t>
      </w:r>
    </w:p>
    <w:p w:rsidR="00FA5A70" w:rsidRPr="001D3A8D" w:rsidRDefault="00FA5A70" w:rsidP="00FA5A70">
      <w:pPr>
        <w:spacing w:line="276" w:lineRule="auto"/>
        <w:rPr>
          <w:rFonts w:ascii="Arial" w:eastAsia="Arial" w:hAnsi="Arial" w:cs="Arial"/>
        </w:rPr>
      </w:pPr>
      <w:r w:rsidRPr="001D3A8D">
        <w:rPr>
          <w:rFonts w:ascii="Arial" w:eastAsia="Arial" w:hAnsi="Arial" w:cs="Arial"/>
        </w:rPr>
        <w:t>Supplemental Table 2: Laboratory parameters in STM 434</w:t>
      </w:r>
    </w:p>
    <w:p w:rsidR="00FA5A70" w:rsidRPr="001D3A8D" w:rsidRDefault="00FA5A70" w:rsidP="00FA5A70">
      <w:pPr>
        <w:spacing w:line="276" w:lineRule="auto"/>
        <w:rPr>
          <w:rFonts w:ascii="Arial" w:eastAsia="Arial" w:hAnsi="Arial" w:cs="Arial"/>
        </w:rPr>
      </w:pPr>
      <w:r w:rsidRPr="001D3A8D">
        <w:rPr>
          <w:rFonts w:ascii="Arial" w:eastAsia="Arial" w:hAnsi="Arial" w:cs="Arial"/>
        </w:rPr>
        <w:t>Supplemental Table 3: Change in ECOG Performance Status</w:t>
      </w:r>
    </w:p>
    <w:p w:rsidR="00D45FBD" w:rsidRDefault="00D45FBD" w:rsidP="00D45FBD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Supplemental Figure 1: Resolution of hepatic steatosis</w:t>
      </w:r>
    </w:p>
    <w:p w:rsidR="00FA5A70" w:rsidRDefault="00FA5A70" w:rsidP="00FA5A70">
      <w:pPr>
        <w:spacing w:line="276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Supplemental Figure </w:t>
      </w:r>
      <w:r w:rsidR="00D45FB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: Hereditary hemorrhagic telangiectasia-like cutaneous telangiectasias </w:t>
      </w:r>
    </w:p>
    <w:p w:rsidR="00537B8B" w:rsidRDefault="00537B8B"/>
    <w:sectPr w:rsidR="0053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0"/>
    <w:rsid w:val="00537B8B"/>
    <w:rsid w:val="00D45FBD"/>
    <w:rsid w:val="00F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75EA"/>
  <w15:chartTrackingRefBased/>
  <w15:docId w15:val="{C9101299-BCC8-4B94-819A-2D217990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A7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Mackey, Kimberly</cp:lastModifiedBy>
  <cp:revision>2</cp:revision>
  <dcterms:created xsi:type="dcterms:W3CDTF">2019-06-20T15:04:00Z</dcterms:created>
  <dcterms:modified xsi:type="dcterms:W3CDTF">2019-06-20T15:04:00Z</dcterms:modified>
</cp:coreProperties>
</file>