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51" w:rsidRDefault="00755251" w:rsidP="006223DC">
      <w:pPr>
        <w:spacing w:before="120" w:line="480" w:lineRule="auto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Supplementary Methodology: Ladjohounlou et al.</w:t>
      </w:r>
    </w:p>
    <w:p w:rsidR="006223DC" w:rsidRPr="00300559" w:rsidRDefault="006223DC" w:rsidP="006223DC">
      <w:pPr>
        <w:spacing w:before="120" w:line="48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it-CH"/>
        </w:rPr>
      </w:pPr>
      <w:r w:rsidRPr="00300559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it-CH"/>
        </w:rPr>
        <w:t>Ex</w:t>
      </w:r>
      <w:r w:rsidR="00B768CD" w:rsidRPr="00300559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it-CH"/>
        </w:rPr>
        <w:t xml:space="preserve"> </w:t>
      </w:r>
      <w:r w:rsidRPr="00300559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lang w:val="it-CH"/>
        </w:rPr>
        <w:t>vivo</w:t>
      </w:r>
      <w:r w:rsidRPr="0030055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it-CH"/>
        </w:rPr>
        <w:t xml:space="preserve"> digital autoradiography </w:t>
      </w:r>
      <w:r w:rsidR="00B768CD" w:rsidRPr="0030055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it-CH"/>
        </w:rPr>
        <w:t xml:space="preserve">(DAR) </w:t>
      </w:r>
      <w:r w:rsidRPr="0030055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it-CH"/>
        </w:rPr>
        <w:t>and dosimetry</w:t>
      </w:r>
    </w:p>
    <w:p w:rsidR="006223DC" w:rsidRPr="00B768CD" w:rsidRDefault="00B768CD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mmediately after mouse sacriﬁce and tumor sectioning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he absolute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Pb activity in tumor sections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was determined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u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sing a previously calibrated gamma counter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 By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selecting the gamma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-ray energy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Pb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238.6 </w:t>
      </w:r>
      <w:proofErr w:type="spellStart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keV</w:t>
      </w:r>
      <w:proofErr w:type="spellEnd"/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activities rang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ed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from 2.87 to 45.38 </w:t>
      </w:r>
      <w:proofErr w:type="spellStart"/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Bq</w:t>
      </w:r>
      <w:proofErr w:type="spellEnd"/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The same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sections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were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then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scanned with </w:t>
      </w:r>
      <w:r w:rsidR="006475D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Beta IMAGER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®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dFine</w:t>
      </w:r>
      <w:proofErr w:type="spellEnd"/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 establish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</w:t>
      </w:r>
      <w:r w:rsidR="006223DC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calibration factor (k) for the DAR images. </w:t>
      </w:r>
    </w:p>
    <w:p w:rsidR="006223DC" w:rsidRDefault="006223DC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Then, for each mouse, the speciﬁc activity A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proofErr w:type="spellStart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Bq</w:t>
      </w:r>
      <w:proofErr w:type="spellEnd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/g) in the tumor mass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which included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all nodules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was calculated from DAR images as: </w:t>
      </w:r>
    </w:p>
    <w:p w:rsidR="00B768CD" w:rsidRDefault="00B768CD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/>
          <w:noProof/>
          <w:color w:val="1F4E79" w:themeColor="accent1" w:themeShade="80"/>
          <w:sz w:val="24"/>
        </w:rPr>
        <w:drawing>
          <wp:anchor distT="0" distB="0" distL="114300" distR="114300" simplePos="0" relativeHeight="251659264" behindDoc="1" locked="0" layoutInCell="1" allowOverlap="1" wp14:anchorId="25856E29" wp14:editId="0ADFD5B8">
            <wp:simplePos x="0" y="0"/>
            <wp:positionH relativeFrom="margin">
              <wp:posOffset>2456815</wp:posOffset>
            </wp:positionH>
            <wp:positionV relativeFrom="paragraph">
              <wp:posOffset>45720</wp:posOffset>
            </wp:positionV>
            <wp:extent cx="10668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14" y="20571"/>
                <wp:lineTo x="21214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8CD" w:rsidRPr="00B768CD" w:rsidRDefault="00B768CD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6223DC" w:rsidRPr="00B768CD" w:rsidRDefault="006223DC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where </w:t>
      </w:r>
      <w:proofErr w:type="spellStart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CPM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total</w:t>
      </w:r>
      <w:proofErr w:type="spellEnd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represents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total DAR count in the segmented image, </w:t>
      </w:r>
      <w:proofErr w:type="spellStart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voxel</w:t>
      </w:r>
      <w:proofErr w:type="spellEnd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is the voxel mass in grams and </w:t>
      </w:r>
      <w:proofErr w:type="spellStart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bscript"/>
        </w:rPr>
        <w:t>t</w:t>
      </w:r>
      <w:proofErr w:type="spellEnd"/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total number of tumor voxels. When multiple mice were available for a single data point, their speciﬁc activities were averaged. The resulting </w:t>
      </w:r>
      <w:r w:rsidR="006475D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mean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speciﬁc activit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and standard deviation were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used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 build time–activity curves for each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Pb-mAb. Time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-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activity curves were ﬁtted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by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assuming a mono-exponential decay to extract the cumulated activities for each tumor treated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with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Pb-mAbs.</w:t>
      </w:r>
    </w:p>
    <w:p w:rsidR="006223DC" w:rsidRPr="00B768CD" w:rsidRDefault="006223DC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Two different techniques were used for calculati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ng the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tumor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absorbed dose.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First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average tumor absorbed dose was calculated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by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assuming a spherical shape and a homogeneous radiopharmaceutical distribution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and by using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standard MIRD schema </w:t>
      </w:r>
      <w:r w:rsidR="008C5734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begin"/>
      </w:r>
      <w:r w:rsid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instrText xml:space="preserve"> ADDIN EN.CITE &lt;EndNote&gt;&lt;Cite&gt;&lt;Author&gt;Bolch&lt;/Author&gt;&lt;Year&gt;2009&lt;/Year&gt;&lt;RecNum&gt;245&lt;/RecNum&gt;&lt;DisplayText&gt;(1)&lt;/DisplayText&gt;&lt;record&gt;&lt;rec-number&gt;245&lt;/rec-number&gt;&lt;foreign-keys&gt;&lt;key app="EN" db-id="tveeve2vyrprsteve0mpzzsr02favsa9awdz" timestamp="1531836492"&gt;245&lt;/key&gt;&lt;/foreign-keys&gt;&lt;ref-type name="Journal Article"&gt;17&lt;/ref-type&gt;&lt;contributors&gt;&lt;authors&gt;&lt;author&gt;Bolch, W. E.&lt;/author&gt;&lt;author&gt;Eckerman, K. F.&lt;/author&gt;&lt;author&gt;Sgouros, G.&lt;/author&gt;&lt;author&gt;Thomas, S. R.&lt;/author&gt;&lt;/authors&gt;&lt;/contributors&gt;&lt;auth-address&gt;Department of Nuclear and Radiological Engineering, University of Florida, Gainesville, Florida 32611-8300, USA. wbolch@ufl.edu&lt;/auth-address&gt;&lt;titles&gt;&lt;title&gt;MIRD pamphlet No. 21: a generalized schema for radiopharmaceutical dosimetry--standardization of nomenclature&lt;/title&gt;&lt;secondary-title&gt;J Nucl Med&lt;/secondary-title&gt;&lt;/titles&gt;&lt;periodical&gt;&lt;full-title&gt;J Nucl Med&lt;/full-title&gt;&lt;/periodical&gt;&lt;pages&gt;477-84&lt;/pages&gt;&lt;volume&gt;50&lt;/volume&gt;&lt;number&gt;3&lt;/number&gt;&lt;edition&gt;2009/03/05&lt;/edition&gt;&lt;keywords&gt;&lt;keyword&gt;Algorithms&lt;/keyword&gt;&lt;keyword&gt;Humans&lt;/keyword&gt;&lt;keyword&gt;*Radiation Dosage&lt;/keyword&gt;&lt;keyword&gt;*Radiopharmaceuticals&lt;/keyword&gt;&lt;keyword&gt;Relative Biological Effectiveness&lt;/keyword&gt;&lt;keyword&gt;Stochastic Processes&lt;/keyword&gt;&lt;keyword&gt;*Terminology as Topic&lt;/keyword&gt;&lt;/keywords&gt;&lt;dates&gt;&lt;year&gt;2009&lt;/year&gt;&lt;pub-dates&gt;&lt;date&gt;Mar&lt;/date&gt;&lt;/pub-dates&gt;&lt;/dates&gt;&lt;isbn&gt;0161-5505 (Print)&amp;#xD;0161-5505 (Linking)&lt;/isbn&gt;&lt;accession-num&gt;19258258&lt;/accession-num&gt;&lt;urls&gt;&lt;related-urls&gt;&lt;url&gt;https://www.ncbi.nlm.nih.gov/pubmed/19258258&lt;/url&gt;&lt;/related-urls&gt;&lt;/urls&gt;&lt;electronic-resource-num&gt;10.2967/jnumed.108.056036&lt;/electronic-resource-num&gt;&lt;/record&gt;&lt;/Cite&gt;&lt;/EndNote&gt;</w:instrText>
      </w:r>
      <w:r w:rsidR="008C5734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separate"/>
      </w:r>
      <w:r w:rsidR="002C59B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t>(1)</w:t>
      </w:r>
      <w:r w:rsidR="008C5734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r w:rsidR="008C5734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and S values computed with the GATE Monte-Carlo (MC) toolkit.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Then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radioactivity heterogeneity was taken into account to obtain 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tumor absorbed dose distribution</w:t>
      </w:r>
      <w:r w:rsid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at the voxel level. With both approaches, only the self-absorbed tumor dose was considered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because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short range of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Pb α-particles prevent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irradiation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of the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surrounding tissues. </w:t>
      </w:r>
    </w:p>
    <w:p w:rsidR="006223DC" w:rsidRPr="00653A7C" w:rsidRDefault="006223DC" w:rsidP="006223DC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>The obvious issue for calculati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ng the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tumor absorbed dose from DAR images is to extrapolate the 3D absorbed dose distribution on the basis of a 2D activity distribution. This problem was overcome by performing a preliminary MC simulation (2D model) in which the tumor was modeled as bi-dimensional (XY plane) in order to assess the penetration of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  <w:vertAlign w:val="superscript"/>
        </w:rPr>
        <w:t>212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Pb emissions in the third dimension (Z). This simulation allowed demonstrating that the energy emitted in the central slice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was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almost completely deposited within 105 µm from the source. This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piece of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information was then used to build a ﬁctitious 3D model of the tumor (semi-inﬁnite model) in which the 20 µm tumor slice deﬁned from the selected DAR image was replicated 11 times along the Z axis (from -110 </w:t>
      </w:r>
      <w:r w:rsidR="00695507" w:rsidRPr="002C59BA">
        <w:rPr>
          <w:rFonts w:ascii="Symbol" w:hAnsi="Symbol" w:cs="Times New Roman"/>
          <w:color w:val="1F4E79" w:themeColor="accent1" w:themeShade="80"/>
          <w:sz w:val="24"/>
          <w:szCs w:val="24"/>
        </w:rPr>
        <w:t>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 to 110 </w:t>
      </w:r>
      <w:r w:rsidR="00695507" w:rsidRPr="002C59BA">
        <w:rPr>
          <w:rFonts w:ascii="Symbol" w:hAnsi="Symbol" w:cs="Times New Roman"/>
          <w:color w:val="1F4E79" w:themeColor="accent1" w:themeShade="80"/>
          <w:sz w:val="24"/>
          <w:szCs w:val="24"/>
        </w:rPr>
        <w:t>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m) to model a ﬁctitious 3D activity distribution. </w:t>
      </w:r>
      <w:r w:rsidR="00695507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Additional</w:t>
      </w:r>
      <w:r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details on this method are provided in </w:t>
      </w:r>
      <w:r w:rsidR="008C5734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begin">
          <w:fldData xml:space="preserve">PEVuZE5vdGU+PENpdGU+PEF1dGhvcj5BbmRlcnNzb248L0F1dGhvcj48WWVhcj4yMDA5PC9ZZWFy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</w:fldData>
        </w:fldChar>
      </w:r>
      <w:r w:rsidR="002C59BA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instrText xml:space="preserve"> ADDIN EN.CITE </w:instrText>
      </w:r>
      <w:r w:rsidR="002C59BA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begin">
          <w:fldData xml:space="preserve">PEVuZE5vdGU+PENpdGU+PEF1dGhvcj5BbmRlcnNzb248L0F1dGhvcj48WWVhcj4yMDA5PC9ZZWFy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</w:fldData>
        </w:fldChar>
      </w:r>
      <w:r w:rsidR="002C59BA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instrText xml:space="preserve"> ADDIN EN.CITE.DATA </w:instrText>
      </w:r>
      <w:r w:rsidR="002C59BA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</w:r>
      <w:r w:rsidR="002C59BA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r w:rsidR="008C5734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</w:r>
      <w:r w:rsidR="008C5734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separate"/>
      </w:r>
      <w:r w:rsidR="002C59BA" w:rsidRPr="002C59B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t>(2)</w:t>
      </w:r>
      <w:r w:rsidR="008C5734"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r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For each simulation, 5 </w:t>
      </w:r>
      <w:r w:rsidR="00157ED9"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million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primary events allowed a voxel statistical uncertainty &lt;1% for all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considered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voxels. This approach tak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es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into account not only the absorbed dose due to the activity in the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considered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tumor slice, but also the absorbed dose due to the activity in contiguous slices.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Although 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dge effects due to tumor radioactivity at </w:t>
      </w:r>
      <w:r w:rsidR="00595CA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top and bottom extremities are neglected in this approximation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this was considered the most accurate approach in the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absence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experimental data concerning the actual 3D activity distribution in the tumor</w:t>
      </w:r>
      <w:r w:rsidRPr="00653A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  <w:r w:rsidR="00653A7C" w:rsidRPr="00653A7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More details about dosimetry 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can be found</w:t>
      </w:r>
      <w:r w:rsidR="00653A7C" w:rsidRPr="00653A7C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in </w:t>
      </w:r>
      <w:r w:rsidR="00653A7C" w:rsidRPr="00653A7C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>"Multi-scale dosimetry for Targeted Radionuclide Therapy optimization"</w:t>
      </w:r>
      <w:r w:rsidR="003034DF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>,</w:t>
      </w:r>
      <w:r w:rsidR="00653A7C" w:rsidRPr="00653A7C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 xml:space="preserve"> by </w:t>
      </w:r>
      <w:r w:rsidR="003034DF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 xml:space="preserve">Dr </w:t>
      </w:r>
      <w:r w:rsidR="00653A7C" w:rsidRPr="00653A7C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>Marcatili S.</w:t>
      </w:r>
      <w:r w:rsidR="003034DF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 xml:space="preserve"> (</w:t>
      </w:r>
      <w:r w:rsidR="00653A7C" w:rsidRPr="00653A7C">
        <w:rPr>
          <w:rFonts w:ascii="Times New Roman" w:eastAsia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 xml:space="preserve">available at </w:t>
      </w:r>
      <w:hyperlink r:id="rId7" w:history="1">
        <w:r w:rsidR="00653A7C" w:rsidRPr="00653A7C">
          <w:rPr>
            <w:rFonts w:ascii="Times New Roman" w:hAnsi="Times New Roman" w:cs="Times New Roman"/>
            <w:i/>
            <w:color w:val="1F4E79" w:themeColor="accent1" w:themeShade="80"/>
            <w:sz w:val="24"/>
            <w:szCs w:val="24"/>
            <w:highlight w:val="yellow"/>
          </w:rPr>
          <w:t>https://tel.archives-ouvertes.fr/tel-01248412/document</w:t>
        </w:r>
      </w:hyperlink>
      <w:r w:rsidR="00653A7C" w:rsidRPr="00653A7C"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highlight w:val="yellow"/>
        </w:rPr>
        <w:t>).</w:t>
      </w:r>
    </w:p>
    <w:p w:rsidR="002C59BA" w:rsidRPr="00060B20" w:rsidRDefault="002C59BA" w:rsidP="002C59BA">
      <w:pPr>
        <w:spacing w:after="0" w:line="48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60B20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In vitro</w:t>
      </w:r>
      <w:r w:rsidRPr="00060B2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measurement of DNA damage </w:t>
      </w:r>
    </w:p>
    <w:p w:rsidR="002C59BA" w:rsidRPr="0000223E" w:rsidRDefault="002C59BA" w:rsidP="002C59BA">
      <w:pPr>
        <w:pStyle w:val="Standard"/>
        <w:spacing w:line="480" w:lineRule="auto"/>
        <w:ind w:firstLine="708"/>
        <w:jc w:val="both"/>
        <w:rPr>
          <w:rFonts w:eastAsia="Times New Roman" w:cs="Times New Roman"/>
          <w:color w:val="1F4E79" w:themeColor="accent1" w:themeShade="80"/>
          <w:lang w:val="en-US" w:eastAsia="fr-FR"/>
        </w:rPr>
      </w:pPr>
      <w:r w:rsidRPr="0000223E">
        <w:rPr>
          <w:rFonts w:cs="Times New Roman"/>
          <w:color w:val="1F4E79" w:themeColor="accent1" w:themeShade="80"/>
          <w:lang w:val="en-US"/>
        </w:rPr>
        <w:t>A-431</w:t>
      </w:r>
      <w:r w:rsidRPr="0000223E">
        <w:rPr>
          <w:rFonts w:cs="Times New Roman"/>
          <w:color w:val="1F4E79" w:themeColor="accent1" w:themeShade="80"/>
          <w:vertAlign w:val="subscript"/>
          <w:lang w:val="en-US"/>
        </w:rPr>
        <w:t>CEA</w:t>
      </w:r>
      <w:r w:rsidRPr="0000223E">
        <w:rPr>
          <w:rFonts w:cs="Times New Roman"/>
          <w:color w:val="1F4E79" w:themeColor="accent1" w:themeShade="80"/>
          <w:lang w:val="en-US"/>
        </w:rPr>
        <w:t xml:space="preserve"> and SK-OV-3</w:t>
      </w:r>
      <w:r w:rsidRPr="0000223E">
        <w:rPr>
          <w:rFonts w:cs="Times New Roman"/>
          <w:color w:val="1F4E79" w:themeColor="accent1" w:themeShade="80"/>
          <w:vertAlign w:val="subscript"/>
          <w:lang w:val="en-US"/>
        </w:rPr>
        <w:t>MISRII</w:t>
      </w:r>
      <w:r w:rsidRPr="0000223E">
        <w:rPr>
          <w:rFonts w:cs="Times New Roman"/>
          <w:color w:val="1F4E79" w:themeColor="accent1" w:themeShade="80"/>
          <w:lang w:val="en-US"/>
        </w:rPr>
        <w:t xml:space="preserve"> </w:t>
      </w:r>
      <w:r>
        <w:rPr>
          <w:rFonts w:cs="Times New Roman"/>
          <w:color w:val="1F4E79" w:themeColor="accent1" w:themeShade="80"/>
          <w:lang w:val="en-US"/>
        </w:rPr>
        <w:t xml:space="preserve">donor </w:t>
      </w:r>
      <w:r w:rsidRPr="0000223E">
        <w:rPr>
          <w:rFonts w:cs="Times New Roman"/>
          <w:color w:val="1F4E79" w:themeColor="accent1" w:themeShade="80"/>
          <w:lang w:val="en-US"/>
        </w:rPr>
        <w:t xml:space="preserve">cells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were seeded on coverslip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s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in</w:t>
      </w:r>
      <w:r w:rsidRPr="0000223E">
        <w:rPr>
          <w:rFonts w:cs="Times New Roman"/>
          <w:color w:val="1F4E79" w:themeColor="accent1" w:themeShade="80"/>
          <w:lang w:val="en-US"/>
        </w:rPr>
        <w:t xml:space="preserve"> 6-well plates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. </w:t>
      </w:r>
      <w:r w:rsidRPr="0000223E">
        <w:rPr>
          <w:rFonts w:cs="Times New Roman"/>
          <w:color w:val="1F4E79" w:themeColor="accent1" w:themeShade="80"/>
          <w:lang w:val="en-US"/>
        </w:rPr>
        <w:t xml:space="preserve">The following day, </w:t>
      </w:r>
      <w:r>
        <w:rPr>
          <w:rFonts w:cs="Times New Roman"/>
          <w:color w:val="1F4E79" w:themeColor="accent1" w:themeShade="80"/>
          <w:lang w:val="en-US"/>
        </w:rPr>
        <w:t xml:space="preserve">they </w:t>
      </w:r>
      <w:r w:rsidRPr="0000223E">
        <w:rPr>
          <w:rFonts w:cs="Times New Roman"/>
          <w:color w:val="1F4E79" w:themeColor="accent1" w:themeShade="80"/>
          <w:lang w:val="en-US"/>
        </w:rPr>
        <w:t xml:space="preserve">were incubated with 0.5 </w:t>
      </w:r>
      <w:proofErr w:type="spellStart"/>
      <w:r w:rsidRPr="0000223E">
        <w:rPr>
          <w:rFonts w:cs="Times New Roman"/>
          <w:color w:val="1F4E79" w:themeColor="accent1" w:themeShade="80"/>
          <w:lang w:val="en-US"/>
        </w:rPr>
        <w:t>MBq</w:t>
      </w:r>
      <w:proofErr w:type="spellEnd"/>
      <w:r w:rsidRPr="0000223E">
        <w:rPr>
          <w:rFonts w:cs="Times New Roman"/>
          <w:color w:val="1F4E79" w:themeColor="accent1" w:themeShade="80"/>
          <w:lang w:val="en-US"/>
        </w:rPr>
        <w:t xml:space="preserve">/mL of </w:t>
      </w:r>
      <w:r w:rsidRPr="0000223E">
        <w:rPr>
          <w:rFonts w:cs="Times New Roman"/>
          <w:color w:val="1F4E79" w:themeColor="accent1" w:themeShade="80"/>
          <w:vertAlign w:val="superscript"/>
          <w:lang w:val="en-US"/>
        </w:rPr>
        <w:t>212</w:t>
      </w:r>
      <w:r w:rsidRPr="0000223E">
        <w:rPr>
          <w:rFonts w:cs="Times New Roman"/>
          <w:color w:val="1F4E79" w:themeColor="accent1" w:themeShade="80"/>
          <w:lang w:val="en-US"/>
        </w:rPr>
        <w:t xml:space="preserve">Pb-mAbs </w:t>
      </w:r>
      <w:r>
        <w:rPr>
          <w:rFonts w:cs="Times New Roman"/>
          <w:color w:val="1F4E79" w:themeColor="accent1" w:themeShade="80"/>
          <w:lang w:val="en-US"/>
        </w:rPr>
        <w:t>(</w:t>
      </w:r>
      <w:r w:rsidRPr="0000223E">
        <w:rPr>
          <w:rFonts w:cs="Times New Roman"/>
          <w:color w:val="1F4E79" w:themeColor="accent1" w:themeShade="80"/>
          <w:lang w:val="en-US"/>
        </w:rPr>
        <w:t>A-431</w:t>
      </w:r>
      <w:r w:rsidRPr="0000223E">
        <w:rPr>
          <w:rFonts w:cs="Times New Roman"/>
          <w:color w:val="1F4E79" w:themeColor="accent1" w:themeShade="80"/>
          <w:vertAlign w:val="subscript"/>
          <w:lang w:val="en-US"/>
        </w:rPr>
        <w:t>CEA</w:t>
      </w:r>
      <w:r w:rsidRPr="0000223E">
        <w:rPr>
          <w:rFonts w:cs="Times New Roman"/>
          <w:color w:val="1F4E79" w:themeColor="accent1" w:themeShade="80"/>
          <w:lang w:val="en-US"/>
        </w:rPr>
        <w:t xml:space="preserve"> </w:t>
      </w:r>
      <w:r>
        <w:rPr>
          <w:rFonts w:cs="Times New Roman"/>
          <w:color w:val="1F4E79" w:themeColor="accent1" w:themeShade="80"/>
          <w:lang w:val="en-US"/>
        </w:rPr>
        <w:t xml:space="preserve">cells) </w:t>
      </w:r>
      <w:r w:rsidRPr="0000223E">
        <w:rPr>
          <w:rFonts w:cs="Times New Roman"/>
          <w:color w:val="1F4E79" w:themeColor="accent1" w:themeShade="80"/>
          <w:lang w:val="en-US"/>
        </w:rPr>
        <w:t xml:space="preserve">or </w:t>
      </w:r>
      <w:r w:rsidRPr="006E58B6">
        <w:rPr>
          <w:rFonts w:cs="Times New Roman"/>
          <w:color w:val="1F4E79" w:themeColor="accent1" w:themeShade="80"/>
          <w:lang w:val="en-US"/>
        </w:rPr>
        <w:t>0.5MBq</w:t>
      </w:r>
      <w:r w:rsidRPr="0000223E">
        <w:rPr>
          <w:rFonts w:cs="Times New Roman"/>
          <w:color w:val="1F4E79" w:themeColor="accent1" w:themeShade="80"/>
          <w:lang w:val="en-US"/>
        </w:rPr>
        <w:t xml:space="preserve">/mL of </w:t>
      </w:r>
      <w:r w:rsidRPr="0000223E">
        <w:rPr>
          <w:rFonts w:cs="Times New Roman"/>
          <w:color w:val="1F4E79" w:themeColor="accent1" w:themeShade="80"/>
          <w:vertAlign w:val="superscript"/>
          <w:lang w:val="en-US"/>
        </w:rPr>
        <w:t>213</w:t>
      </w:r>
      <w:r w:rsidRPr="0000223E">
        <w:rPr>
          <w:rFonts w:cs="Times New Roman"/>
          <w:color w:val="1F4E79" w:themeColor="accent1" w:themeShade="80"/>
          <w:lang w:val="en-US"/>
        </w:rPr>
        <w:t>Bi-mAbs</w:t>
      </w:r>
      <w:r>
        <w:rPr>
          <w:rFonts w:cs="Times New Roman"/>
          <w:color w:val="1F4E79" w:themeColor="accent1" w:themeShade="80"/>
          <w:lang w:val="en-US"/>
        </w:rPr>
        <w:t xml:space="preserve"> (</w:t>
      </w:r>
      <w:r w:rsidRPr="0000223E">
        <w:rPr>
          <w:rFonts w:cs="Times New Roman"/>
          <w:color w:val="1F4E79" w:themeColor="accent1" w:themeShade="80"/>
          <w:lang w:val="en-US"/>
        </w:rPr>
        <w:t>SK-OV-3</w:t>
      </w:r>
      <w:r w:rsidRPr="0000223E">
        <w:rPr>
          <w:rFonts w:cs="Times New Roman"/>
          <w:color w:val="1F4E79" w:themeColor="accent1" w:themeShade="80"/>
          <w:vertAlign w:val="subscript"/>
          <w:lang w:val="en-US"/>
        </w:rPr>
        <w:t>MISRII</w:t>
      </w:r>
      <w:r>
        <w:rPr>
          <w:rFonts w:cs="Times New Roman"/>
          <w:color w:val="1F4E79" w:themeColor="accent1" w:themeShade="80"/>
          <w:lang w:val="en-US"/>
        </w:rPr>
        <w:t xml:space="preserve"> cells) </w:t>
      </w:r>
      <w:r w:rsidRPr="0000223E">
        <w:rPr>
          <w:rFonts w:cs="Times New Roman"/>
          <w:color w:val="1F4E79" w:themeColor="accent1" w:themeShade="80"/>
          <w:lang w:val="en-US"/>
        </w:rPr>
        <w:t xml:space="preserve">for 90 min. </w:t>
      </w:r>
      <w:r w:rsidRPr="00284E7D">
        <w:rPr>
          <w:rFonts w:cs="Times New Roman"/>
          <w:color w:val="1F4E79" w:themeColor="accent1" w:themeShade="80"/>
          <w:lang w:val="en-US"/>
        </w:rPr>
        <w:t>After antibody removal</w:t>
      </w:r>
      <w:r>
        <w:rPr>
          <w:rFonts w:cs="Times New Roman"/>
          <w:color w:val="1F4E79" w:themeColor="accent1" w:themeShade="80"/>
          <w:lang w:val="en-US"/>
        </w:rPr>
        <w:t xml:space="preserve">, </w:t>
      </w:r>
      <w:r w:rsidRPr="0000223E">
        <w:rPr>
          <w:rFonts w:cs="Times New Roman"/>
          <w:color w:val="1F4E79" w:themeColor="accent1" w:themeShade="80"/>
          <w:lang w:val="en-US"/>
        </w:rPr>
        <w:t xml:space="preserve">fresh medium (2 ml) was added to donor cells for 2 hours and then transferred to recipient cells.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Both donor and recipient cells were fixed in 3.7% (v/v) formaldehyde for 20min, </w:t>
      </w:r>
      <w:proofErr w:type="spellStart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permeabilized</w:t>
      </w:r>
      <w:proofErr w:type="spellEnd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in 0.1% (v/v) Triton X-100 for 15min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,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followed by incubation with 1% (v/v) PBS/BSA at 37°C</w:t>
      </w:r>
      <w:r w:rsidRPr="00BF664F">
        <w:rPr>
          <w:rFonts w:eastAsia="Times New Roman" w:cs="Times New Roman"/>
          <w:color w:val="1F4E79" w:themeColor="accent1" w:themeShade="80"/>
          <w:lang w:val="en-US" w:eastAsia="fr-FR"/>
        </w:rPr>
        <w:t xml:space="preserve">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lastRenderedPageBreak/>
        <w:t xml:space="preserve">for 1h. </w:t>
      </w:r>
      <w:r w:rsidRPr="0000223E">
        <w:rPr>
          <w:rFonts w:cs="Times New Roman"/>
          <w:color w:val="1F4E79" w:themeColor="accent1" w:themeShade="80"/>
          <w:lang w:val="en-US"/>
        </w:rPr>
        <w:t>Cells were then incubated with anti-phospho</w:t>
      </w:r>
      <w:r>
        <w:rPr>
          <w:rFonts w:cs="Times New Roman"/>
          <w:color w:val="1F4E79" w:themeColor="accent1" w:themeShade="80"/>
          <w:lang w:val="en-US"/>
        </w:rPr>
        <w:t xml:space="preserve">rylated </w:t>
      </w:r>
      <w:r w:rsidRPr="0000223E">
        <w:rPr>
          <w:rFonts w:cs="Times New Roman"/>
          <w:color w:val="1F4E79" w:themeColor="accent1" w:themeShade="80"/>
          <w:lang w:val="en-US"/>
        </w:rPr>
        <w:t xml:space="preserve">histone H2AX </w:t>
      </w:r>
      <w:r>
        <w:rPr>
          <w:rFonts w:cs="Times New Roman"/>
          <w:color w:val="1F4E79" w:themeColor="accent1" w:themeShade="80"/>
          <w:lang w:val="en-US"/>
        </w:rPr>
        <w:t>(</w:t>
      </w:r>
      <w:r>
        <w:rPr>
          <w:rFonts w:ascii="Symbol" w:hAnsi="Symbol" w:cs="Times New Roman"/>
          <w:color w:val="1F4E79" w:themeColor="accent1" w:themeShade="80"/>
          <w:lang w:val="en-US"/>
        </w:rPr>
        <w:t></w:t>
      </w:r>
      <w:r w:rsidRPr="0000223E">
        <w:rPr>
          <w:rFonts w:cs="Times New Roman"/>
          <w:color w:val="1F4E79" w:themeColor="accent1" w:themeShade="80"/>
          <w:lang w:val="en-US"/>
        </w:rPr>
        <w:t>H2AX</w:t>
      </w:r>
      <w:r>
        <w:rPr>
          <w:rFonts w:cs="Times New Roman"/>
          <w:color w:val="1F4E79" w:themeColor="accent1" w:themeShade="80"/>
          <w:lang w:val="en-US"/>
        </w:rPr>
        <w:t xml:space="preserve">) </w:t>
      </w:r>
      <w:r w:rsidRPr="0000223E">
        <w:rPr>
          <w:rFonts w:cs="Times New Roman"/>
          <w:color w:val="1F4E79" w:themeColor="accent1" w:themeShade="80"/>
          <w:lang w:val="en-US"/>
        </w:rPr>
        <w:t>(Ser139, clone JBW301) mouse monoclonal IgG1 (Merck Millipore, St-Quentin-</w:t>
      </w:r>
      <w:proofErr w:type="spellStart"/>
      <w:r w:rsidRPr="0000223E">
        <w:rPr>
          <w:rFonts w:cs="Times New Roman"/>
          <w:color w:val="1F4E79" w:themeColor="accent1" w:themeShade="80"/>
          <w:lang w:val="en-US"/>
        </w:rPr>
        <w:t>en</w:t>
      </w:r>
      <w:proofErr w:type="spellEnd"/>
      <w:r w:rsidRPr="0000223E">
        <w:rPr>
          <w:rFonts w:cs="Times New Roman"/>
          <w:color w:val="1F4E79" w:themeColor="accent1" w:themeShade="80"/>
          <w:lang w:val="en-US"/>
        </w:rPr>
        <w:t>-Yvelines, France)</w:t>
      </w:r>
      <w:r>
        <w:rPr>
          <w:rFonts w:cs="Times New Roman"/>
          <w:color w:val="1F4E79" w:themeColor="accent1" w:themeShade="80"/>
          <w:lang w:val="en-US"/>
        </w:rPr>
        <w:t xml:space="preserve"> (</w:t>
      </w:r>
      <w:r w:rsidRPr="0000223E">
        <w:rPr>
          <w:rFonts w:cs="Times New Roman"/>
          <w:color w:val="1F4E79" w:themeColor="accent1" w:themeShade="80"/>
          <w:lang w:val="en-US"/>
        </w:rPr>
        <w:t>1:200 dilution in 0.1% BSA</w:t>
      </w:r>
      <w:r>
        <w:rPr>
          <w:rFonts w:cs="Times New Roman"/>
          <w:color w:val="1F4E79" w:themeColor="accent1" w:themeShade="80"/>
          <w:lang w:val="en-US"/>
        </w:rPr>
        <w:t>/</w:t>
      </w:r>
      <w:r w:rsidRPr="0000223E">
        <w:rPr>
          <w:rFonts w:cs="Times New Roman"/>
          <w:color w:val="1F4E79" w:themeColor="accent1" w:themeShade="80"/>
          <w:lang w:val="en-US"/>
        </w:rPr>
        <w:t>PBS</w:t>
      </w:r>
      <w:r>
        <w:rPr>
          <w:rFonts w:cs="Times New Roman"/>
          <w:color w:val="1F4E79" w:themeColor="accent1" w:themeShade="80"/>
          <w:lang w:val="en-US"/>
        </w:rPr>
        <w:t>),</w:t>
      </w:r>
      <w:r w:rsidRPr="0000223E">
        <w:rPr>
          <w:rFonts w:cs="Times New Roman"/>
          <w:color w:val="1F4E79" w:themeColor="accent1" w:themeShade="80"/>
          <w:lang w:val="en-US"/>
        </w:rPr>
        <w:t xml:space="preserve"> or with </w:t>
      </w:r>
      <w:r>
        <w:rPr>
          <w:rFonts w:cs="Times New Roman"/>
          <w:color w:val="1F4E79" w:themeColor="accent1" w:themeShade="80"/>
          <w:lang w:val="en-US"/>
        </w:rPr>
        <w:t xml:space="preserve">a </w:t>
      </w:r>
      <w:r w:rsidRPr="0000223E">
        <w:rPr>
          <w:rFonts w:cs="Times New Roman"/>
          <w:color w:val="1F4E79" w:themeColor="accent1" w:themeShade="80"/>
          <w:lang w:val="en-US"/>
        </w:rPr>
        <w:t>rabbit polyclonal 53BP1 antibody (</w:t>
      </w:r>
      <w:r>
        <w:rPr>
          <w:rFonts w:cs="Times New Roman"/>
          <w:color w:val="1F4E79" w:themeColor="accent1" w:themeShade="80"/>
          <w:lang w:val="en-US"/>
        </w:rPr>
        <w:t xml:space="preserve">1:400; </w:t>
      </w:r>
      <w:r w:rsidRPr="0000223E">
        <w:rPr>
          <w:rFonts w:cs="Times New Roman"/>
          <w:color w:val="1F4E79" w:themeColor="accent1" w:themeShade="80"/>
          <w:lang w:val="en-US"/>
        </w:rPr>
        <w:t xml:space="preserve">Novus Biologicals, Cambridge, UK) at 4°C </w:t>
      </w:r>
      <w:r>
        <w:rPr>
          <w:rFonts w:cs="Times New Roman"/>
          <w:color w:val="1F4E79" w:themeColor="accent1" w:themeShade="80"/>
          <w:lang w:val="en-US"/>
        </w:rPr>
        <w:t>overnight, followed by an</w:t>
      </w:r>
      <w:r w:rsidRPr="0000223E">
        <w:rPr>
          <w:rFonts w:cs="Times New Roman"/>
          <w:color w:val="1F4E79" w:themeColor="accent1" w:themeShade="80"/>
          <w:lang w:val="en-US"/>
        </w:rPr>
        <w:t xml:space="preserve">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Alexa-488-conjugated anti-mouse secondary mAb 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(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1:200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 xml:space="preserve">;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Invitrogen; </w:t>
      </w:r>
      <w:r w:rsidRPr="0000223E">
        <w:rPr>
          <w:rFonts w:cs="Times New Roman"/>
          <w:color w:val="1F4E79" w:themeColor="accent1" w:themeShade="80"/>
          <w:lang w:val="en-US"/>
        </w:rPr>
        <w:t xml:space="preserve">Saint </w:t>
      </w:r>
      <w:proofErr w:type="spellStart"/>
      <w:r w:rsidRPr="0000223E">
        <w:rPr>
          <w:rFonts w:cs="Times New Roman"/>
          <w:color w:val="1F4E79" w:themeColor="accent1" w:themeShade="80"/>
          <w:lang w:val="en-US"/>
        </w:rPr>
        <w:t>Aubin</w:t>
      </w:r>
      <w:proofErr w:type="spellEnd"/>
      <w:r w:rsidRPr="0000223E">
        <w:rPr>
          <w:rFonts w:cs="Times New Roman"/>
          <w:color w:val="1F4E79" w:themeColor="accent1" w:themeShade="80"/>
          <w:lang w:val="en-US"/>
        </w:rPr>
        <w:t xml:space="preserve">, France) </w:t>
      </w:r>
      <w:r>
        <w:rPr>
          <w:rFonts w:cs="Times New Roman"/>
          <w:color w:val="1F4E79" w:themeColor="accent1" w:themeShade="80"/>
          <w:lang w:val="en-US"/>
        </w:rPr>
        <w:t xml:space="preserve">for </w:t>
      </w:r>
      <w:r>
        <w:rPr>
          <w:rFonts w:ascii="Symbol" w:hAnsi="Symbol" w:cs="Times New Roman"/>
          <w:color w:val="1F4E79" w:themeColor="accent1" w:themeShade="80"/>
          <w:lang w:val="en-US"/>
        </w:rPr>
        <w:t></w:t>
      </w:r>
      <w:r w:rsidRPr="0000223E">
        <w:rPr>
          <w:rFonts w:cs="Times New Roman"/>
          <w:color w:val="1F4E79" w:themeColor="accent1" w:themeShade="80"/>
          <w:lang w:val="en-US"/>
        </w:rPr>
        <w:t>H2AX</w:t>
      </w:r>
      <w:r>
        <w:rPr>
          <w:rFonts w:cs="Times New Roman"/>
          <w:color w:val="1F4E79" w:themeColor="accent1" w:themeShade="80"/>
          <w:lang w:val="en-US"/>
        </w:rPr>
        <w:t xml:space="preserve">, or </w:t>
      </w:r>
      <w:r w:rsidRPr="0000223E">
        <w:rPr>
          <w:rFonts w:cs="Times New Roman"/>
          <w:color w:val="1F4E79" w:themeColor="accent1" w:themeShade="80"/>
          <w:lang w:val="en-US"/>
        </w:rPr>
        <w:t xml:space="preserve">Alexa-555-conjugated anti-rabbit </w:t>
      </w:r>
      <w:r>
        <w:rPr>
          <w:rFonts w:cs="Times New Roman"/>
          <w:color w:val="1F4E79" w:themeColor="accent1" w:themeShade="80"/>
          <w:lang w:val="en-US"/>
        </w:rPr>
        <w:t xml:space="preserve">mAb (1:500;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Invitrogen; </w:t>
      </w:r>
      <w:r w:rsidRPr="0000223E">
        <w:rPr>
          <w:rFonts w:cs="Times New Roman"/>
          <w:color w:val="1F4E79" w:themeColor="accent1" w:themeShade="80"/>
          <w:lang w:val="en-US"/>
        </w:rPr>
        <w:t xml:space="preserve">Saint </w:t>
      </w:r>
      <w:proofErr w:type="spellStart"/>
      <w:r w:rsidRPr="0000223E">
        <w:rPr>
          <w:rFonts w:cs="Times New Roman"/>
          <w:color w:val="1F4E79" w:themeColor="accent1" w:themeShade="80"/>
          <w:lang w:val="en-US"/>
        </w:rPr>
        <w:t>Aubin</w:t>
      </w:r>
      <w:proofErr w:type="spellEnd"/>
      <w:r w:rsidRPr="0000223E">
        <w:rPr>
          <w:rFonts w:cs="Times New Roman"/>
          <w:color w:val="1F4E79" w:themeColor="accent1" w:themeShade="80"/>
          <w:lang w:val="en-US"/>
        </w:rPr>
        <w:t>, France)</w:t>
      </w:r>
      <w:r>
        <w:rPr>
          <w:rFonts w:cs="Times New Roman"/>
          <w:color w:val="1F4E79" w:themeColor="accent1" w:themeShade="80"/>
          <w:lang w:val="en-US"/>
        </w:rPr>
        <w:t xml:space="preserve"> for 53BP1, </w:t>
      </w:r>
      <w:r w:rsidRPr="0000223E">
        <w:rPr>
          <w:rFonts w:cs="Times New Roman"/>
          <w:color w:val="1F4E79" w:themeColor="accent1" w:themeShade="80"/>
          <w:lang w:val="en-US"/>
        </w:rPr>
        <w:t>at 37°C</w:t>
      </w:r>
      <w:r w:rsidRPr="00DD2BC2">
        <w:rPr>
          <w:rFonts w:cs="Times New Roman"/>
          <w:color w:val="1F4E79" w:themeColor="accent1" w:themeShade="80"/>
          <w:lang w:val="en-US"/>
        </w:rPr>
        <w:t xml:space="preserve"> </w:t>
      </w:r>
      <w:r>
        <w:rPr>
          <w:rFonts w:cs="Times New Roman"/>
          <w:color w:val="1F4E79" w:themeColor="accent1" w:themeShade="80"/>
          <w:lang w:val="en-US"/>
        </w:rPr>
        <w:t>for 45</w:t>
      </w:r>
      <w:r w:rsidRPr="0000223E">
        <w:rPr>
          <w:rFonts w:cs="Times New Roman"/>
          <w:color w:val="1F4E79" w:themeColor="accent1" w:themeShade="80"/>
          <w:lang w:val="en-US"/>
        </w:rPr>
        <w:t xml:space="preserve">min. After each step, cells were washed </w:t>
      </w:r>
      <w:r>
        <w:rPr>
          <w:rFonts w:cs="Times New Roman"/>
          <w:color w:val="1F4E79" w:themeColor="accent1" w:themeShade="80"/>
          <w:lang w:val="en-US"/>
        </w:rPr>
        <w:t xml:space="preserve">three times </w:t>
      </w:r>
      <w:r w:rsidRPr="0000223E">
        <w:rPr>
          <w:rFonts w:cs="Times New Roman"/>
          <w:color w:val="1F4E79" w:themeColor="accent1" w:themeShade="80"/>
          <w:lang w:val="en-US"/>
        </w:rPr>
        <w:t>with 0.1% Tween-20</w:t>
      </w:r>
      <w:r>
        <w:rPr>
          <w:rFonts w:cs="Times New Roman"/>
          <w:color w:val="1F4E79" w:themeColor="accent1" w:themeShade="80"/>
          <w:lang w:val="en-US"/>
        </w:rPr>
        <w:t>/</w:t>
      </w:r>
      <w:r w:rsidRPr="0000223E">
        <w:rPr>
          <w:rFonts w:cs="Times New Roman"/>
          <w:color w:val="1F4E79" w:themeColor="accent1" w:themeShade="80"/>
          <w:lang w:val="en-US"/>
        </w:rPr>
        <w:t>PBS for 5 min.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Coverslips were mounted on microscope slides (76×26 mm, </w:t>
      </w:r>
      <w:proofErr w:type="spellStart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Thermo</w:t>
      </w:r>
      <w:proofErr w:type="spellEnd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Scientific) using </w:t>
      </w:r>
      <w:proofErr w:type="spellStart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Moviol</w:t>
      </w:r>
      <w:proofErr w:type="spellEnd"/>
      <w:r w:rsidRPr="0000223E">
        <w:rPr>
          <w:rFonts w:eastAsia="Times New Roman" w:cs="Times New Roman"/>
          <w:color w:val="1F4E79" w:themeColor="accent1" w:themeShade="80"/>
          <w:vertAlign w:val="superscript"/>
          <w:lang w:val="en-US" w:eastAsia="fr-FR"/>
        </w:rPr>
        <w:t xml:space="preserve">®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and</w:t>
      </w:r>
      <w:r w:rsidRPr="0000223E">
        <w:rPr>
          <w:rFonts w:eastAsia="Times New Roman" w:cs="Times New Roman"/>
          <w:color w:val="1F4E79" w:themeColor="accent1" w:themeShade="80"/>
          <w:vertAlign w:val="superscript"/>
          <w:lang w:val="en-US" w:eastAsia="fr-FR"/>
        </w:rPr>
        <w:t xml:space="preserve"> 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DAPI (</w:t>
      </w:r>
      <w:proofErr w:type="spellStart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Thermo</w:t>
      </w:r>
      <w:proofErr w:type="spellEnd"/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Fisher Scientific, Waltham, MA).  </w:t>
      </w:r>
    </w:p>
    <w:p w:rsidR="002C59BA" w:rsidRDefault="002C59BA" w:rsidP="002C59BA">
      <w:pPr>
        <w:pStyle w:val="Standard"/>
        <w:spacing w:line="480" w:lineRule="auto"/>
        <w:ind w:firstLine="708"/>
        <w:jc w:val="both"/>
        <w:rPr>
          <w:rFonts w:eastAsia="Times New Roman" w:cs="Times New Roman"/>
          <w:color w:val="1F4E79" w:themeColor="accent1" w:themeShade="80"/>
          <w:lang w:val="en-US" w:eastAsia="fr-FR"/>
        </w:rPr>
      </w:pP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>Images of ɣ-</w:t>
      </w:r>
      <w:r w:rsidRPr="0000223E">
        <w:rPr>
          <w:rFonts w:cs="Times New Roman"/>
          <w:color w:val="1F4E79" w:themeColor="accent1" w:themeShade="80"/>
          <w:lang w:val="en-US"/>
        </w:rPr>
        <w:t>H2AX/53BP1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foci were acquired with a 40× or 60× NA objective and a Leica inverted microscope.</w:t>
      </w:r>
      <w:r w:rsidRPr="0000223E">
        <w:rPr>
          <w:rFonts w:cs="Times New Roman"/>
          <w:color w:val="1F4E79" w:themeColor="accent1" w:themeShade="80"/>
          <w:lang w:val="en-US"/>
        </w:rPr>
        <w:t xml:space="preserve"> </w:t>
      </w:r>
      <w:r>
        <w:rPr>
          <w:rFonts w:cs="Times New Roman"/>
          <w:color w:val="1F4E79" w:themeColor="accent1" w:themeShade="80"/>
          <w:lang w:val="en-US"/>
        </w:rPr>
        <w:t xml:space="preserve">The number </w:t>
      </w:r>
      <w:r w:rsidRPr="0000223E">
        <w:rPr>
          <w:rFonts w:cs="Times New Roman"/>
          <w:color w:val="1F4E79" w:themeColor="accent1" w:themeShade="80"/>
          <w:lang w:val="en-US"/>
        </w:rPr>
        <w:t xml:space="preserve">of </w:t>
      </w:r>
      <w:r>
        <w:rPr>
          <w:rFonts w:ascii="Symbol" w:eastAsia="Times New Roman" w:hAnsi="Symbol" w:cs="Times New Roman"/>
          <w:color w:val="1F4E79" w:themeColor="accent1" w:themeShade="80"/>
          <w:lang w:val="en-US" w:eastAsia="fr-FR"/>
        </w:rPr>
        <w:t></w:t>
      </w:r>
      <w:r w:rsidRPr="0000223E">
        <w:rPr>
          <w:rFonts w:cs="Times New Roman"/>
          <w:color w:val="1F4E79" w:themeColor="accent1" w:themeShade="80"/>
          <w:lang w:val="en-US"/>
        </w:rPr>
        <w:t xml:space="preserve">H2AX </w:t>
      </w:r>
      <w:r>
        <w:rPr>
          <w:rFonts w:cs="Times New Roman"/>
          <w:color w:val="1F4E79" w:themeColor="accent1" w:themeShade="80"/>
          <w:lang w:val="en-US"/>
        </w:rPr>
        <w:t xml:space="preserve">and </w:t>
      </w:r>
      <w:r w:rsidRPr="0000223E">
        <w:rPr>
          <w:rFonts w:cs="Times New Roman"/>
          <w:color w:val="1F4E79" w:themeColor="accent1" w:themeShade="80"/>
          <w:lang w:val="en-US"/>
        </w:rPr>
        <w:t>53BP1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foc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i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was 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calculated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by 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targeted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 visualization of the foci in the nucle</w:t>
      </w:r>
      <w:r>
        <w:rPr>
          <w:rFonts w:eastAsia="Times New Roman" w:cs="Times New Roman"/>
          <w:color w:val="1F4E79" w:themeColor="accent1" w:themeShade="80"/>
          <w:lang w:val="en-US" w:eastAsia="fr-FR"/>
        </w:rPr>
        <w:t>us</w:t>
      </w:r>
      <w:r w:rsidRPr="0000223E">
        <w:rPr>
          <w:rFonts w:eastAsia="Times New Roman" w:cs="Times New Roman"/>
          <w:color w:val="1F4E79" w:themeColor="accent1" w:themeShade="80"/>
          <w:lang w:val="en-US" w:eastAsia="fr-FR"/>
        </w:rPr>
        <w:t xml:space="preserve">. </w:t>
      </w:r>
    </w:p>
    <w:p w:rsidR="00747BCB" w:rsidRPr="00B768CD" w:rsidRDefault="00747BCB" w:rsidP="00747BCB">
      <w:pPr>
        <w:pStyle w:val="Standard"/>
        <w:spacing w:line="480" w:lineRule="auto"/>
        <w:jc w:val="both"/>
        <w:rPr>
          <w:rFonts w:cs="Times New Roman"/>
          <w:b/>
          <w:color w:val="1F4E79" w:themeColor="accent1" w:themeShade="80"/>
          <w:lang w:val="en-US"/>
        </w:rPr>
      </w:pPr>
      <w:r w:rsidRPr="00B768CD">
        <w:rPr>
          <w:rFonts w:cs="Times New Roman"/>
          <w:b/>
          <w:color w:val="1F4E79" w:themeColor="accent1" w:themeShade="80"/>
          <w:lang w:val="en-US"/>
        </w:rPr>
        <w:t xml:space="preserve">Oxidative stress arrays during alpha RIT </w:t>
      </w:r>
    </w:p>
    <w:p w:rsidR="00747BCB" w:rsidRPr="00B768CD" w:rsidRDefault="00695507" w:rsidP="00747BCB">
      <w:pPr>
        <w:pStyle w:val="Standard"/>
        <w:spacing w:line="480" w:lineRule="auto"/>
        <w:jc w:val="both"/>
        <w:rPr>
          <w:rFonts w:cs="Times New Roman"/>
          <w:color w:val="1F4E79" w:themeColor="accent1" w:themeShade="80"/>
          <w:szCs w:val="18"/>
          <w:lang w:val="en-US"/>
        </w:rPr>
      </w:pPr>
      <w:r>
        <w:rPr>
          <w:rFonts w:cs="Times New Roman"/>
          <w:color w:val="1F4E79" w:themeColor="accent1" w:themeShade="80"/>
          <w:lang w:val="en-US"/>
        </w:rPr>
        <w:t xml:space="preserve">A </w:t>
      </w:r>
      <w:r w:rsidR="00747BCB" w:rsidRPr="00B768CD">
        <w:rPr>
          <w:rFonts w:cs="Times New Roman"/>
          <w:color w:val="1F4E79" w:themeColor="accent1" w:themeShade="80"/>
          <w:lang w:val="en-US"/>
        </w:rPr>
        <w:t>H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uman Cell </w:t>
      </w:r>
      <w:r w:rsidRPr="00B768CD">
        <w:rPr>
          <w:rFonts w:cs="Times New Roman"/>
          <w:color w:val="1F4E79" w:themeColor="accent1" w:themeShade="80"/>
          <w:szCs w:val="18"/>
          <w:lang w:val="en-US"/>
        </w:rPr>
        <w:t xml:space="preserve">Stress Array 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(Proteome Profiler Array, R&amp;D Systems, </w:t>
      </w:r>
      <w:proofErr w:type="gramStart"/>
      <w:r w:rsidR="00747BCB" w:rsidRPr="00B768CD">
        <w:rPr>
          <w:color w:val="1F4E79" w:themeColor="accent1" w:themeShade="80"/>
          <w:lang w:val="en-US"/>
        </w:rPr>
        <w:t>Minneapolis</w:t>
      </w:r>
      <w:proofErr w:type="gramEnd"/>
      <w:r w:rsidR="00747BCB" w:rsidRPr="00B768CD">
        <w:rPr>
          <w:color w:val="1F4E79" w:themeColor="accent1" w:themeShade="80"/>
          <w:lang w:val="en-US"/>
        </w:rPr>
        <w:t>, MN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) was used to detect the level of oxidative stress </w:t>
      </w:r>
      <w:r>
        <w:rPr>
          <w:rFonts w:cs="Times New Roman"/>
          <w:color w:val="1F4E79" w:themeColor="accent1" w:themeShade="80"/>
          <w:szCs w:val="18"/>
          <w:lang w:val="en-US"/>
        </w:rPr>
        <w:t xml:space="preserve">markers 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>in cellular extracts</w:t>
      </w:r>
      <w:r w:rsidR="00747BCB" w:rsidRPr="00B768CD">
        <w:rPr>
          <w:rFonts w:cs="Times New Roman"/>
          <w:color w:val="1F4E79" w:themeColor="accent1" w:themeShade="80"/>
          <w:lang w:val="en-US"/>
        </w:rPr>
        <w:t xml:space="preserve"> of SK-OV-3</w:t>
      </w:r>
      <w:r w:rsidR="00747BCB" w:rsidRPr="00B768CD">
        <w:rPr>
          <w:rFonts w:cs="Times New Roman"/>
          <w:color w:val="1F4E79" w:themeColor="accent1" w:themeShade="80"/>
          <w:vertAlign w:val="subscript"/>
          <w:lang w:val="en-US"/>
        </w:rPr>
        <w:t xml:space="preserve">MISRII </w:t>
      </w:r>
      <w:r w:rsidR="00747BCB" w:rsidRPr="00B768CD">
        <w:rPr>
          <w:rFonts w:cs="Times New Roman"/>
          <w:color w:val="1F4E79" w:themeColor="accent1" w:themeShade="80"/>
          <w:lang w:val="en-US"/>
        </w:rPr>
        <w:t xml:space="preserve">donor cells exposed to 0.5MBq/ml </w:t>
      </w:r>
      <w:r w:rsidR="00747BCB" w:rsidRPr="00B768CD">
        <w:rPr>
          <w:rFonts w:cs="Times New Roman"/>
          <w:color w:val="1F4E79" w:themeColor="accent1" w:themeShade="80"/>
          <w:vertAlign w:val="superscript"/>
          <w:lang w:val="en-US"/>
        </w:rPr>
        <w:t>213</w:t>
      </w:r>
      <w:r w:rsidR="00747BCB" w:rsidRPr="00B768CD">
        <w:rPr>
          <w:rFonts w:cs="Times New Roman"/>
          <w:color w:val="1F4E79" w:themeColor="accent1" w:themeShade="80"/>
          <w:lang w:val="en-US"/>
        </w:rPr>
        <w:t xml:space="preserve">Bi-anti MISRII mAb 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and of HCT116 </w:t>
      </w:r>
      <w:r>
        <w:rPr>
          <w:rFonts w:cs="Times New Roman"/>
          <w:color w:val="1F4E79" w:themeColor="accent1" w:themeShade="80"/>
          <w:szCs w:val="18"/>
          <w:lang w:val="en-US"/>
        </w:rPr>
        <w:t xml:space="preserve">donor cells 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exposed to 4MBq/mL </w:t>
      </w:r>
      <w:r w:rsidR="00747BCB" w:rsidRPr="00B768CD">
        <w:rPr>
          <w:rFonts w:cs="Times New Roman"/>
          <w:color w:val="1F4E79" w:themeColor="accent1" w:themeShade="80"/>
          <w:szCs w:val="18"/>
          <w:vertAlign w:val="superscript"/>
          <w:lang w:val="en-US"/>
        </w:rPr>
        <w:t>125</w:t>
      </w:r>
      <w:r w:rsidR="00747BCB" w:rsidRPr="00B768CD">
        <w:rPr>
          <w:rFonts w:cs="Times New Roman"/>
          <w:color w:val="1F4E79" w:themeColor="accent1" w:themeShade="80"/>
          <w:szCs w:val="18"/>
          <w:lang w:val="en-US"/>
        </w:rPr>
        <w:t xml:space="preserve">I-anti CEA mAb, according to the manufacturer’s protocol. </w:t>
      </w:r>
    </w:p>
    <w:p w:rsidR="00D466D8" w:rsidRPr="00B768CD" w:rsidRDefault="00D466D8" w:rsidP="00747BCB">
      <w:pPr>
        <w:pStyle w:val="Standard"/>
        <w:spacing w:line="480" w:lineRule="auto"/>
        <w:jc w:val="both"/>
        <w:rPr>
          <w:rFonts w:cs="Times New Roman"/>
          <w:b/>
          <w:color w:val="1F4E79" w:themeColor="accent1" w:themeShade="80"/>
          <w:lang w:val="en-US"/>
        </w:rPr>
      </w:pPr>
      <w:r w:rsidRPr="00B768CD">
        <w:rPr>
          <w:rFonts w:cs="Times New Roman"/>
          <w:b/>
          <w:color w:val="1F4E79" w:themeColor="accent1" w:themeShade="80"/>
          <w:lang w:val="en-US"/>
        </w:rPr>
        <w:t>Determining the contribution of targeted and off-target effects</w:t>
      </w:r>
    </w:p>
    <w:p w:rsidR="00D466D8" w:rsidRPr="00B768CD" w:rsidRDefault="00D466D8" w:rsidP="00D466D8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contribution of off-target effects to cell death can be determined directly by considering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survival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rate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of recipient cells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as follows:</w:t>
      </w:r>
    </w:p>
    <w:p w:rsidR="00D466D8" w:rsidRPr="00B768CD" w:rsidRDefault="00D466D8" w:rsidP="00D466D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Contribution of off-targeted effects </w:t>
      </w:r>
      <w:r w:rsidRPr="00B768CD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(%)</w:t>
      </w:r>
      <w:r w:rsidRPr="00B768CD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= 100% - Survival of recipient cells (%)</w:t>
      </w:r>
    </w:p>
    <w:p w:rsidR="00D466D8" w:rsidRPr="00B768CD" w:rsidRDefault="00D466D8" w:rsidP="00D466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 specific contribution of targeted effects to donor cell killing was calculated using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Bliss independence mathematical model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begin"/>
      </w:r>
      <w:r w:rsid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instrText xml:space="preserve"> ADDIN EN.CITE &lt;EndNote&gt;&lt;Cite&gt;&lt;Author&gt;Bliss&lt;/Author&gt;&lt;Year&gt;1939&lt;/Year&gt;&lt;RecNum&gt;243&lt;/RecNum&gt;&lt;DisplayText&gt;(3)&lt;/DisplayText&gt;&lt;record&gt;&lt;rec-number&gt;243&lt;/rec-number&gt;&lt;foreign-keys&gt;&lt;key app="EN" db-id="tveeve2vyrprsteve0mpzzsr02favsa9awdz" timestamp="1531747334"&gt;243&lt;/key&gt;&lt;/foreign-keys&gt;&lt;ref-type name="Journal Article"&gt;17&lt;/ref-type&gt;&lt;contributors&gt;&lt;authors&gt;&lt;author&gt;Bliss, C.I.&lt;/author&gt;&lt;/authors&gt;&lt;/contributors&gt;&lt;titles&gt;&lt;title&gt;The toxicity of poisons applied jointly&lt;/title&gt;&lt;secondary-title&gt;Annals of Applied Biology&lt;/secondary-title&gt;&lt;/titles&gt;&lt;periodical&gt;&lt;full-title&gt;Annals of Applied Biology&lt;/full-title&gt;&lt;/periodical&gt;&lt;pages&gt;585–615&lt;/pages&gt;&lt;volume&gt;26 &lt;/volume&gt;&lt;dates&gt;&lt;year&gt;1939&lt;/year&gt;&lt;/dates&gt;&lt;urls&gt;&lt;/urls&gt;&lt;/record&gt;&lt;/Cite&gt;&lt;/EndNote&gt;</w:instrTex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separate"/>
      </w:r>
      <w:r w:rsidR="002C59BA">
        <w:rPr>
          <w:rFonts w:ascii="Times New Roman" w:hAnsi="Times New Roman" w:cs="Times New Roman"/>
          <w:noProof/>
          <w:color w:val="1F4E79" w:themeColor="accent1" w:themeShade="80"/>
          <w:sz w:val="24"/>
          <w:szCs w:val="24"/>
        </w:rPr>
        <w:t>(3)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donor cells are in reality at the same time donor and recipient cells (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i.e.,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irradiated cells secrete substance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toward neighboring irradiated cells), the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model considers that donor cells are killed either by targeted or by off-target effects. The relative contribution of both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effect 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types is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calculated using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following formula:</w:t>
      </w:r>
    </w:p>
    <w:p w:rsidR="00D466D8" w:rsidRPr="00B768CD" w:rsidRDefault="00D466D8" w:rsidP="00D466D8">
      <w:pPr>
        <w:autoSpaceDE w:val="0"/>
        <w:autoSpaceDN w:val="0"/>
        <w:adjustRightInd w:val="0"/>
        <w:spacing w:line="480" w:lineRule="auto"/>
        <w:rPr>
          <w:color w:val="1F4E79" w:themeColor="accent1" w:themeShade="80"/>
        </w:rPr>
      </w:pPr>
      <w:r w:rsidRPr="00B768CD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BCAA" wp14:editId="242B82AD">
                <wp:simplePos x="0" y="0"/>
                <wp:positionH relativeFrom="column">
                  <wp:posOffset>3341370</wp:posOffset>
                </wp:positionH>
                <wp:positionV relativeFrom="paragraph">
                  <wp:posOffset>3175</wp:posOffset>
                </wp:positionV>
                <wp:extent cx="2293897" cy="383695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897" cy="38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66D8" w:rsidRPr="00DF7F34" w:rsidRDefault="00822AC9" w:rsidP="00D466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theme="minorBidi"/>
                                        <w:color w:val="244061"/>
                                        <w:kern w:val="24"/>
                                        <w:sz w:val="20"/>
                                        <w:szCs w:val="20"/>
                                      </w:rPr>
                                      <m:t>Survival of donor cells  (%)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  <w:color w:val="244061"/>
                                        <w:kern w:val="24"/>
                                        <w:sz w:val="20"/>
                                        <w:szCs w:val="20"/>
                                      </w:rPr>
                                      <m:t>Survival after 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/>
                                        <w:color w:val="244061"/>
                                        <w:kern w:val="24"/>
                                        <w:sz w:val="20"/>
                                        <w:szCs w:val="20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/>
                                        <w:color w:val="244061"/>
                                        <w:kern w:val="24"/>
                                        <w:sz w:val="20"/>
                                        <w:szCs w:val="20"/>
                                      </w:rPr>
                                      <m:t>ff-target effects (%)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DBCAA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263.1pt;margin-top:.25pt;width:180.6pt;height:30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" filled="f" stroked="f">
                <v:textbox style="mso-fit-shape-to-text:t" inset="0,0,0,0">
                  <w:txbxContent>
                    <w:p w:rsidR="00D466D8" w:rsidRPr="00DF7F34" w:rsidRDefault="00822AC9" w:rsidP="00D466D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theme="minorBidi"/>
                                  <w:color w:val="244061"/>
                                  <w:kern w:val="24"/>
                                  <w:sz w:val="20"/>
                                  <w:szCs w:val="20"/>
                                </w:rPr>
                                <m:t>Survival of donor cells  (%)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  <w:color w:val="244061"/>
                                  <w:kern w:val="24"/>
                                  <w:sz w:val="20"/>
                                  <w:szCs w:val="20"/>
                                </w:rPr>
                                <m:t>Survival after 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eastAsia="Calibri"/>
                                  <w:color w:val="244061"/>
                                  <w:kern w:val="24"/>
                                  <w:sz w:val="20"/>
                                  <w:szCs w:val="20"/>
                                </w:rPr>
                                <m:t>o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Calibri"/>
                                  <w:color w:val="244061"/>
                                  <w:kern w:val="24"/>
                                  <w:sz w:val="20"/>
                                  <w:szCs w:val="20"/>
                                </w:rPr>
                                <m:t>ff-target effects (%)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Contribution of </w:t>
      </w:r>
      <w:r w:rsidR="006955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Pr="00B768C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argeted effects (%)</w:t>
      </w:r>
      <w:r w:rsidRPr="00B768CD">
        <w:rPr>
          <w:b/>
          <w:bCs/>
          <w:color w:val="1F4E79" w:themeColor="accent1" w:themeShade="80"/>
        </w:rPr>
        <w:t xml:space="preserve"> </w:t>
      </w:r>
      <w:r w:rsidRPr="00B768CD">
        <w:rPr>
          <w:color w:val="1F4E79" w:themeColor="accent1" w:themeShade="80"/>
        </w:rPr>
        <w:t>= 100% -</w:t>
      </w:r>
    </w:p>
    <w:p w:rsidR="00740368" w:rsidRPr="00D36EB0" w:rsidRDefault="00740368" w:rsidP="00D466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40368" w:rsidRPr="00D36EB0" w:rsidRDefault="00740368" w:rsidP="00740368">
      <w:pPr>
        <w:spacing w:after="0" w:line="48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</w:pPr>
      <w:r w:rsidRPr="00D36EB0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highlight w:val="yellow"/>
        </w:rPr>
        <w:t xml:space="preserve">In vivo </w:t>
      </w:r>
      <w:r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>radioimmunotherapy using low</w:t>
      </w:r>
      <w:r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  <w:vertAlign w:val="superscript"/>
        </w:rPr>
        <w:t xml:space="preserve"> </w:t>
      </w:r>
      <w:r w:rsidR="009A473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>and intermediate</w:t>
      </w:r>
      <w:r w:rsidR="009A473A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  <w:vertAlign w:val="superscript"/>
        </w:rPr>
        <w:t xml:space="preserve"> </w:t>
      </w:r>
      <w:r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 xml:space="preserve">activities of </w:t>
      </w:r>
      <w:r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  <w:vertAlign w:val="superscript"/>
        </w:rPr>
        <w:t>213</w:t>
      </w:r>
      <w:r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>Bi-labeled antibodies</w:t>
      </w:r>
      <w:r w:rsidR="00D36EB0" w:rsidRPr="00D36EB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highlight w:val="yellow"/>
        </w:rPr>
        <w:t xml:space="preserve"> combined or not with MBCD</w:t>
      </w:r>
    </w:p>
    <w:p w:rsidR="001F4BF4" w:rsidRPr="00D36EB0" w:rsidRDefault="00740368" w:rsidP="00740368">
      <w:pPr>
        <w:pStyle w:val="Standard"/>
        <w:spacing w:line="480" w:lineRule="auto"/>
        <w:ind w:firstLine="708"/>
        <w:jc w:val="both"/>
        <w:rPr>
          <w:rFonts w:cs="Times New Roman"/>
          <w:color w:val="1F4E79" w:themeColor="accent1" w:themeShade="80"/>
          <w:highlight w:val="yellow"/>
          <w:lang w:val="en-US"/>
        </w:rPr>
      </w:pPr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Mice </w:t>
      </w:r>
      <w:proofErr w:type="spellStart"/>
      <w:r w:rsidR="00D36EB0" w:rsidRPr="00D36EB0">
        <w:rPr>
          <w:rFonts w:cs="Times New Roman"/>
          <w:color w:val="1F4E79" w:themeColor="accent1" w:themeShade="80"/>
          <w:highlight w:val="yellow"/>
          <w:lang w:val="en-US"/>
        </w:rPr>
        <w:t>intraperitoneally</w:t>
      </w:r>
      <w:proofErr w:type="spellEnd"/>
      <w:r w:rsidR="00D36EB0"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 </w:t>
      </w:r>
      <w:proofErr w:type="spellStart"/>
      <w:r w:rsidRPr="00D36EB0">
        <w:rPr>
          <w:rFonts w:cs="Times New Roman"/>
          <w:color w:val="1F4E79" w:themeColor="accent1" w:themeShade="80"/>
          <w:highlight w:val="yellow"/>
          <w:lang w:val="en-US"/>
        </w:rPr>
        <w:t>xenografted</w:t>
      </w:r>
      <w:proofErr w:type="spellEnd"/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 with AN3CA </w:t>
      </w:r>
      <w:r w:rsidR="00304D58">
        <w:rPr>
          <w:rFonts w:cs="Times New Roman"/>
          <w:color w:val="1F4E79" w:themeColor="accent1" w:themeShade="80"/>
          <w:highlight w:val="yellow"/>
          <w:lang w:val="en-US"/>
        </w:rPr>
        <w:t xml:space="preserve">tumor </w:t>
      </w:r>
      <w:r w:rsidRPr="00D36EB0">
        <w:rPr>
          <w:rFonts w:cs="Times New Roman"/>
          <w:color w:val="1F4E79" w:themeColor="accent1" w:themeShade="80"/>
          <w:highlight w:val="yellow"/>
          <w:lang w:val="en-US"/>
        </w:rPr>
        <w:t>cells (</w:t>
      </w:r>
      <w:r w:rsidR="00D36EB0" w:rsidRPr="00D36EB0">
        <w:rPr>
          <w:rFonts w:cs="Times New Roman"/>
          <w:color w:val="1F4E79" w:themeColor="accent1" w:themeShade="80"/>
          <w:highlight w:val="yellow"/>
          <w:lang w:val="en-US"/>
        </w:rPr>
        <w:t>8</w:t>
      </w:r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 mice/group) were treated with: </w:t>
      </w:r>
      <w:proofErr w:type="spellStart"/>
      <w:r w:rsidRPr="00D36EB0">
        <w:rPr>
          <w:rFonts w:cs="Times New Roman"/>
          <w:color w:val="1F4E79" w:themeColor="accent1" w:themeShade="80"/>
          <w:highlight w:val="yellow"/>
          <w:lang w:val="en-US"/>
        </w:rPr>
        <w:t>i</w:t>
      </w:r>
      <w:proofErr w:type="spellEnd"/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) </w:t>
      </w:r>
      <w:proofErr w:type="spellStart"/>
      <w:r w:rsidRPr="00D36EB0">
        <w:rPr>
          <w:rFonts w:cs="Times New Roman"/>
          <w:color w:val="1F4E79" w:themeColor="accent1" w:themeShade="80"/>
          <w:highlight w:val="yellow"/>
          <w:lang w:val="en-US"/>
        </w:rPr>
        <w:t>NaCl</w:t>
      </w:r>
      <w:proofErr w:type="spellEnd"/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; or ii) daily </w:t>
      </w:r>
      <w:proofErr w:type="spellStart"/>
      <w:r w:rsidRPr="00D36EB0">
        <w:rPr>
          <w:rFonts w:cs="Times New Roman"/>
          <w:color w:val="1F4E79" w:themeColor="accent1" w:themeShade="80"/>
          <w:highlight w:val="yellow"/>
          <w:lang w:val="en-US"/>
        </w:rPr>
        <w:t>i.p</w:t>
      </w:r>
      <w:proofErr w:type="spellEnd"/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. injections of 300 mg/kg MBCD from day 7 to 13 post-graft; or iii) one injection of </w:t>
      </w:r>
      <w:r w:rsidRPr="00D36EB0">
        <w:rPr>
          <w:rFonts w:cs="Times New Roman"/>
          <w:color w:val="1F4E79" w:themeColor="accent1" w:themeShade="80"/>
          <w:highlight w:val="yellow"/>
          <w:vertAlign w:val="superscript"/>
          <w:lang w:val="en-US"/>
        </w:rPr>
        <w:t>213</w:t>
      </w:r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Bi-anti-MISRII mAb (7.4 and 12.5MBq) at day 11; or (iv) both </w:t>
      </w:r>
      <w:r w:rsidRPr="00D36EB0">
        <w:rPr>
          <w:rFonts w:cs="Times New Roman"/>
          <w:color w:val="1F4E79" w:themeColor="accent1" w:themeShade="80"/>
          <w:highlight w:val="yellow"/>
          <w:vertAlign w:val="superscript"/>
          <w:lang w:val="en-US"/>
        </w:rPr>
        <w:t>213</w:t>
      </w:r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Bi-anti-MISRII mAb and MBCD. At day </w:t>
      </w:r>
      <w:r w:rsidR="001F4BF4" w:rsidRPr="00D36EB0">
        <w:rPr>
          <w:rFonts w:cs="Times New Roman"/>
          <w:color w:val="1F4E79" w:themeColor="accent1" w:themeShade="80"/>
          <w:highlight w:val="yellow"/>
          <w:lang w:val="en-US"/>
        </w:rPr>
        <w:t>14</w:t>
      </w:r>
      <w:r w:rsidRPr="00D36EB0">
        <w:rPr>
          <w:rFonts w:cs="Times New Roman"/>
          <w:color w:val="1F4E79" w:themeColor="accent1" w:themeShade="80"/>
          <w:highlight w:val="yellow"/>
          <w:lang w:val="en-US"/>
        </w:rPr>
        <w:t xml:space="preserve"> post-graft, mice were sacrificed, tumors collected, and the tumor mass was determined. </w:t>
      </w:r>
    </w:p>
    <w:p w:rsidR="00EF06D4" w:rsidRPr="00D36EB0" w:rsidRDefault="00E420E4" w:rsidP="001F4BF4">
      <w:pPr>
        <w:pStyle w:val="Standard"/>
        <w:spacing w:line="480" w:lineRule="auto"/>
        <w:jc w:val="both"/>
        <w:rPr>
          <w:rFonts w:eastAsiaTheme="minorHAnsi" w:cs="Times New Roman"/>
          <w:b/>
          <w:color w:val="1F4E79" w:themeColor="accent1" w:themeShade="80"/>
          <w:kern w:val="0"/>
          <w:lang w:val="en-US" w:eastAsia="en-US" w:bidi="ar-SA"/>
        </w:rPr>
      </w:pPr>
      <w:r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>W</w:t>
      </w:r>
      <w:r w:rsidR="001F4BF4"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>estern blotting</w:t>
      </w:r>
      <w:r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 xml:space="preserve"> </w:t>
      </w:r>
      <w:r w:rsidR="00D36EB0"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>of</w:t>
      </w:r>
      <w:r w:rsidR="001F4BF4"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 xml:space="preserve"> </w:t>
      </w:r>
      <w:r w:rsidR="00D36EB0" w:rsidRPr="00D36EB0">
        <w:rPr>
          <w:rFonts w:cs="Times New Roman"/>
          <w:b/>
          <w:color w:val="1F4E79" w:themeColor="accent1" w:themeShade="80"/>
          <w:highlight w:val="yellow"/>
          <w:lang w:val="en-US"/>
        </w:rPr>
        <w:t>p</w:t>
      </w:r>
      <w:r w:rsidR="00304D58">
        <w:rPr>
          <w:rFonts w:cs="Times New Roman"/>
          <w:b/>
          <w:color w:val="1F4E79" w:themeColor="accent1" w:themeShade="80"/>
          <w:highlight w:val="yellow"/>
          <w:lang w:val="en-US"/>
        </w:rPr>
        <w:t xml:space="preserve">hosphorylated </w:t>
      </w:r>
      <w:r w:rsidR="00D36EB0" w:rsidRPr="00D36EB0">
        <w:rPr>
          <w:rFonts w:cs="Times New Roman"/>
          <w:b/>
          <w:color w:val="1F4E79" w:themeColor="accent1" w:themeShade="80"/>
          <w:highlight w:val="yellow"/>
          <w:lang w:val="en-US"/>
        </w:rPr>
        <w:t xml:space="preserve">SAPK/JNK, p38, and </w:t>
      </w:r>
      <w:proofErr w:type="spellStart"/>
      <w:r w:rsidR="00D36EB0" w:rsidRPr="00D36EB0">
        <w:rPr>
          <w:rFonts w:cs="Times New Roman"/>
          <w:b/>
          <w:color w:val="1F4E79" w:themeColor="accent1" w:themeShade="80"/>
          <w:highlight w:val="yellow"/>
          <w:lang w:val="en-US"/>
        </w:rPr>
        <w:t>NFkB</w:t>
      </w:r>
      <w:proofErr w:type="spellEnd"/>
      <w:r w:rsidR="00D36EB0"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 xml:space="preserve"> in </w:t>
      </w:r>
      <w:r w:rsidR="001F4BF4" w:rsidRPr="00D36EB0">
        <w:rPr>
          <w:rFonts w:eastAsiaTheme="minorHAnsi" w:cs="Times New Roman"/>
          <w:b/>
          <w:color w:val="1F4E79" w:themeColor="accent1" w:themeShade="80"/>
          <w:kern w:val="0"/>
          <w:highlight w:val="yellow"/>
          <w:lang w:val="en-US" w:eastAsia="en-US" w:bidi="ar-SA"/>
        </w:rPr>
        <w:t xml:space="preserve">tumors </w:t>
      </w:r>
    </w:p>
    <w:p w:rsidR="00740368" w:rsidRPr="00586FFC" w:rsidRDefault="00D36EB0" w:rsidP="00300559">
      <w:pPr>
        <w:spacing w:after="0" w:line="480" w:lineRule="auto"/>
        <w:ind w:firstLine="709"/>
        <w:rPr>
          <w:rFonts w:ascii="Times New Roman" w:eastAsia="SimSun" w:hAnsi="Times New Roman" w:cs="Times New Roman"/>
          <w:color w:val="1F4E79" w:themeColor="accent1" w:themeShade="80"/>
          <w:kern w:val="3"/>
          <w:sz w:val="24"/>
          <w:szCs w:val="24"/>
          <w:lang w:eastAsia="zh-CN" w:bidi="hi-IN"/>
        </w:rPr>
      </w:pP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Mice bearing 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intraperitoneal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AN3CA tumor xenograft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s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(3 mice/group) were treated 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with </w:t>
      </w:r>
      <w:proofErr w:type="spellStart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i</w:t>
      </w:r>
      <w:proofErr w:type="spellEnd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) </w:t>
      </w:r>
      <w:proofErr w:type="spellStart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NaCl</w:t>
      </w:r>
      <w:proofErr w:type="spellEnd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; ii) daily </w:t>
      </w:r>
      <w:proofErr w:type="spellStart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i.p</w:t>
      </w:r>
      <w:proofErr w:type="spellEnd"/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. injections of 300 mg/kg MBCD from day 7 to 13 post-graft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;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iii) one injection of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  <w:vertAlign w:val="superscript"/>
        </w:rPr>
        <w:t>213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Bi-anti-MISRII mAb (3.7MBq, 7.4MBq 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or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37MBq) at day 11; or (iv) both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  <w:vertAlign w:val="superscript"/>
        </w:rPr>
        <w:t>213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Bi-anti-MISRII mAb and MBCD. At day 14 </w:t>
      </w:r>
      <w:r w:rsidRPr="00300559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post-</w:t>
      </w:r>
      <w:r w:rsidR="00C05E4F" w:rsidRPr="00300559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treatment</w:t>
      </w:r>
      <w:r w:rsidRPr="00300559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,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mice were sacrificed, </w:t>
      </w:r>
      <w:r w:rsidR="00304D58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and </w:t>
      </w:r>
      <w:r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tumors collected. </w:t>
      </w:r>
      <w:r w:rsidR="00304D58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T</w:t>
      </w:r>
      <w:r w:rsidR="00EF06D4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umor</w:t>
      </w:r>
      <w:r w:rsidR="00304D58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s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 were </w:t>
      </w:r>
      <w:r w:rsidR="00304D58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lysed in 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lysis buffer containing 1M </w:t>
      </w:r>
      <w:proofErr w:type="spellStart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Tris</w:t>
      </w:r>
      <w:proofErr w:type="spellEnd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 (pH 7.5), 5M </w:t>
      </w:r>
      <w:proofErr w:type="spellStart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NaCl</w:t>
      </w:r>
      <w:proofErr w:type="spellEnd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, 0.5M EDTA, 10% </w:t>
      </w:r>
      <w:r w:rsidR="00304D58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T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riton</w:t>
      </w:r>
      <w:r w:rsidR="00304D58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-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X100, 15mM MgCl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  <w:vertAlign w:val="subscript"/>
        </w:rPr>
        <w:t>2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, 1M </w:t>
      </w:r>
      <w:proofErr w:type="spellStart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NaF</w:t>
      </w:r>
      <w:proofErr w:type="spellEnd"/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, 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0.1M Na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  <w:vertAlign w:val="subscript"/>
        </w:rPr>
        <w:t>3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VO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  <w:vertAlign w:val="subscript"/>
        </w:rPr>
        <w:t>4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, 1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M PMSF</w:t>
      </w:r>
      <w:r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 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and protease inhibitor cocktail (Roche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, France</w:t>
      </w:r>
      <w:r w:rsidR="00586FFC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)</w:t>
      </w:r>
      <w:r w:rsidR="00585DA5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>.</w:t>
      </w:r>
      <w:r w:rsidR="00E420E4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  <w:highlight w:val="yellow"/>
        </w:rPr>
        <w:t xml:space="preserve"> Proteins were then</w:t>
      </w:r>
      <w:r w:rsidR="00E420E4" w:rsidRPr="00D36EB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separated by SDS–PAGE and 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electrotransferred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to 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polyvinylidene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difluoride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membranes (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Amersham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Pharmacia Biotech, Uppsala, Sweden). After incubation with anti-phosphorylated SAP</w:t>
      </w:r>
      <w:r w:rsidR="00EF06D4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K</w:t>
      </w:r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/JNK, p38, and 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NFkB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(p65) primary antibodies (Cell Signaling Technology, Danvers, MA), immune reactions were detected with horseradish peroxidase-conjugated goat anti-mouse or anti-rabbit (Sigma-Aldrich, </w:t>
      </w:r>
      <w:r w:rsidR="00740368" w:rsidRPr="00D36EB0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highlight w:val="yellow"/>
          <w:lang w:eastAsia="fr-FR"/>
        </w:rPr>
        <w:t>St Louis</w:t>
      </w:r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, MO) secondary antibodies and the ECL detection system (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Amersham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 xml:space="preserve"> Biosciences, </w:t>
      </w:r>
      <w:proofErr w:type="spellStart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Saclay</w:t>
      </w:r>
      <w:proofErr w:type="spellEnd"/>
      <w:r w:rsidR="00740368" w:rsidRPr="00D36EB0">
        <w:rPr>
          <w:rFonts w:ascii="Times New Roman" w:hAnsi="Times New Roman" w:cs="Times New Roman"/>
          <w:color w:val="1F4E79" w:themeColor="accent1" w:themeShade="80"/>
          <w:sz w:val="24"/>
          <w:szCs w:val="24"/>
          <w:highlight w:val="yellow"/>
        </w:rPr>
        <w:t>, France).</w:t>
      </w:r>
    </w:p>
    <w:p w:rsidR="00740368" w:rsidRDefault="00740368" w:rsidP="00D466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D466D8" w:rsidRPr="00B768CD" w:rsidRDefault="002C59BA" w:rsidP="00D466D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References</w:t>
      </w:r>
    </w:p>
    <w:p w:rsidR="006223DC" w:rsidRPr="002C59BA" w:rsidRDefault="006223DC" w:rsidP="002C59BA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2C59BA" w:rsidRPr="002C59BA" w:rsidRDefault="008C5734" w:rsidP="002C59BA">
      <w:pPr>
        <w:pStyle w:val="EndNoteBibliography"/>
        <w:spacing w:after="0"/>
        <w:ind w:left="720" w:hanging="720"/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</w:pP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fldChar w:fldCharType="begin"/>
      </w: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instrText xml:space="preserve"> ADDIN EN.REFLIST </w:instrText>
      </w: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fldChar w:fldCharType="separate"/>
      </w:r>
      <w:r w:rsidR="002C59BA"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>1.</w:t>
      </w:r>
      <w:r w:rsidR="002C59BA"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ab/>
        <w:t>Bolch WE, Eckerman KF, Sgouros G, Thomas SR. MIRD pamphlet No. 21: a generalized schema for radiopharmaceutical dosimetry--standardization of nomenclature. J Nucl Med 2009;50:477-84</w:t>
      </w:r>
    </w:p>
    <w:p w:rsidR="002C59BA" w:rsidRPr="002C59BA" w:rsidRDefault="002C59BA" w:rsidP="002C59BA">
      <w:pPr>
        <w:pStyle w:val="EndNoteBibliography"/>
        <w:spacing w:after="0"/>
        <w:ind w:left="720" w:hanging="720"/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</w:pP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>2.</w:t>
      </w: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ab/>
        <w:t>Andersson H, Cederkrantz E, Back T, Divgi C, Elgqvist J, Himmelman J, et al. Intraperitoneal alpha-particle radioimmunotherapy of ovarian cancer patients: pharmacokinetics and dosimetry of (211)At-MX35 F(ab')2--a phase I study. J Nucl Med 2009;50:1153-60</w:t>
      </w:r>
    </w:p>
    <w:p w:rsidR="002C59BA" w:rsidRPr="002C59BA" w:rsidRDefault="002C59BA" w:rsidP="002C59BA">
      <w:pPr>
        <w:pStyle w:val="EndNoteBibliography"/>
        <w:ind w:left="720" w:hanging="720"/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</w:pP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>3.</w:t>
      </w:r>
      <w:r w:rsidRPr="002C59BA">
        <w:rPr>
          <w:rFonts w:ascii="Times New Roman" w:hAnsi="Times New Roman" w:cs="Times New Roman"/>
          <w:noProof w:val="0"/>
          <w:color w:val="1F4E79" w:themeColor="accent1" w:themeShade="80"/>
          <w:sz w:val="24"/>
          <w:szCs w:val="24"/>
        </w:rPr>
        <w:tab/>
        <w:t>Bliss CI. The toxicity of poisons applied jointly. Annals of Applied Biology 1939;26 585–615</w:t>
      </w:r>
    </w:p>
    <w:p w:rsidR="004E48A1" w:rsidRPr="002C59BA" w:rsidRDefault="008C5734" w:rsidP="002C59BA">
      <w:pPr>
        <w:spacing w:after="0" w:line="48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2C59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fldChar w:fldCharType="end"/>
      </w:r>
      <w:bookmarkEnd w:id="0"/>
    </w:p>
    <w:sectPr w:rsidR="004E48A1" w:rsidRPr="002C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C9" w:rsidRDefault="00822AC9" w:rsidP="00C6131C">
      <w:pPr>
        <w:spacing w:after="0" w:line="240" w:lineRule="auto"/>
      </w:pPr>
      <w:r>
        <w:separator/>
      </w:r>
    </w:p>
  </w:endnote>
  <w:endnote w:type="continuationSeparator" w:id="0">
    <w:p w:rsidR="00822AC9" w:rsidRDefault="00822AC9" w:rsidP="00C6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C" w:rsidRDefault="00C613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19528"/>
      <w:docPartObj>
        <w:docPartGallery w:val="Page Numbers (Bottom of Page)"/>
        <w:docPartUnique/>
      </w:docPartObj>
    </w:sdtPr>
    <w:sdtEndPr/>
    <w:sdtContent>
      <w:p w:rsidR="00C6131C" w:rsidRDefault="00C6131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3A" w:rsidRPr="009A473A">
          <w:rPr>
            <w:noProof/>
            <w:lang w:val="fr-FR"/>
          </w:rPr>
          <w:t>5</w:t>
        </w:r>
        <w:r>
          <w:fldChar w:fldCharType="end"/>
        </w:r>
      </w:p>
    </w:sdtContent>
  </w:sdt>
  <w:p w:rsidR="00C6131C" w:rsidRDefault="00C613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C" w:rsidRDefault="00C613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C9" w:rsidRDefault="00822AC9" w:rsidP="00C6131C">
      <w:pPr>
        <w:spacing w:after="0" w:line="240" w:lineRule="auto"/>
      </w:pPr>
      <w:r>
        <w:separator/>
      </w:r>
    </w:p>
  </w:footnote>
  <w:footnote w:type="continuationSeparator" w:id="0">
    <w:p w:rsidR="00822AC9" w:rsidRDefault="00822AC9" w:rsidP="00C6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C" w:rsidRDefault="00C613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C" w:rsidRDefault="00C613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1C" w:rsidRDefault="00C613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-J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eeve2vyrprsteve0mpzzsr02favsa9awdz&quot;&gt;Ladjohounlou Endnote 2018&lt;record-ids&gt;&lt;item&gt;164&lt;/item&gt;&lt;item&gt;243&lt;/item&gt;&lt;item&gt;245&lt;/item&gt;&lt;/record-ids&gt;&lt;/item&gt;&lt;/Libraries&gt;"/>
  </w:docVars>
  <w:rsids>
    <w:rsidRoot w:val="00692FCF"/>
    <w:rsid w:val="000237E8"/>
    <w:rsid w:val="00157ED9"/>
    <w:rsid w:val="00164ADA"/>
    <w:rsid w:val="001F4BF4"/>
    <w:rsid w:val="002C59BA"/>
    <w:rsid w:val="00300559"/>
    <w:rsid w:val="003034DF"/>
    <w:rsid w:val="00304D58"/>
    <w:rsid w:val="00365E3D"/>
    <w:rsid w:val="00366569"/>
    <w:rsid w:val="00585DA5"/>
    <w:rsid w:val="00586FFC"/>
    <w:rsid w:val="00595CA4"/>
    <w:rsid w:val="005A0200"/>
    <w:rsid w:val="005F710E"/>
    <w:rsid w:val="006223DC"/>
    <w:rsid w:val="006475D8"/>
    <w:rsid w:val="00653A7C"/>
    <w:rsid w:val="00692FCF"/>
    <w:rsid w:val="00695507"/>
    <w:rsid w:val="00740368"/>
    <w:rsid w:val="00747BCB"/>
    <w:rsid w:val="00755251"/>
    <w:rsid w:val="00822AC9"/>
    <w:rsid w:val="008620AB"/>
    <w:rsid w:val="008C5734"/>
    <w:rsid w:val="008D2D6B"/>
    <w:rsid w:val="00906799"/>
    <w:rsid w:val="009A473A"/>
    <w:rsid w:val="00AF4054"/>
    <w:rsid w:val="00B768CD"/>
    <w:rsid w:val="00BB275D"/>
    <w:rsid w:val="00C05E4F"/>
    <w:rsid w:val="00C42A7A"/>
    <w:rsid w:val="00C6131C"/>
    <w:rsid w:val="00D11644"/>
    <w:rsid w:val="00D36EB0"/>
    <w:rsid w:val="00D466D8"/>
    <w:rsid w:val="00D75565"/>
    <w:rsid w:val="00DC353A"/>
    <w:rsid w:val="00E01975"/>
    <w:rsid w:val="00E420E4"/>
    <w:rsid w:val="00E832D6"/>
    <w:rsid w:val="00EB4D3D"/>
    <w:rsid w:val="00EF06D4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CD8ABF-649F-400D-8EC3-2DE6811D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CF"/>
    <w:pPr>
      <w:spacing w:after="200" w:line="276" w:lineRule="auto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8C573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C573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C573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8C5734"/>
    <w:rPr>
      <w:rFonts w:ascii="Calibri" w:hAnsi="Calibri" w:cs="Calibri"/>
      <w:noProof/>
      <w:lang w:val="en-US"/>
    </w:rPr>
  </w:style>
  <w:style w:type="paragraph" w:customStyle="1" w:styleId="Standard">
    <w:name w:val="Standard"/>
    <w:rsid w:val="0074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4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76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8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68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8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8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8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1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31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61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3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el.archives-ouvertes.fr/tel-01248412/docume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Pouget Jean-Pierre</dc:creator>
  <cp:keywords/>
  <dc:description/>
  <cp:lastModifiedBy>Pouget Jean-Pierre</cp:lastModifiedBy>
  <cp:revision>3</cp:revision>
  <cp:lastPrinted>2018-09-14T14:34:00Z</cp:lastPrinted>
  <dcterms:created xsi:type="dcterms:W3CDTF">2019-03-18T09:23:00Z</dcterms:created>
  <dcterms:modified xsi:type="dcterms:W3CDTF">2019-03-18T10:55:00Z</dcterms:modified>
</cp:coreProperties>
</file>