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AD" w:rsidRPr="004C3137" w:rsidRDefault="00345AAD" w:rsidP="00345AAD">
      <w:pPr>
        <w:spacing w:after="0" w:line="480" w:lineRule="auto"/>
        <w:jc w:val="left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Supplementary Figure Legend</w:t>
      </w:r>
      <w:r w:rsidR="005D2FAC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Ladjohounlou </w:t>
      </w:r>
      <w:r w:rsidRPr="004C313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et al.</w:t>
      </w:r>
    </w:p>
    <w:p w:rsidR="00D93E42" w:rsidRPr="004C3137" w:rsidRDefault="009E5710" w:rsidP="00D93E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137">
        <w:rPr>
          <w:rFonts w:ascii="Times New Roman" w:eastAsia="Times New Roman" w:hAnsi="Times New Roman" w:cs="Times New Roman"/>
          <w:b/>
          <w:bCs/>
          <w:color w:val="1F4E79"/>
          <w:lang w:eastAsia="fr-FR"/>
        </w:rPr>
        <w:t>SUPPLEMENTARY FIG. S1.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(A)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Pb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(red)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decays into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Bi by emitting a beta minus particle. </w:t>
      </w:r>
      <w:r w:rsidR="005D2FAC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Then,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Bi decays into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208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Tl or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Po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by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</w:t>
      </w:r>
      <w:r w:rsidR="00112F3E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α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or </w:t>
      </w:r>
      <w:r w:rsidR="00112F3E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β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decays, respectively. Finally,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208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Tl and 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Po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decay into stable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208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Pb through α or β disintegration. The energy of α particles emitted by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Bi and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Po </w:t>
      </w:r>
      <w:bookmarkStart w:id="0" w:name="_GoBack"/>
      <w:bookmarkEnd w:id="0"/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are 6.2 MeV and 8.8MeV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,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while the energy of β particles ranges between 0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and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2.2 MeV.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Pb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display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the longest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physical half-life in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the chain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(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10.64h</w:t>
      </w:r>
      <w:r w:rsidR="005D2FAC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</w:t>
      </w:r>
      <w:r w:rsidR="005D2FAC" w:rsidRPr="004C3137">
        <w:rPr>
          <w:rFonts w:ascii="Times New Roman" w:eastAsia="Times New Roman" w:hAnsi="Times New Roman" w:cs="Times New Roman"/>
          <w:i/>
          <w:color w:val="1F4E79"/>
          <w:sz w:val="24"/>
          <w:szCs w:val="24"/>
          <w:lang w:eastAsia="fr-FR"/>
        </w:rPr>
        <w:t>vs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60min or less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for its daughters)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. After 3h, the decay products are in transient equilibrium with the parent radionuclide. 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(B)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 213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Bi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(red)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decays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in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to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209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Tl (through alpha decay) or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213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Po (beta decay). Both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209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Tl and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213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Po decay to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209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Pb by </w:t>
      </w:r>
      <w:r w:rsidR="00112F3E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β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or </w:t>
      </w:r>
      <w:r w:rsidR="00112F3E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α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d</w:t>
      </w:r>
      <w:r w:rsidR="00112F3E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isintegration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,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respectively. Finally,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209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Pb decays into the stable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209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Bi. The physical half-life of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213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Bi is 45min,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and that </w:t>
      </w:r>
      <w:r w:rsidR="005D2FAC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of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its </w:t>
      </w:r>
      <w:r w:rsidR="00240D7F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daughters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ranges from seconds to 3.2h for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209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Pb.The energy </w:t>
      </w:r>
      <w:r w:rsidR="005D2FAC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values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of α particles emitted by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213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Bi and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213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Po are 5.9MeV and 8.4MeV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,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while the energy of β particles ranges between 0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and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 1.9 MeV.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The e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nergy of α and β particles emitted by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212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Pb, 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  <w:lang w:eastAsia="fr-FR"/>
        </w:rPr>
        <w:t>213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Bi and daughters in tissue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s ranges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from a few tens of micrometers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for α particles</w:t>
      </w:r>
      <w:r w:rsidR="005D2FAC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,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to centimeter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>s for</w:t>
      </w:r>
      <w:r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β particles.</w:t>
      </w:r>
      <w:r w:rsidR="009963AA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 </w:t>
      </w:r>
      <w:r w:rsidR="00240D7F" w:rsidRPr="004C3137">
        <w:rPr>
          <w:rFonts w:ascii="Times New Roman" w:eastAsia="Times New Roman" w:hAnsi="Times New Roman" w:cs="Times New Roman"/>
          <w:color w:val="1F4E79"/>
          <w:sz w:val="24"/>
          <w:szCs w:val="24"/>
          <w:lang w:eastAsia="fr-FR"/>
        </w:rPr>
        <w:t xml:space="preserve">(C) 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</w:rPr>
        <w:t>125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I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(red) 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>decays to stable</w:t>
      </w:r>
      <w:r w:rsidR="00D93E42" w:rsidRPr="004C3137">
        <w:rPr>
          <w:rStyle w:val="apple-converted-space"/>
          <w:rFonts w:ascii="Times New Roman" w:eastAsia="Times New Roman" w:hAnsi="Times New Roman" w:cs="Times New Roman"/>
          <w:color w:val="1F4E79"/>
          <w:sz w:val="24"/>
          <w:szCs w:val="24"/>
        </w:rPr>
        <w:t> 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</w:rPr>
        <w:t>125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Te (through electronic capture decay). 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  <w:vertAlign w:val="superscript"/>
        </w:rPr>
        <w:t>125</w:t>
      </w:r>
      <w:r w:rsidR="00E16440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>I has a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physical half-life of 59.4 days. Electronic capture is associated with the emission of a mean number of 21 Auger electrons </w:t>
      </w:r>
      <w:r w:rsidR="00D63CB4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>with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energy </w:t>
      </w:r>
      <w:r w:rsidR="00D63CB4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>lower than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36 keV. Decay also produce</w:t>
      </w:r>
      <w:r w:rsidR="00D63CB4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>s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3.8 to 31.8 keV </w:t>
      </w:r>
      <w:r w:rsidR="005D2FAC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of </w:t>
      </w:r>
      <w:r w:rsidR="00D93E42" w:rsidRPr="004C3137">
        <w:rPr>
          <w:rFonts w:ascii="Times New Roman" w:eastAsia="Times New Roman" w:hAnsi="Times New Roman" w:cs="Times New Roman"/>
          <w:color w:val="1F4E79"/>
          <w:sz w:val="24"/>
          <w:szCs w:val="24"/>
        </w:rPr>
        <w:t>soft X-rays.</w:t>
      </w:r>
    </w:p>
    <w:p w:rsidR="001549B1" w:rsidRPr="004C3137" w:rsidRDefault="001549B1" w:rsidP="00D93E42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C6BF2" w:rsidRPr="004C3137" w:rsidRDefault="003C6BF2" w:rsidP="003C6BF2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SUPPLEMENTARY FIG. S</w:t>
      </w:r>
      <w:r w:rsidR="00894111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  Clonogenic cell survival of donor and recipient cells after exposure to unlabeled mAbs</w:t>
      </w:r>
      <w:r w:rsidRPr="004C3137">
        <w:rPr>
          <w:rFonts w:eastAsia="Times New Roman" w:cs="Times New Roman"/>
          <w:lang w:eastAsia="fr-FR"/>
        </w:rPr>
        <w:t>. (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A) Clonogenic cell survival of A-431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CEA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donor cells exposed to 0-27 µg/mL of unlabeled anti-CEA or anti-HER2 mAbs for 90min and in the corresponding recipient cells. (B) Clonogenic cell survival of SK-OV-3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MISII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donor cells exposed to 0-27 µg/mL of unlabeled anti-MISRII mAb and in the corresponding recipient cells. Results are the mean ± SD of four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experiments performed in triplicate. *p&lt;0.05, **p&lt;0.01, ***p&lt;0.001 compared with untreated cells.</w:t>
      </w:r>
    </w:p>
    <w:p w:rsidR="003C6BF2" w:rsidRPr="004C3137" w:rsidRDefault="003C6BF2" w:rsidP="00B525DB">
      <w:pPr>
        <w:spacing w:after="0" w:line="48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SUPPLEMENTARY FIG. S</w:t>
      </w:r>
      <w:r w:rsidR="001549B1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DNA double strand break formation in SK-OV-3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and A-431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bscript"/>
        </w:rPr>
        <w:t xml:space="preserve">CEA 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cells after RIT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(A) Foci were classified in large, medium and small according to their size, as reported in the table and shown in the representative immunofluorescence images (</w:t>
      </w:r>
      <w:r w:rsidR="001A045E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left and</w:t>
      </w:r>
      <w:r w:rsidR="005D2FAC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lower panels). (B) The </w:t>
      </w:r>
      <w:r w:rsidR="00D94C0D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average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number of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53BP1 foci per cell was determined by immunofluorescence in </w:t>
      </w:r>
      <w:r w:rsidR="00D376B8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100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A-431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CEA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cells exposed to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Pb-anti-CEA mAb,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Pb-anti-HER2 mAb, or untreated. </w:t>
      </w:r>
      <w:r w:rsidR="001A045E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(C)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 number of micronuclei per binucleated cell was determined in A-431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CEA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cells after exposure to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Pb-anti-CEA mAb,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Pb-anti-HER2 mAb, or untreated. Results are the mean ± SD of three experiments performed in triplicate. *p &lt;0.05, **p &lt;0.01, ***p &lt;0.001, compared with untreated cells.</w:t>
      </w:r>
    </w:p>
    <w:p w:rsidR="003C6BF2" w:rsidRPr="004C3137" w:rsidRDefault="003C6BF2" w:rsidP="003C6BF2">
      <w:pPr>
        <w:tabs>
          <w:tab w:val="left" w:pos="2461"/>
        </w:tabs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C6BF2" w:rsidRPr="004C3137" w:rsidRDefault="003C6BF2" w:rsidP="003C6BF2">
      <w:pPr>
        <w:tabs>
          <w:tab w:val="left" w:pos="2461"/>
        </w:tabs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SUPPLEMENTARY FIG. S</w:t>
      </w:r>
      <w:r w:rsidR="001549B1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4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Signaling pathways activated in donor and recipient cells after exposure to 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Bi-anti-MISRII mAb alone or with MBCD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(A)  The phosphorylation level of the 46 activated kinases was assessed in SK-OV-3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recipient cells incubated with medium from donor cells exposed or not (untreated) to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Bi-anti-MISRII mAb alone, or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Bi-anti-MISRII mAb + MBCD using the Human Phospho-Kinase array (Proteome Profiler Array; R&amp;D Systems, Minneapolis, MN). For each kinase, the ImageJ software was used to determine the pixel intensity. </w:t>
      </w:r>
      <w:r w:rsidR="00D376B8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(B) </w:t>
      </w:r>
      <w:r w:rsidR="005D2FAC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Analysis</w:t>
      </w:r>
      <w:r w:rsidR="00D376B8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of phosphorylated p38 and NF-</w:t>
      </w:r>
      <w:proofErr w:type="spellStart"/>
      <w:r w:rsidR="00D376B8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ĸB</w:t>
      </w:r>
      <w:proofErr w:type="spellEnd"/>
      <w:r w:rsidR="00D376B8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by western blotting in AN3CA donor and recipient cell extracts. </w:t>
      </w:r>
      <w:r w:rsidR="00D94C0D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CM, conditioned medium from donor cells.</w:t>
      </w:r>
    </w:p>
    <w:p w:rsidR="00625CAB" w:rsidRPr="004C3137" w:rsidRDefault="00625CAB" w:rsidP="003C6BF2">
      <w:pPr>
        <w:tabs>
          <w:tab w:val="left" w:pos="2461"/>
        </w:tabs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625CAB" w:rsidRPr="004C3137" w:rsidRDefault="00625CAB" w:rsidP="00D376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SUPPLEMENTARY FIG. S5. Signaling pathways activated in donor and recipient cells after exposure to 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Bi-anti-MISRII mAb alone or with MBCD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(A) </w:t>
      </w:r>
      <w:r w:rsidR="00D376B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Apoptosis </w:t>
      </w:r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(green) </w:t>
      </w:r>
      <w:r w:rsidR="00D376B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was measured in </w:t>
      </w:r>
      <w:r w:rsidR="00D376B8" w:rsidRPr="004C3137">
        <w:rPr>
          <w:rFonts w:ascii="Times New Roman" w:eastAsia="SimSun" w:hAnsi="Times New Roman" w:cs="Mangal"/>
          <w:color w:val="1F4E79" w:themeColor="accent1" w:themeShade="80"/>
          <w:kern w:val="3"/>
          <w:sz w:val="24"/>
          <w:szCs w:val="24"/>
          <w:lang w:eastAsia="zh-CN" w:bidi="hi-IN"/>
        </w:rPr>
        <w:t>SK-OV-3</w:t>
      </w:r>
      <w:r w:rsidR="00D376B8" w:rsidRPr="004C3137">
        <w:rPr>
          <w:rFonts w:ascii="Times New Roman" w:eastAsia="SimSun" w:hAnsi="Times New Roman" w:cs="Mangal"/>
          <w:color w:val="1F4E79" w:themeColor="accent1" w:themeShade="80"/>
          <w:kern w:val="3"/>
          <w:sz w:val="24"/>
          <w:szCs w:val="24"/>
          <w:vertAlign w:val="subscript"/>
          <w:lang w:eastAsia="zh-CN" w:bidi="hi-IN"/>
        </w:rPr>
        <w:t>MISRII</w:t>
      </w:r>
      <w:r w:rsidR="00D376B8" w:rsidRPr="004C3137">
        <w:rPr>
          <w:rFonts w:ascii="Times New Roman" w:eastAsia="SimSun" w:hAnsi="Times New Roman" w:cs="Mangal"/>
          <w:color w:val="1F4E79" w:themeColor="accent1" w:themeShade="80"/>
          <w:kern w:val="3"/>
          <w:sz w:val="24"/>
          <w:szCs w:val="24"/>
          <w:lang w:eastAsia="zh-CN" w:bidi="hi-IN"/>
        </w:rPr>
        <w:t xml:space="preserve"> donor cells pre-incubated with SP600125 (JNK inhibitor), SPB203580 (p38 </w:t>
      </w:r>
      <w:r w:rsidR="00D376B8" w:rsidRPr="004C3137">
        <w:rPr>
          <w:rFonts w:ascii="Times New Roman" w:eastAsia="SimSun" w:hAnsi="Times New Roman" w:cs="Mangal"/>
          <w:color w:val="1F4E79" w:themeColor="accent1" w:themeShade="80"/>
          <w:kern w:val="3"/>
          <w:sz w:val="24"/>
          <w:szCs w:val="24"/>
          <w:lang w:eastAsia="zh-CN" w:bidi="hi-IN"/>
        </w:rPr>
        <w:lastRenderedPageBreak/>
        <w:t>inhibitor), imipramine (</w:t>
      </w:r>
      <w:proofErr w:type="spellStart"/>
      <w:r w:rsidR="00D376B8" w:rsidRPr="004C3137">
        <w:rPr>
          <w:rFonts w:ascii="Times New Roman" w:eastAsia="SimSun" w:hAnsi="Times New Roman" w:cs="Mangal"/>
          <w:color w:val="1F4E79" w:themeColor="accent1" w:themeShade="80"/>
          <w:kern w:val="3"/>
          <w:sz w:val="24"/>
          <w:szCs w:val="24"/>
          <w:lang w:eastAsia="zh-CN" w:bidi="hi-IN"/>
        </w:rPr>
        <w:t>ASMase</w:t>
      </w:r>
      <w:proofErr w:type="spellEnd"/>
      <w:r w:rsidR="00D376B8" w:rsidRPr="004C3137">
        <w:rPr>
          <w:rFonts w:ascii="Times New Roman" w:eastAsia="SimSun" w:hAnsi="Times New Roman" w:cs="Mangal"/>
          <w:color w:val="1F4E79" w:themeColor="accent1" w:themeShade="80"/>
          <w:kern w:val="3"/>
          <w:sz w:val="24"/>
          <w:szCs w:val="24"/>
          <w:lang w:eastAsia="zh-CN" w:bidi="hi-IN"/>
        </w:rPr>
        <w:t xml:space="preserve"> inhibitor) or MBCD (lipid raft disruptor) </w:t>
      </w:r>
      <w:r w:rsidR="00D376B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using </w:t>
      </w:r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the </w:t>
      </w:r>
      <w:r w:rsidR="00D376B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TUNEL Detection</w:t>
      </w:r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D376B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Kit (Promega, France).</w:t>
      </w:r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 I</w:t>
      </w:r>
      <w:r w:rsidR="00D376B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mages </w:t>
      </w:r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show results </w:t>
      </w:r>
      <w:r w:rsidR="00D376B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at 48h post-treatment.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63CB4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Nuclei are stained with Hoechst (blue).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(B) The phosphorylation level of the 46 activated kinases was assessed in SK-OV-3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recipient cells incubated with medium from donor cells exposed or not (untreated) to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Bi-anti-MISRII mAb alone, or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Bi-anti-MISRII mAb + MBCD using the Human Phospho-Kinase array (Proteome Profiler Array; R&amp;D Systems, Minneapolis, MN). For each kinase, the ImageJ software was used to determine the pixel intensity. </w:t>
      </w:r>
    </w:p>
    <w:p w:rsidR="003C6BF2" w:rsidRPr="004C3137" w:rsidRDefault="003C6BF2" w:rsidP="003C6BF2">
      <w:pPr>
        <w:tabs>
          <w:tab w:val="left" w:pos="2461"/>
        </w:tabs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C6BF2" w:rsidRPr="004C3137" w:rsidRDefault="003C6BF2" w:rsidP="003C6BF2">
      <w:pPr>
        <w:tabs>
          <w:tab w:val="left" w:pos="2461"/>
        </w:tabs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SUPPLEMENTARY FIG. </w:t>
      </w:r>
      <w:r w:rsidR="00625CAB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S6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 Signaling pathways activated in SK-OV-3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donor cells exposed to 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Bi-anti-MISRII mAb + filipin and in recipient cells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 The phosphorylation level of 46 kinases was assessed in (A) SK-OV-3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donor cells after incubation with medium alone (untreated),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Bi-anti-MISRII mAb, or with 0.5MBq/mL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Bi-anti-MISRII mAb + filipin, and (B) in the corresponding SK-OV-3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recipient cells using the Human Phospho-Kinase Array (Proteome Profiler Array; R&amp;D Systems, Minneapolis, MN). For each kinase, the ImageJ software was used to determine the pixel intensity. </w:t>
      </w:r>
    </w:p>
    <w:p w:rsidR="003C6BF2" w:rsidRPr="004C3137" w:rsidRDefault="003C6BF2" w:rsidP="003C6BF2">
      <w:pPr>
        <w:tabs>
          <w:tab w:val="left" w:pos="2461"/>
        </w:tabs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C6BF2" w:rsidRPr="004C3137" w:rsidRDefault="003C6BF2" w:rsidP="003C6B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SUPPLEMENTARY FIG. </w:t>
      </w:r>
      <w:r w:rsidR="00625CAB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S7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 Oxidative stress proteins activated in SK-OV-3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and HCT116 cells after RIT.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Oxidative stress-related proteins activated in donor and recipient cells after incubation of: A) SK-OV-3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MISRII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donor cells with culture medium (untreated) or with 0.5 </w:t>
      </w:r>
      <w:proofErr w:type="spellStart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MBq</w:t>
      </w:r>
      <w:proofErr w:type="spellEnd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Bi-anti-MISRII </w:t>
      </w:r>
      <w:proofErr w:type="spellStart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mAb</w:t>
      </w:r>
      <w:proofErr w:type="spellEnd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in the corresponding recipient cells</w:t>
      </w:r>
      <w:r w:rsidR="005D2FAC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; and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B) HCT 116 donor cells with culture medium (untreated) or with 4 </w:t>
      </w:r>
      <w:proofErr w:type="spellStart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MBq</w:t>
      </w:r>
      <w:proofErr w:type="spellEnd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/mL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125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I-anti-CEA </w:t>
      </w:r>
      <w:proofErr w:type="spellStart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mAb</w:t>
      </w:r>
      <w:proofErr w:type="spellEnd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in the corresponding recipient cells. The human Cell Stress Array (Proteome Profiler Array; R&amp;D Systems, Minneapolis, MN) was used. C) </w:t>
      </w:r>
      <w:r w:rsidR="005D2FAC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Analysis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of phosphorylated NF-</w:t>
      </w:r>
      <w:proofErr w:type="spellStart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ĸB</w:t>
      </w:r>
      <w:proofErr w:type="spellEnd"/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by western blotting using extracts of donor and recipient </w:t>
      </w:r>
      <w:r w:rsidR="00D94C0D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SK-OV-3</w:t>
      </w:r>
      <w:r w:rsidR="00D94C0D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MISRII</w:t>
      </w:r>
      <w:r w:rsidR="00D94C0D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AN3CA cells exposed to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213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Bi-anti-anti-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MISRII mAb or not (untreated) or of HCT116 donor cells exposed to 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125</w:t>
      </w:r>
      <w:r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I-anti-CEA mAb and the corresponding recipient cells. CM, conditioned medium from donor cells.</w:t>
      </w:r>
    </w:p>
    <w:p w:rsidR="00D376B8" w:rsidRPr="004C3137" w:rsidRDefault="00D376B8" w:rsidP="003C6B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30CF9" w:rsidRDefault="002C7107" w:rsidP="002C7107">
      <w:pPr>
        <w:spacing w:after="0" w:line="480" w:lineRule="auto"/>
      </w:pP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SUPPLEMENTARY FIG. S8. </w:t>
      </w:r>
      <w:r w:rsidR="00D63CB4" w:rsidRPr="004C313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In vivo</w:t>
      </w:r>
      <w:r w:rsidR="00D63CB4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e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ffects of MBCD on tumor growth</w:t>
      </w:r>
      <w:r w:rsidR="00D376B8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D63CB4"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in mice treated with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low activities of </w:t>
      </w:r>
      <w:r w:rsidRPr="004C3137">
        <w:rPr>
          <w:rFonts w:ascii="Times New Roman" w:eastAsia="SimSun" w:hAnsi="Times New Roman" w:cs="Times New Roman"/>
          <w:b/>
          <w:color w:val="1F4E79" w:themeColor="accent1" w:themeShade="80"/>
          <w:kern w:val="3"/>
          <w:sz w:val="24"/>
          <w:szCs w:val="24"/>
          <w:vertAlign w:val="superscript"/>
          <w:lang w:eastAsia="zh-CN" w:bidi="hi-IN"/>
        </w:rPr>
        <w:t>213</w:t>
      </w:r>
      <w:r w:rsidRPr="004C3137">
        <w:rPr>
          <w:rFonts w:ascii="Times New Roman" w:eastAsia="SimSun" w:hAnsi="Times New Roman" w:cs="Times New Roman"/>
          <w:b/>
          <w:color w:val="1F4E79" w:themeColor="accent1" w:themeShade="80"/>
          <w:kern w:val="3"/>
          <w:sz w:val="24"/>
          <w:szCs w:val="24"/>
          <w:lang w:eastAsia="zh-CN" w:bidi="hi-IN"/>
        </w:rPr>
        <w:t>Bi-anti-MISRII mAb</w:t>
      </w:r>
      <w:r w:rsidRPr="004C31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Mice bearing </w:t>
      </w:r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intraperitoneal (</w:t>
      </w:r>
      <w:proofErr w:type="spellStart"/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i.p.</w:t>
      </w:r>
      <w:proofErr w:type="spellEnd"/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) 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AN3CA tumor cell xenografts were treated with</w:t>
      </w:r>
      <w:r w:rsidR="00D63CB4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: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i</w:t>
      </w:r>
      <w:proofErr w:type="spellEnd"/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) NaCl, ii) daily </w:t>
      </w:r>
      <w:proofErr w:type="spellStart"/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i.p.</w:t>
      </w:r>
      <w:proofErr w:type="spellEnd"/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 injections of 300 mg/kg MBCD from day 7 to 13 post-graft, iii) one injection of 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vertAlign w:val="superscript"/>
          <w:lang w:eastAsia="zh-CN" w:bidi="hi-IN"/>
        </w:rPr>
        <w:t>213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 xml:space="preserve">Bi-anti-MISRII mAb at day 11, or (iv) both 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vertAlign w:val="superscript"/>
          <w:lang w:eastAsia="zh-CN" w:bidi="hi-IN"/>
        </w:rPr>
        <w:t>213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Bi-anti-MISRII mAb and MBCD.</w:t>
      </w:r>
      <w:r w:rsidR="00E1202B" w:rsidRPr="004C313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At day 14 post-graft, mice were sacrificed, tumors collected, and the total tumor mass was determined</w:t>
      </w:r>
      <w:r w:rsidR="004F5838" w:rsidRPr="004C3137"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  <w:t>.</w:t>
      </w:r>
    </w:p>
    <w:sectPr w:rsidR="00830C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F2"/>
    <w:rsid w:val="00007F91"/>
    <w:rsid w:val="00030D37"/>
    <w:rsid w:val="000C09CB"/>
    <w:rsid w:val="00112F3E"/>
    <w:rsid w:val="001379BC"/>
    <w:rsid w:val="001549B1"/>
    <w:rsid w:val="001A045E"/>
    <w:rsid w:val="001E2000"/>
    <w:rsid w:val="00240D7F"/>
    <w:rsid w:val="002C7107"/>
    <w:rsid w:val="00345AAD"/>
    <w:rsid w:val="003C6BF2"/>
    <w:rsid w:val="004773C4"/>
    <w:rsid w:val="004C3137"/>
    <w:rsid w:val="004F186D"/>
    <w:rsid w:val="004F5838"/>
    <w:rsid w:val="005D2FAC"/>
    <w:rsid w:val="00625CAB"/>
    <w:rsid w:val="00830CF9"/>
    <w:rsid w:val="00894111"/>
    <w:rsid w:val="00917FD3"/>
    <w:rsid w:val="009272AC"/>
    <w:rsid w:val="009963AA"/>
    <w:rsid w:val="009E5710"/>
    <w:rsid w:val="00B525DB"/>
    <w:rsid w:val="00C70D16"/>
    <w:rsid w:val="00CD0DEA"/>
    <w:rsid w:val="00D376B8"/>
    <w:rsid w:val="00D63CB4"/>
    <w:rsid w:val="00D93E42"/>
    <w:rsid w:val="00D94C0D"/>
    <w:rsid w:val="00D97A28"/>
    <w:rsid w:val="00E114B3"/>
    <w:rsid w:val="00E1202B"/>
    <w:rsid w:val="00E16440"/>
    <w:rsid w:val="00F75814"/>
    <w:rsid w:val="00F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D38EB-7C7E-4D59-B021-E724637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BF2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C4"/>
    <w:pPr>
      <w:spacing w:after="160" w:line="259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710"/>
    <w:pPr>
      <w:spacing w:after="0" w:line="240" w:lineRule="auto"/>
      <w:jc w:val="left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710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9963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3"/>
    <w:pPr>
      <w:spacing w:after="200"/>
      <w:jc w:val="both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3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Pouget Jean-Pierre</dc:creator>
  <cp:keywords/>
  <dc:description/>
  <cp:lastModifiedBy>Siegmann, Bill</cp:lastModifiedBy>
  <cp:revision>2</cp:revision>
  <cp:lastPrinted>2018-10-01T09:13:00Z</cp:lastPrinted>
  <dcterms:created xsi:type="dcterms:W3CDTF">2019-04-29T13:32:00Z</dcterms:created>
  <dcterms:modified xsi:type="dcterms:W3CDTF">2019-04-29T13:32:00Z</dcterms:modified>
</cp:coreProperties>
</file>