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C2" w:rsidRPr="00D022D6" w:rsidRDefault="00C960C2" w:rsidP="00663E71">
      <w:pPr>
        <w:jc w:val="both"/>
        <w:rPr>
          <w:rFonts w:ascii="Arial" w:hAnsi="Arial" w:cs="Arial"/>
          <w:b/>
          <w:sz w:val="22"/>
          <w:szCs w:val="22"/>
        </w:rPr>
      </w:pPr>
      <w:r w:rsidRPr="00D022D6">
        <w:rPr>
          <w:rFonts w:ascii="Arial" w:hAnsi="Arial" w:cs="Arial"/>
          <w:b/>
          <w:sz w:val="22"/>
          <w:szCs w:val="22"/>
        </w:rPr>
        <w:t>SUPPLEMENTARY METHODS</w:t>
      </w:r>
    </w:p>
    <w:p w:rsidR="00C960C2" w:rsidRPr="00D022D6" w:rsidRDefault="00C960C2" w:rsidP="00663E71">
      <w:pPr>
        <w:pStyle w:val="NoSpacing"/>
        <w:spacing w:line="360" w:lineRule="auto"/>
        <w:jc w:val="both"/>
        <w:rPr>
          <w:rFonts w:ascii="Arial" w:hAnsi="Arial" w:cs="Arial"/>
          <w:i/>
        </w:rPr>
      </w:pPr>
    </w:p>
    <w:p w:rsidR="009A2BC4" w:rsidRPr="009A2BC4" w:rsidRDefault="009A2BC4" w:rsidP="009A2BC4">
      <w:pPr>
        <w:spacing w:line="360" w:lineRule="auto"/>
        <w:jc w:val="both"/>
        <w:rPr>
          <w:rFonts w:ascii="Arial" w:hAnsi="Arial" w:cs="Arial"/>
          <w:b/>
          <w:i/>
          <w:sz w:val="22"/>
          <w:szCs w:val="22"/>
        </w:rPr>
      </w:pPr>
      <w:r w:rsidRPr="009A2BC4">
        <w:rPr>
          <w:rFonts w:ascii="Arial" w:hAnsi="Arial" w:cs="Arial"/>
          <w:b/>
          <w:i/>
          <w:sz w:val="22"/>
          <w:szCs w:val="22"/>
        </w:rPr>
        <w:t xml:space="preserve">Xenograft </w:t>
      </w:r>
      <w:r w:rsidR="00FB6586">
        <w:rPr>
          <w:rFonts w:ascii="Arial" w:hAnsi="Arial" w:cs="Arial"/>
          <w:b/>
          <w:i/>
          <w:sz w:val="22"/>
          <w:szCs w:val="22"/>
        </w:rPr>
        <w:t xml:space="preserve">DCE-MRI </w:t>
      </w:r>
      <w:r w:rsidRPr="009A2BC4">
        <w:rPr>
          <w:rFonts w:ascii="Arial" w:hAnsi="Arial" w:cs="Arial"/>
          <w:b/>
          <w:i/>
          <w:sz w:val="22"/>
          <w:szCs w:val="22"/>
        </w:rPr>
        <w:t>a</w:t>
      </w:r>
      <w:r w:rsidR="00FB6586">
        <w:rPr>
          <w:rFonts w:ascii="Arial" w:hAnsi="Arial" w:cs="Arial"/>
          <w:b/>
          <w:i/>
          <w:sz w:val="22"/>
          <w:szCs w:val="22"/>
        </w:rPr>
        <w:t>cquisition</w:t>
      </w:r>
      <w:r w:rsidRPr="009A2BC4">
        <w:rPr>
          <w:rFonts w:ascii="Arial" w:hAnsi="Arial" w:cs="Arial"/>
          <w:b/>
          <w:i/>
          <w:sz w:val="22"/>
          <w:szCs w:val="22"/>
        </w:rPr>
        <w:t xml:space="preserve"> details</w:t>
      </w:r>
    </w:p>
    <w:p w:rsidR="009A2BC4" w:rsidRPr="009A2BC4" w:rsidRDefault="009A2BC4" w:rsidP="009A2BC4">
      <w:pPr>
        <w:spacing w:line="360" w:lineRule="auto"/>
        <w:jc w:val="both"/>
        <w:rPr>
          <w:rFonts w:ascii="Arial" w:hAnsi="Arial" w:cs="Arial"/>
          <w:sz w:val="22"/>
          <w:szCs w:val="22"/>
          <w:lang w:eastAsia="en-GB" w:bidi="he-IL"/>
        </w:rPr>
      </w:pPr>
      <w:r w:rsidRPr="009A2BC4">
        <w:rPr>
          <w:rFonts w:ascii="Arial" w:hAnsi="Arial" w:cs="Arial"/>
          <w:sz w:val="22"/>
          <w:szCs w:val="22"/>
        </w:rPr>
        <w:t xml:space="preserve">For DCE-MRI, native tissue VFA SPGR </w:t>
      </w:r>
      <w:r w:rsidRPr="009A2BC4">
        <w:rPr>
          <w:rFonts w:ascii="Arial" w:hAnsi="Arial" w:cs="Arial"/>
          <w:i/>
          <w:sz w:val="22"/>
          <w:szCs w:val="22"/>
        </w:rPr>
        <w:t>R</w:t>
      </w:r>
      <w:r w:rsidRPr="009A2BC4">
        <w:rPr>
          <w:rFonts w:ascii="Arial" w:hAnsi="Arial" w:cs="Arial"/>
          <w:sz w:val="22"/>
          <w:szCs w:val="22"/>
          <w:vertAlign w:val="subscript"/>
        </w:rPr>
        <w:t>1</w:t>
      </w:r>
      <w:r w:rsidRPr="009A2BC4">
        <w:rPr>
          <w:rFonts w:ascii="Arial" w:hAnsi="Arial" w:cs="Arial"/>
          <w:sz w:val="22"/>
          <w:szCs w:val="22"/>
        </w:rPr>
        <w:t xml:space="preserve"> calculation was performed (TR = 6.02 </w:t>
      </w:r>
      <w:proofErr w:type="spellStart"/>
      <w:r w:rsidRPr="009A2BC4">
        <w:rPr>
          <w:rFonts w:ascii="Arial" w:hAnsi="Arial" w:cs="Arial"/>
          <w:sz w:val="22"/>
          <w:szCs w:val="22"/>
        </w:rPr>
        <w:t>ms</w:t>
      </w:r>
      <w:proofErr w:type="spellEnd"/>
      <w:r w:rsidRPr="009A2BC4">
        <w:rPr>
          <w:rFonts w:ascii="Arial" w:hAnsi="Arial" w:cs="Arial"/>
          <w:sz w:val="22"/>
          <w:szCs w:val="22"/>
        </w:rPr>
        <w:t xml:space="preserve">; TE = 1.46 </w:t>
      </w:r>
      <w:proofErr w:type="spellStart"/>
      <w:r w:rsidRPr="009A2BC4">
        <w:rPr>
          <w:rFonts w:ascii="Arial" w:hAnsi="Arial" w:cs="Arial"/>
          <w:sz w:val="22"/>
          <w:szCs w:val="22"/>
        </w:rPr>
        <w:t>ms</w:t>
      </w:r>
      <w:proofErr w:type="spellEnd"/>
      <w:r w:rsidRPr="009A2BC4">
        <w:rPr>
          <w:rFonts w:ascii="Arial" w:hAnsi="Arial" w:cs="Arial"/>
          <w:sz w:val="22"/>
          <w:szCs w:val="22"/>
        </w:rPr>
        <w:t xml:space="preserve">; α = 2°/5°/10°), followed by 96 dynamic </w:t>
      </w:r>
      <w:r w:rsidRPr="009A2BC4">
        <w:rPr>
          <w:rFonts w:ascii="Arial" w:hAnsi="Arial" w:cs="Arial"/>
          <w:i/>
          <w:sz w:val="22"/>
          <w:szCs w:val="22"/>
        </w:rPr>
        <w:t>T</w:t>
      </w:r>
      <w:r w:rsidRPr="009A2BC4">
        <w:rPr>
          <w:rFonts w:ascii="Arial" w:hAnsi="Arial" w:cs="Arial"/>
          <w:sz w:val="22"/>
          <w:szCs w:val="22"/>
          <w:vertAlign w:val="subscript"/>
        </w:rPr>
        <w:t>1</w:t>
      </w:r>
      <w:r w:rsidRPr="009A2BC4">
        <w:rPr>
          <w:rFonts w:ascii="Arial" w:hAnsi="Arial" w:cs="Arial"/>
          <w:sz w:val="22"/>
          <w:szCs w:val="22"/>
        </w:rPr>
        <w:t xml:space="preserve">-weighted SPGR acquisitions (TR = 6.02 </w:t>
      </w:r>
      <w:proofErr w:type="spellStart"/>
      <w:r w:rsidRPr="009A2BC4">
        <w:rPr>
          <w:rFonts w:ascii="Arial" w:hAnsi="Arial" w:cs="Arial"/>
          <w:sz w:val="22"/>
          <w:szCs w:val="22"/>
        </w:rPr>
        <w:t>ms</w:t>
      </w:r>
      <w:proofErr w:type="spellEnd"/>
      <w:r w:rsidRPr="009A2BC4">
        <w:rPr>
          <w:rFonts w:ascii="Arial" w:hAnsi="Arial" w:cs="Arial"/>
          <w:sz w:val="22"/>
          <w:szCs w:val="22"/>
        </w:rPr>
        <w:t xml:space="preserve">; TE = 1.46 </w:t>
      </w:r>
      <w:proofErr w:type="spellStart"/>
      <w:r w:rsidRPr="009A2BC4">
        <w:rPr>
          <w:rFonts w:ascii="Arial" w:hAnsi="Arial" w:cs="Arial"/>
          <w:sz w:val="22"/>
          <w:szCs w:val="22"/>
        </w:rPr>
        <w:t>ms</w:t>
      </w:r>
      <w:proofErr w:type="spellEnd"/>
      <w:r w:rsidRPr="009A2BC4">
        <w:rPr>
          <w:rFonts w:ascii="Arial" w:hAnsi="Arial" w:cs="Arial"/>
          <w:sz w:val="22"/>
          <w:szCs w:val="22"/>
        </w:rPr>
        <w:t>; α = 10°; temporal resolution: 5.8 s) with gadolinium-based contrast agent (</w:t>
      </w:r>
      <w:proofErr w:type="spellStart"/>
      <w:r w:rsidRPr="009A2BC4">
        <w:rPr>
          <w:rFonts w:ascii="Arial" w:hAnsi="Arial" w:cs="Arial"/>
          <w:sz w:val="22"/>
          <w:szCs w:val="22"/>
        </w:rPr>
        <w:t>Gd</w:t>
      </w:r>
      <w:proofErr w:type="spellEnd"/>
      <w:r w:rsidRPr="009A2BC4">
        <w:rPr>
          <w:rFonts w:ascii="Arial" w:hAnsi="Arial" w:cs="Arial"/>
          <w:sz w:val="22"/>
          <w:szCs w:val="22"/>
        </w:rPr>
        <w:t>-DOTA (</w:t>
      </w:r>
      <w:proofErr w:type="spellStart"/>
      <w:r w:rsidRPr="009A2BC4">
        <w:rPr>
          <w:rFonts w:ascii="Arial" w:hAnsi="Arial" w:cs="Arial"/>
          <w:sz w:val="22"/>
          <w:szCs w:val="22"/>
        </w:rPr>
        <w:t>Dotarem</w:t>
      </w:r>
      <w:proofErr w:type="spellEnd"/>
      <w:r w:rsidRPr="009A2BC4">
        <w:rPr>
          <w:rFonts w:ascii="Arial" w:hAnsi="Arial" w:cs="Arial"/>
          <w:sz w:val="22"/>
          <w:szCs w:val="22"/>
        </w:rPr>
        <w:t xml:space="preserve">, </w:t>
      </w:r>
      <w:proofErr w:type="spellStart"/>
      <w:r w:rsidRPr="009A2BC4">
        <w:rPr>
          <w:rFonts w:ascii="Arial" w:hAnsi="Arial" w:cs="Arial"/>
          <w:sz w:val="22"/>
          <w:szCs w:val="22"/>
        </w:rPr>
        <w:t>Guerbet</w:t>
      </w:r>
      <w:proofErr w:type="spellEnd"/>
      <w:r w:rsidRPr="009A2BC4">
        <w:rPr>
          <w:rFonts w:ascii="Arial" w:hAnsi="Arial" w:cs="Arial"/>
          <w:sz w:val="22"/>
          <w:szCs w:val="22"/>
        </w:rPr>
        <w:t>) injected into a tail vein after 24 acquisitions.</w:t>
      </w:r>
    </w:p>
    <w:p w:rsidR="009A2BC4" w:rsidRDefault="009A2BC4" w:rsidP="00663E71">
      <w:pPr>
        <w:pStyle w:val="NoSpacing"/>
        <w:spacing w:line="360" w:lineRule="auto"/>
        <w:jc w:val="both"/>
        <w:rPr>
          <w:rFonts w:ascii="Arial" w:hAnsi="Arial" w:cs="Arial"/>
          <w:b/>
          <w:i/>
        </w:rPr>
      </w:pPr>
    </w:p>
    <w:p w:rsidR="00737EA8" w:rsidRPr="00E85C13" w:rsidRDefault="008956FD" w:rsidP="00663E71">
      <w:pPr>
        <w:pStyle w:val="NoSpacing"/>
        <w:spacing w:line="360" w:lineRule="auto"/>
        <w:jc w:val="both"/>
        <w:rPr>
          <w:rFonts w:ascii="Arial" w:hAnsi="Arial" w:cs="Arial"/>
          <w:b/>
          <w:i/>
        </w:rPr>
      </w:pPr>
      <w:r w:rsidRPr="00E85C13">
        <w:rPr>
          <w:rFonts w:ascii="Arial" w:hAnsi="Arial" w:cs="Arial"/>
          <w:b/>
          <w:i/>
        </w:rPr>
        <w:t>X</w:t>
      </w:r>
      <w:r w:rsidR="00737EA8" w:rsidRPr="00E85C13">
        <w:rPr>
          <w:rFonts w:ascii="Arial" w:hAnsi="Arial" w:cs="Arial"/>
          <w:b/>
          <w:i/>
        </w:rPr>
        <w:t xml:space="preserve">enograft </w:t>
      </w:r>
      <w:r w:rsidRPr="00E85C13">
        <w:rPr>
          <w:rFonts w:ascii="Arial" w:hAnsi="Arial" w:cs="Arial"/>
          <w:b/>
          <w:i/>
        </w:rPr>
        <w:t>pathology anal</w:t>
      </w:r>
      <w:r w:rsidR="00737EA8" w:rsidRPr="00E85C13">
        <w:rPr>
          <w:rFonts w:ascii="Arial" w:hAnsi="Arial" w:cs="Arial"/>
          <w:b/>
          <w:i/>
        </w:rPr>
        <w:t>ysis</w:t>
      </w:r>
      <w:r w:rsidRPr="00E85C13">
        <w:rPr>
          <w:rFonts w:ascii="Arial" w:hAnsi="Arial" w:cs="Arial"/>
          <w:b/>
          <w:i/>
        </w:rPr>
        <w:t xml:space="preserve"> details</w:t>
      </w:r>
    </w:p>
    <w:p w:rsidR="00737EA8" w:rsidRPr="00E85C13" w:rsidRDefault="00737EA8" w:rsidP="00663E71">
      <w:pPr>
        <w:pStyle w:val="NoSpacing"/>
        <w:spacing w:line="360" w:lineRule="auto"/>
        <w:jc w:val="both"/>
        <w:rPr>
          <w:rFonts w:ascii="Arial" w:hAnsi="Arial" w:cs="Arial"/>
          <w:b/>
          <w:i/>
        </w:rPr>
      </w:pPr>
      <w:r w:rsidRPr="00E85C13">
        <w:rPr>
          <w:rFonts w:ascii="Arial" w:hAnsi="Arial" w:cs="Arial"/>
        </w:rPr>
        <w:t>Intraperitoneal injection of 60 mg/ kg pimonidazole (</w:t>
      </w:r>
      <w:r w:rsidRPr="00E85C13">
        <w:rPr>
          <w:rFonts w:ascii="Arial" w:hAnsi="Arial" w:cs="Arial"/>
          <w:iCs/>
        </w:rPr>
        <w:t>Hypoxyprobe, Hypoxyprobe Inc., Burlington, MA</w:t>
      </w:r>
      <w:r w:rsidRPr="00E85C13">
        <w:rPr>
          <w:rFonts w:ascii="Arial" w:hAnsi="Arial" w:cs="Arial"/>
        </w:rPr>
        <w:t xml:space="preserve">) was performed approximately 55 min before 100% oxygen inhalation began to allow for maximal bioreduction of pimonidazole in hypoxic tumor regions. Tumors were excised whole and bisected along the coronal imaging plane, allowing the cut surface to match the MRI ROI. </w:t>
      </w:r>
      <w:r w:rsidRPr="00E85C13">
        <w:rPr>
          <w:rFonts w:ascii="Arial" w:hAnsi="Arial" w:cs="Arial"/>
          <w:iCs/>
        </w:rPr>
        <w:t xml:space="preserve">8 µm tissue sections were obtained from formalin fixed and paraffin embedded tumor material and scanned using fluorescent microscopy on a </w:t>
      </w:r>
      <w:r w:rsidRPr="00E85C13">
        <w:rPr>
          <w:rFonts w:ascii="Arial" w:hAnsi="Arial" w:cs="Arial"/>
        </w:rPr>
        <w:t>Panoramic 250 Flash system (3DHistech Ltd., Budapest, Hungary</w:t>
      </w:r>
      <w:r w:rsidRPr="00E85C13">
        <w:rPr>
          <w:rFonts w:ascii="Arial" w:hAnsi="Arial" w:cs="Arial"/>
          <w:iCs/>
        </w:rPr>
        <w:t xml:space="preserve">) to determine pimonidazole binding. Data were analyzed using </w:t>
      </w:r>
      <w:r w:rsidRPr="00E85C13">
        <w:rPr>
          <w:rFonts w:ascii="Arial" w:hAnsi="Arial" w:cs="Arial"/>
          <w:color w:val="000000"/>
        </w:rPr>
        <w:t>Definiens Developer 2.7 Tissue Studio software (Definiens, Munich, Germany)</w:t>
      </w:r>
      <w:r w:rsidRPr="00E85C13">
        <w:rPr>
          <w:rFonts w:ascii="Arial" w:hAnsi="Arial" w:cs="Arial"/>
          <w:iCs/>
        </w:rPr>
        <w:t>. Hypoxic fraction was represented by the percentage of stained area in viable tumor.</w:t>
      </w:r>
    </w:p>
    <w:p w:rsidR="00737EA8" w:rsidRPr="00E85C13" w:rsidRDefault="00737EA8" w:rsidP="00663E71">
      <w:pPr>
        <w:pStyle w:val="NoSpacing"/>
        <w:spacing w:line="360" w:lineRule="auto"/>
        <w:jc w:val="both"/>
        <w:rPr>
          <w:rFonts w:ascii="Arial" w:hAnsi="Arial" w:cs="Arial"/>
          <w:b/>
          <w:i/>
        </w:rPr>
      </w:pPr>
    </w:p>
    <w:p w:rsidR="008956FD" w:rsidRPr="00E85C13" w:rsidRDefault="008956FD" w:rsidP="00663E71">
      <w:pPr>
        <w:spacing w:line="360" w:lineRule="auto"/>
        <w:jc w:val="both"/>
        <w:rPr>
          <w:rFonts w:ascii="Arial" w:hAnsi="Arial" w:cs="Arial"/>
          <w:b/>
          <w:i/>
          <w:sz w:val="22"/>
          <w:szCs w:val="22"/>
        </w:rPr>
      </w:pPr>
      <w:r w:rsidRPr="00E85C13">
        <w:rPr>
          <w:rFonts w:ascii="Arial" w:hAnsi="Arial" w:cs="Arial"/>
          <w:b/>
          <w:i/>
          <w:sz w:val="22"/>
          <w:szCs w:val="22"/>
        </w:rPr>
        <w:t>Xenograft oxygen consumption rate (OCR) analysis details</w:t>
      </w:r>
    </w:p>
    <w:p w:rsidR="00C960C2" w:rsidRPr="00E85C13" w:rsidRDefault="00C960C2" w:rsidP="00663E71">
      <w:pPr>
        <w:pStyle w:val="NoSpacing"/>
        <w:spacing w:line="360" w:lineRule="auto"/>
        <w:jc w:val="both"/>
        <w:rPr>
          <w:rFonts w:ascii="Arial" w:hAnsi="Arial" w:cs="Arial"/>
          <w:lang w:eastAsia="en-GB" w:bidi="he-IL"/>
        </w:rPr>
      </w:pPr>
      <w:r w:rsidRPr="00E85C13">
        <w:rPr>
          <w:rFonts w:ascii="Arial" w:hAnsi="Arial" w:cs="Arial"/>
        </w:rPr>
        <w:t xml:space="preserve">Specimens </w:t>
      </w:r>
      <w:r w:rsidRPr="00E85C13">
        <w:rPr>
          <w:rFonts w:ascii="Arial" w:hAnsi="Arial" w:cs="Arial"/>
          <w:lang w:eastAsia="en-GB" w:bidi="he-IL"/>
        </w:rPr>
        <w:t>were harvested and placed directly in a tube containing ice cold</w:t>
      </w:r>
      <w:r w:rsidRPr="00E85C13">
        <w:rPr>
          <w:rStyle w:val="Heading3Char"/>
          <w:rFonts w:ascii="Arial" w:hAnsi="Arial" w:cs="Arial"/>
          <w:i/>
          <w:iCs/>
          <w:color w:val="6A6A6A"/>
          <w:shd w:val="clear" w:color="auto" w:fill="FFFFFF"/>
        </w:rPr>
        <w:t xml:space="preserve"> </w:t>
      </w:r>
      <w:r w:rsidRPr="00E85C13">
        <w:rPr>
          <w:rFonts w:ascii="Cambria Math" w:hAnsi="Cambria Math" w:cs="Cambria Math"/>
          <w:lang w:eastAsia="en-GB" w:bidi="he-IL"/>
        </w:rPr>
        <w:t> </w:t>
      </w:r>
      <w:proofErr w:type="spellStart"/>
      <w:r w:rsidRPr="00E85C13">
        <w:rPr>
          <w:rFonts w:ascii="Arial" w:hAnsi="Arial" w:cs="Arial"/>
          <w:lang w:eastAsia="en-GB" w:bidi="he-IL"/>
        </w:rPr>
        <w:t>mM</w:t>
      </w:r>
      <w:proofErr w:type="spellEnd"/>
      <w:r w:rsidRPr="00E85C13">
        <w:rPr>
          <w:rFonts w:ascii="Arial" w:hAnsi="Arial" w:cs="Arial"/>
          <w:lang w:eastAsia="en-GB" w:bidi="he-IL"/>
        </w:rPr>
        <w:t xml:space="preserve"> D-Glucose, 2</w:t>
      </w:r>
      <w:r w:rsidRPr="00E85C13">
        <w:rPr>
          <w:rFonts w:ascii="Cambria Math" w:hAnsi="Cambria Math" w:cs="Cambria Math"/>
          <w:lang w:eastAsia="en-GB" w:bidi="he-IL"/>
        </w:rPr>
        <w:t> </w:t>
      </w:r>
      <w:proofErr w:type="spellStart"/>
      <w:r w:rsidRPr="00E85C13">
        <w:rPr>
          <w:rFonts w:ascii="Arial" w:hAnsi="Arial" w:cs="Arial"/>
          <w:lang w:eastAsia="en-GB" w:bidi="he-IL"/>
        </w:rPr>
        <w:t>mM</w:t>
      </w:r>
      <w:proofErr w:type="spellEnd"/>
      <w:r w:rsidRPr="00E85C13">
        <w:rPr>
          <w:rFonts w:ascii="Arial" w:hAnsi="Arial" w:cs="Arial"/>
          <w:lang w:eastAsia="en-GB" w:bidi="he-IL"/>
        </w:rPr>
        <w:t xml:space="preserve"> L-Glutamine, 1</w:t>
      </w:r>
      <w:r w:rsidRPr="00E85C13">
        <w:rPr>
          <w:rFonts w:ascii="Cambria Math" w:hAnsi="Cambria Math" w:cs="Cambria Math"/>
          <w:lang w:eastAsia="en-GB" w:bidi="he-IL"/>
        </w:rPr>
        <w:t> </w:t>
      </w:r>
      <w:proofErr w:type="spellStart"/>
      <w:r w:rsidRPr="00E85C13">
        <w:rPr>
          <w:rFonts w:ascii="Arial" w:hAnsi="Arial" w:cs="Arial"/>
          <w:lang w:eastAsia="en-GB" w:bidi="he-IL"/>
        </w:rPr>
        <w:t>mM</w:t>
      </w:r>
      <w:proofErr w:type="spellEnd"/>
      <w:r w:rsidRPr="00E85C13">
        <w:rPr>
          <w:rFonts w:ascii="Arial" w:hAnsi="Arial" w:cs="Arial"/>
          <w:lang w:eastAsia="en-GB" w:bidi="he-IL"/>
        </w:rPr>
        <w:t xml:space="preserve"> Sodium Pyruvate, 2</w:t>
      </w:r>
      <w:r w:rsidRPr="00E85C13">
        <w:rPr>
          <w:rFonts w:ascii="Cambria Math" w:hAnsi="Cambria Math" w:cs="Cambria Math"/>
          <w:lang w:eastAsia="en-GB" w:bidi="he-IL"/>
        </w:rPr>
        <w:t> </w:t>
      </w:r>
      <w:proofErr w:type="spellStart"/>
      <w:r w:rsidRPr="00E85C13">
        <w:rPr>
          <w:rFonts w:ascii="Arial" w:hAnsi="Arial" w:cs="Arial"/>
          <w:lang w:eastAsia="en-GB" w:bidi="he-IL"/>
        </w:rPr>
        <w:t>mM</w:t>
      </w:r>
      <w:proofErr w:type="spellEnd"/>
      <w:r w:rsidRPr="00E85C13">
        <w:rPr>
          <w:rFonts w:ascii="Arial" w:hAnsi="Arial" w:cs="Arial"/>
          <w:lang w:eastAsia="en-GB" w:bidi="he-IL"/>
        </w:rPr>
        <w:t xml:space="preserve"> Sodium Citrate, pH7.4. Each sample was attached onto moulds using cyanoacrylate adhesives (Sigma, Cat# Z105899) and stabilized to the base of a </w:t>
      </w:r>
      <w:proofErr w:type="spellStart"/>
      <w:r w:rsidRPr="00E85C13">
        <w:rPr>
          <w:rFonts w:ascii="Arial" w:hAnsi="Arial" w:cs="Arial"/>
          <w:lang w:eastAsia="en-GB" w:bidi="he-IL"/>
        </w:rPr>
        <w:t>Vibrotome</w:t>
      </w:r>
      <w:proofErr w:type="spellEnd"/>
      <w:r w:rsidRPr="00E85C13">
        <w:rPr>
          <w:rFonts w:ascii="Arial" w:hAnsi="Arial" w:cs="Arial"/>
          <w:lang w:eastAsia="en-GB" w:bidi="he-IL"/>
        </w:rPr>
        <w:t xml:space="preserve"> Series 1000 Sectioning System. Once fixed to the base plate, the specimen was covered in ice cold </w:t>
      </w:r>
      <w:r w:rsidRPr="00E85C13">
        <w:rPr>
          <w:rStyle w:val="Emphasis"/>
          <w:rFonts w:ascii="Arial" w:hAnsi="Arial" w:cs="Arial"/>
          <w:bCs/>
          <w:shd w:val="clear" w:color="auto" w:fill="FFFFFF"/>
        </w:rPr>
        <w:t>Krebs-</w:t>
      </w:r>
      <w:proofErr w:type="spellStart"/>
      <w:r w:rsidRPr="00E85C13">
        <w:rPr>
          <w:rStyle w:val="Emphasis"/>
          <w:rFonts w:ascii="Arial" w:hAnsi="Arial" w:cs="Arial"/>
          <w:bCs/>
          <w:shd w:val="clear" w:color="auto" w:fill="FFFFFF"/>
        </w:rPr>
        <w:t>Henseleit</w:t>
      </w:r>
      <w:proofErr w:type="spellEnd"/>
      <w:r w:rsidRPr="00E85C13">
        <w:rPr>
          <w:rStyle w:val="Emphasis"/>
          <w:rFonts w:ascii="Arial" w:hAnsi="Arial" w:cs="Arial"/>
          <w:bCs/>
          <w:shd w:val="clear" w:color="auto" w:fill="FFFFFF"/>
        </w:rPr>
        <w:t xml:space="preserve"> buffer</w:t>
      </w:r>
      <w:r w:rsidRPr="00E85C13">
        <w:rPr>
          <w:rFonts w:ascii="Arial" w:hAnsi="Arial" w:cs="Arial"/>
          <w:lang w:eastAsia="en-GB" w:bidi="he-IL"/>
        </w:rPr>
        <w:t>. Settings used to cut slices were thickness – 500</w:t>
      </w:r>
      <w:r w:rsidRPr="00E85C13">
        <w:rPr>
          <w:rFonts w:ascii="Cambria Math" w:hAnsi="Cambria Math" w:cs="Cambria Math"/>
          <w:lang w:eastAsia="en-GB" w:bidi="he-IL"/>
        </w:rPr>
        <w:t> </w:t>
      </w:r>
      <w:r w:rsidRPr="00E85C13">
        <w:rPr>
          <w:rFonts w:ascii="Arial" w:hAnsi="Arial" w:cs="Arial"/>
          <w:lang w:eastAsia="en-GB" w:bidi="he-IL"/>
        </w:rPr>
        <w:t>µm, amplitude – 3</w:t>
      </w:r>
      <w:r w:rsidRPr="00E85C13">
        <w:rPr>
          <w:rFonts w:ascii="Cambria Math" w:hAnsi="Cambria Math" w:cs="Cambria Math"/>
          <w:lang w:eastAsia="en-GB" w:bidi="he-IL"/>
        </w:rPr>
        <w:t> </w:t>
      </w:r>
      <w:r w:rsidRPr="00E85C13">
        <w:rPr>
          <w:rFonts w:ascii="Arial" w:hAnsi="Arial" w:cs="Arial"/>
          <w:lang w:eastAsia="en-GB" w:bidi="he-IL"/>
        </w:rPr>
        <w:t>mm, speed – 0.07</w:t>
      </w:r>
      <w:r w:rsidRPr="00E85C13">
        <w:rPr>
          <w:rFonts w:ascii="Cambria Math" w:hAnsi="Cambria Math" w:cs="Cambria Math"/>
          <w:lang w:eastAsia="en-GB" w:bidi="he-IL"/>
        </w:rPr>
        <w:t> </w:t>
      </w:r>
      <w:r w:rsidRPr="00E85C13">
        <w:rPr>
          <w:rFonts w:ascii="Arial" w:hAnsi="Arial" w:cs="Arial"/>
          <w:lang w:eastAsia="en-GB" w:bidi="he-IL"/>
        </w:rPr>
        <w:t>mm/</w:t>
      </w:r>
      <w:r w:rsidR="00FD5C1B" w:rsidRPr="00E85C13">
        <w:rPr>
          <w:rFonts w:ascii="Arial" w:hAnsi="Arial" w:cs="Arial"/>
          <w:lang w:eastAsia="en-GB" w:bidi="he-IL"/>
        </w:rPr>
        <w:t xml:space="preserve"> </w:t>
      </w:r>
      <w:r w:rsidRPr="00E85C13">
        <w:rPr>
          <w:rFonts w:ascii="Arial" w:hAnsi="Arial" w:cs="Arial"/>
          <w:lang w:eastAsia="en-GB" w:bidi="he-IL"/>
        </w:rPr>
        <w:t xml:space="preserve">s. Slices were then placed into a </w:t>
      </w:r>
      <w:r w:rsidRPr="00E85C13">
        <w:rPr>
          <w:rStyle w:val="Emphasis"/>
          <w:rFonts w:ascii="Arial" w:hAnsi="Arial" w:cs="Arial"/>
          <w:bCs/>
          <w:shd w:val="clear" w:color="auto" w:fill="FFFFFF"/>
        </w:rPr>
        <w:t>Krebs-</w:t>
      </w:r>
      <w:proofErr w:type="spellStart"/>
      <w:r w:rsidRPr="00E85C13">
        <w:rPr>
          <w:rStyle w:val="Emphasis"/>
          <w:rFonts w:ascii="Arial" w:hAnsi="Arial" w:cs="Arial"/>
          <w:bCs/>
          <w:shd w:val="clear" w:color="auto" w:fill="FFFFFF"/>
        </w:rPr>
        <w:t>Henseleit</w:t>
      </w:r>
      <w:proofErr w:type="spellEnd"/>
      <w:r w:rsidRPr="00E85C13">
        <w:rPr>
          <w:rStyle w:val="Emphasis"/>
          <w:rFonts w:ascii="Arial" w:hAnsi="Arial" w:cs="Arial"/>
          <w:bCs/>
          <w:shd w:val="clear" w:color="auto" w:fill="FFFFFF"/>
        </w:rPr>
        <w:t xml:space="preserve"> buffer</w:t>
      </w:r>
      <w:r w:rsidR="00D3144A" w:rsidRPr="00E85C13">
        <w:rPr>
          <w:rFonts w:ascii="Arial" w:hAnsi="Arial" w:cs="Arial"/>
          <w:lang w:eastAsia="en-GB" w:bidi="he-IL"/>
        </w:rPr>
        <w:t xml:space="preserve"> supplemented with </w:t>
      </w:r>
      <w:r w:rsidRPr="00E85C13">
        <w:rPr>
          <w:rFonts w:ascii="Arial" w:hAnsi="Arial" w:cs="Arial"/>
          <w:lang w:eastAsia="en-GB" w:bidi="he-IL"/>
        </w:rPr>
        <w:t>12 petri dish</w:t>
      </w:r>
      <w:r w:rsidR="00D3144A" w:rsidRPr="00E85C13">
        <w:rPr>
          <w:rFonts w:ascii="Arial" w:hAnsi="Arial" w:cs="Arial"/>
          <w:lang w:eastAsia="en-GB" w:bidi="he-IL"/>
        </w:rPr>
        <w:t>es on ice-</w:t>
      </w:r>
      <w:r w:rsidRPr="00E85C13">
        <w:rPr>
          <w:rFonts w:ascii="Arial" w:hAnsi="Arial" w:cs="Arial"/>
          <w:lang w:eastAsia="en-GB" w:bidi="he-IL"/>
        </w:rPr>
        <w:t>containing buffer. Six biopsies were obtained per slice using 1</w:t>
      </w:r>
      <w:r w:rsidRPr="00E85C13">
        <w:rPr>
          <w:rFonts w:ascii="Cambria Math" w:hAnsi="Cambria Math" w:cs="Cambria Math"/>
          <w:lang w:eastAsia="en-GB" w:bidi="he-IL"/>
        </w:rPr>
        <w:t> </w:t>
      </w:r>
      <w:r w:rsidRPr="00E85C13">
        <w:rPr>
          <w:rFonts w:ascii="Arial" w:hAnsi="Arial" w:cs="Arial"/>
          <w:lang w:eastAsia="en-GB" w:bidi="he-IL"/>
        </w:rPr>
        <w:t xml:space="preserve">mm sterile disposable biopsy punch (kai Europe GmbH). </w:t>
      </w:r>
    </w:p>
    <w:p w:rsidR="00C960C2" w:rsidRPr="00E85C13" w:rsidRDefault="00C960C2" w:rsidP="00663E71">
      <w:pPr>
        <w:pStyle w:val="NoSpacing"/>
        <w:spacing w:line="360" w:lineRule="auto"/>
        <w:jc w:val="both"/>
        <w:rPr>
          <w:rFonts w:ascii="Arial" w:hAnsi="Arial" w:cs="Arial"/>
          <w:lang w:eastAsia="en-GB" w:bidi="he-IL"/>
        </w:rPr>
      </w:pPr>
    </w:p>
    <w:p w:rsidR="00E85C13" w:rsidRPr="009A2BC4" w:rsidRDefault="00C960C2" w:rsidP="009A2BC4">
      <w:pPr>
        <w:pStyle w:val="NoSpacing"/>
        <w:spacing w:line="360" w:lineRule="auto"/>
        <w:jc w:val="both"/>
        <w:rPr>
          <w:rFonts w:ascii="Arial" w:hAnsi="Arial" w:cs="Arial"/>
          <w:lang w:eastAsia="en-GB" w:bidi="he-IL"/>
        </w:rPr>
      </w:pPr>
      <w:r w:rsidRPr="00E85C13">
        <w:rPr>
          <w:rFonts w:ascii="Arial" w:hAnsi="Arial" w:cs="Arial"/>
          <w:lang w:eastAsia="en-GB" w:bidi="he-IL"/>
        </w:rPr>
        <w:t>Seahorse XF</w:t>
      </w:r>
      <w:r w:rsidRPr="00E85C13">
        <w:rPr>
          <w:rFonts w:ascii="Arial" w:hAnsi="Arial" w:cs="Arial"/>
          <w:vertAlign w:val="superscript"/>
          <w:lang w:eastAsia="en-GB" w:bidi="he-IL"/>
        </w:rPr>
        <w:t>e</w:t>
      </w:r>
      <w:r w:rsidRPr="00E85C13">
        <w:rPr>
          <w:rFonts w:ascii="Arial" w:hAnsi="Arial" w:cs="Arial"/>
          <w:lang w:eastAsia="en-GB" w:bidi="he-IL"/>
        </w:rPr>
        <w:t>96 Spheroid Microplate was coated with Corning</w:t>
      </w:r>
      <w:r w:rsidRPr="00E85C13">
        <w:rPr>
          <w:rFonts w:ascii="Arial" w:hAnsi="Arial" w:cs="Arial"/>
          <w:vertAlign w:val="superscript"/>
          <w:lang w:eastAsia="en-GB" w:bidi="he-IL"/>
        </w:rPr>
        <w:t>®</w:t>
      </w:r>
      <w:r w:rsidRPr="00E85C13">
        <w:rPr>
          <w:rFonts w:ascii="Arial" w:hAnsi="Arial" w:cs="Arial"/>
          <w:lang w:eastAsia="en-GB" w:bidi="he-IL"/>
        </w:rPr>
        <w:t xml:space="preserve"> Cell-</w:t>
      </w:r>
      <w:proofErr w:type="spellStart"/>
      <w:r w:rsidRPr="00E85C13">
        <w:rPr>
          <w:rFonts w:ascii="Arial" w:hAnsi="Arial" w:cs="Arial"/>
          <w:lang w:eastAsia="en-GB" w:bidi="he-IL"/>
        </w:rPr>
        <w:t>Tak</w:t>
      </w:r>
      <w:r w:rsidRPr="00E85C13">
        <w:rPr>
          <w:rFonts w:ascii="Arial" w:hAnsi="Arial" w:cs="Arial"/>
          <w:vertAlign w:val="superscript"/>
          <w:lang w:eastAsia="en-GB" w:bidi="he-IL"/>
        </w:rPr>
        <w:t>TM</w:t>
      </w:r>
      <w:proofErr w:type="spellEnd"/>
      <w:r w:rsidRPr="00E85C13">
        <w:rPr>
          <w:rFonts w:ascii="Arial" w:hAnsi="Arial" w:cs="Arial"/>
          <w:lang w:eastAsia="en-GB" w:bidi="he-IL"/>
        </w:rPr>
        <w:t xml:space="preserve"> cell adhesive (3.5 µg/cm</w:t>
      </w:r>
      <w:r w:rsidRPr="00E85C13">
        <w:rPr>
          <w:rFonts w:ascii="Arial" w:hAnsi="Arial" w:cs="Arial"/>
          <w:vertAlign w:val="superscript"/>
          <w:lang w:eastAsia="en-GB" w:bidi="he-IL"/>
        </w:rPr>
        <w:t>2</w:t>
      </w:r>
      <w:r w:rsidRPr="00E85C13">
        <w:rPr>
          <w:rFonts w:ascii="Arial" w:hAnsi="Arial" w:cs="Arial"/>
          <w:lang w:eastAsia="en-GB" w:bidi="he-IL"/>
        </w:rPr>
        <w:t xml:space="preserve"> of surface area, Cat# 354240) by overnight incubation at 4</w:t>
      </w:r>
      <w:r w:rsidRPr="00E85C13">
        <w:rPr>
          <w:rFonts w:ascii="Arial" w:hAnsi="Arial" w:cs="Arial"/>
          <w:vertAlign w:val="superscript"/>
          <w:lang w:eastAsia="en-GB" w:bidi="he-IL"/>
        </w:rPr>
        <w:t>0</w:t>
      </w:r>
      <w:r w:rsidRPr="00E85C13">
        <w:rPr>
          <w:rFonts w:ascii="Arial" w:hAnsi="Arial" w:cs="Arial"/>
          <w:lang w:eastAsia="en-GB" w:bidi="he-IL"/>
        </w:rPr>
        <w:t>C and brought to room temperature while biopsies were prepared. Samples were transferred into the Seahorse XF</w:t>
      </w:r>
      <w:r w:rsidRPr="00E85C13">
        <w:rPr>
          <w:rFonts w:ascii="Arial" w:hAnsi="Arial" w:cs="Arial"/>
          <w:vertAlign w:val="superscript"/>
          <w:lang w:eastAsia="en-GB" w:bidi="he-IL"/>
        </w:rPr>
        <w:t>e</w:t>
      </w:r>
      <w:r w:rsidRPr="00E85C13">
        <w:rPr>
          <w:rFonts w:ascii="Arial" w:hAnsi="Arial" w:cs="Arial"/>
          <w:lang w:eastAsia="en-GB" w:bidi="he-IL"/>
        </w:rPr>
        <w:t xml:space="preserve">96 Spheroid Microplate containing 160 µl Seahorse XF base media (#102353-100) supplemented with 10 </w:t>
      </w:r>
      <w:proofErr w:type="spellStart"/>
      <w:r w:rsidRPr="00E85C13">
        <w:rPr>
          <w:rFonts w:ascii="Arial" w:hAnsi="Arial" w:cs="Arial"/>
          <w:lang w:eastAsia="en-GB" w:bidi="he-IL"/>
        </w:rPr>
        <w:t>mM</w:t>
      </w:r>
      <w:proofErr w:type="spellEnd"/>
      <w:r w:rsidRPr="00E85C13">
        <w:rPr>
          <w:rFonts w:ascii="Arial" w:hAnsi="Arial" w:cs="Arial"/>
          <w:lang w:eastAsia="en-GB" w:bidi="he-IL"/>
        </w:rPr>
        <w:t xml:space="preserve"> D-Glucose, 1mM sodium pyruvate and 2 </w:t>
      </w:r>
      <w:proofErr w:type="spellStart"/>
      <w:r w:rsidRPr="00E85C13">
        <w:rPr>
          <w:rFonts w:ascii="Arial" w:hAnsi="Arial" w:cs="Arial"/>
          <w:lang w:eastAsia="en-GB" w:bidi="he-IL"/>
        </w:rPr>
        <w:t>mM</w:t>
      </w:r>
      <w:proofErr w:type="spellEnd"/>
      <w:r w:rsidRPr="00E85C13">
        <w:rPr>
          <w:rFonts w:ascii="Arial" w:hAnsi="Arial" w:cs="Arial"/>
          <w:lang w:eastAsia="en-GB" w:bidi="he-IL"/>
        </w:rPr>
        <w:t xml:space="preserve"> L-glutamine.</w:t>
      </w:r>
      <w:r w:rsidR="009A2BC4">
        <w:rPr>
          <w:rFonts w:ascii="Arial" w:hAnsi="Arial" w:cs="Arial"/>
          <w:lang w:eastAsia="en-GB" w:bidi="he-IL"/>
        </w:rPr>
        <w:t xml:space="preserve"> </w:t>
      </w:r>
      <w:r w:rsidRPr="00E85C13">
        <w:rPr>
          <w:rFonts w:ascii="Arial" w:hAnsi="Arial" w:cs="Arial"/>
          <w:lang w:eastAsia="en-GB" w:bidi="he-IL"/>
        </w:rPr>
        <w:t xml:space="preserve">Real-time metabolic measurements for basal oxygen consumption rate (OCR) were then </w:t>
      </w:r>
      <w:r w:rsidRPr="00E85C13">
        <w:rPr>
          <w:rFonts w:ascii="Arial" w:hAnsi="Arial" w:cs="Arial"/>
          <w:lang w:eastAsia="en-GB" w:bidi="he-IL"/>
        </w:rPr>
        <w:lastRenderedPageBreak/>
        <w:t xml:space="preserve">performed </w:t>
      </w:r>
      <w:r w:rsidR="00E83227">
        <w:rPr>
          <w:rFonts w:ascii="Arial" w:hAnsi="Arial" w:cs="Arial"/>
          <w:lang w:eastAsia="en-GB" w:bidi="he-IL"/>
        </w:rPr>
        <w:t xml:space="preserve">that sensed oxygen presence or absence, </w:t>
      </w:r>
      <w:r w:rsidRPr="00E85C13">
        <w:rPr>
          <w:rFonts w:ascii="Arial" w:hAnsi="Arial" w:cs="Arial"/>
          <w:lang w:eastAsia="en-GB" w:bidi="he-IL"/>
        </w:rPr>
        <w:t>according to manufacturer’s protocol using an Agilent Seahorse XF</w:t>
      </w:r>
      <w:r w:rsidRPr="00E85C13">
        <w:rPr>
          <w:rFonts w:ascii="Arial" w:hAnsi="Arial" w:cs="Arial"/>
          <w:vertAlign w:val="superscript"/>
          <w:lang w:eastAsia="en-GB" w:bidi="he-IL"/>
        </w:rPr>
        <w:t>e</w:t>
      </w:r>
      <w:r w:rsidRPr="00E85C13">
        <w:rPr>
          <w:rFonts w:ascii="Arial" w:hAnsi="Arial" w:cs="Arial"/>
          <w:lang w:eastAsia="en-GB" w:bidi="he-IL"/>
        </w:rPr>
        <w:t>96 Analyser (Agilent Technologies). Following measurements, any individual samples with less than -5 pmol/</w:t>
      </w:r>
      <w:r w:rsidR="00FD5C1B" w:rsidRPr="00E85C13">
        <w:rPr>
          <w:rFonts w:ascii="Arial" w:hAnsi="Arial" w:cs="Arial"/>
          <w:lang w:eastAsia="en-GB" w:bidi="he-IL"/>
        </w:rPr>
        <w:t xml:space="preserve"> </w:t>
      </w:r>
      <w:r w:rsidRPr="00E85C13">
        <w:rPr>
          <w:rFonts w:ascii="Arial" w:hAnsi="Arial" w:cs="Arial"/>
          <w:lang w:eastAsia="en-GB" w:bidi="he-IL"/>
        </w:rPr>
        <w:t>min values were excluded (for possible technical failure). Data ar</w:t>
      </w:r>
      <w:r w:rsidR="0006685B" w:rsidRPr="00E85C13">
        <w:rPr>
          <w:rFonts w:ascii="Arial" w:hAnsi="Arial" w:cs="Arial"/>
          <w:lang w:eastAsia="en-GB" w:bidi="he-IL"/>
        </w:rPr>
        <w:t>e presented as OCR (pmol/min per normalized u</w:t>
      </w:r>
      <w:r w:rsidRPr="00E85C13">
        <w:rPr>
          <w:rFonts w:ascii="Arial" w:hAnsi="Arial" w:cs="Arial"/>
          <w:lang w:eastAsia="en-GB" w:bidi="he-IL"/>
        </w:rPr>
        <w:t xml:space="preserve">nit). </w:t>
      </w:r>
    </w:p>
    <w:p w:rsidR="006B5516" w:rsidRPr="00E85C13" w:rsidRDefault="00C960C2" w:rsidP="00663E71">
      <w:pPr>
        <w:pStyle w:val="NoSpacing"/>
        <w:spacing w:line="360" w:lineRule="auto"/>
        <w:jc w:val="both"/>
        <w:rPr>
          <w:rFonts w:ascii="Arial" w:hAnsi="Arial" w:cs="Arial"/>
        </w:rPr>
      </w:pPr>
      <w:r w:rsidRPr="00E85C13">
        <w:rPr>
          <w:rFonts w:ascii="Arial" w:hAnsi="Arial" w:cs="Arial"/>
        </w:rPr>
        <w:tab/>
      </w:r>
    </w:p>
    <w:p w:rsidR="00FB6586" w:rsidRPr="00E85C13" w:rsidRDefault="00FB6586" w:rsidP="00FB6586">
      <w:pPr>
        <w:pStyle w:val="NoSpacing"/>
        <w:spacing w:line="360" w:lineRule="auto"/>
        <w:jc w:val="both"/>
        <w:rPr>
          <w:rFonts w:ascii="Arial" w:hAnsi="Arial" w:cs="Arial"/>
        </w:rPr>
      </w:pPr>
      <w:r w:rsidRPr="00E85C13">
        <w:rPr>
          <w:rFonts w:ascii="Arial" w:hAnsi="Arial" w:cs="Arial"/>
          <w:b/>
          <w:i/>
        </w:rPr>
        <w:t xml:space="preserve">NSCLC patient data: </w:t>
      </w:r>
      <w:r>
        <w:rPr>
          <w:rFonts w:ascii="Arial" w:hAnsi="Arial" w:cs="Arial"/>
          <w:b/>
          <w:i/>
        </w:rPr>
        <w:t xml:space="preserve">DCE-MRI </w:t>
      </w:r>
      <w:r w:rsidRPr="009A2BC4">
        <w:rPr>
          <w:rFonts w:ascii="Arial" w:hAnsi="Arial" w:cs="Arial"/>
          <w:b/>
          <w:i/>
        </w:rPr>
        <w:t>a</w:t>
      </w:r>
      <w:r>
        <w:rPr>
          <w:rFonts w:ascii="Arial" w:hAnsi="Arial" w:cs="Arial"/>
          <w:b/>
          <w:i/>
        </w:rPr>
        <w:t>cquisition details</w:t>
      </w:r>
    </w:p>
    <w:p w:rsidR="00FB6586" w:rsidRDefault="00FB6586" w:rsidP="00663E71">
      <w:pPr>
        <w:pStyle w:val="NoSpacing"/>
        <w:spacing w:line="360" w:lineRule="auto"/>
        <w:jc w:val="both"/>
        <w:rPr>
          <w:rFonts w:ascii="Arial" w:hAnsi="Arial" w:cs="Arial"/>
        </w:rPr>
      </w:pPr>
      <w:r w:rsidRPr="00350FB7">
        <w:rPr>
          <w:rFonts w:ascii="Arial" w:hAnsi="Arial" w:cs="Arial"/>
        </w:rPr>
        <w:t xml:space="preserve">For DCE-MRI, data were acquired using a </w:t>
      </w:r>
      <w:r>
        <w:rPr>
          <w:rFonts w:ascii="Arial" w:hAnsi="Arial" w:cs="Arial"/>
        </w:rPr>
        <w:t xml:space="preserve">coronal </w:t>
      </w:r>
      <w:r w:rsidRPr="00350FB7">
        <w:rPr>
          <w:rFonts w:ascii="Arial" w:hAnsi="Arial" w:cs="Arial"/>
        </w:rPr>
        <w:t xml:space="preserve">3D baseline SPGR VFA </w:t>
      </w:r>
      <w:r>
        <w:rPr>
          <w:rFonts w:ascii="Arial" w:hAnsi="Arial" w:cs="Arial"/>
          <w:i/>
        </w:rPr>
        <w:t>R</w:t>
      </w:r>
      <w:r w:rsidRPr="00350FB7">
        <w:rPr>
          <w:rFonts w:ascii="Arial" w:hAnsi="Arial" w:cs="Arial"/>
          <w:vertAlign w:val="subscript"/>
        </w:rPr>
        <w:t>1</w:t>
      </w:r>
      <w:r w:rsidRPr="00350FB7">
        <w:rPr>
          <w:rFonts w:ascii="Arial" w:hAnsi="Arial" w:cs="Arial"/>
        </w:rPr>
        <w:t xml:space="preserve"> measurement followed by a series of spoiled gradient echo measurements (TR: 3.3 </w:t>
      </w:r>
      <w:proofErr w:type="spellStart"/>
      <w:r w:rsidRPr="00350FB7">
        <w:rPr>
          <w:rFonts w:ascii="Arial" w:hAnsi="Arial" w:cs="Arial"/>
        </w:rPr>
        <w:t>ms</w:t>
      </w:r>
      <w:proofErr w:type="spellEnd"/>
      <w:r w:rsidRPr="00350FB7">
        <w:rPr>
          <w:rFonts w:ascii="Arial" w:hAnsi="Arial" w:cs="Arial"/>
        </w:rPr>
        <w:t xml:space="preserve">; TE: 1.43 </w:t>
      </w:r>
      <w:proofErr w:type="spellStart"/>
      <w:r w:rsidRPr="00350FB7">
        <w:rPr>
          <w:rFonts w:ascii="Arial" w:hAnsi="Arial" w:cs="Arial"/>
        </w:rPr>
        <w:t>ms</w:t>
      </w:r>
      <w:proofErr w:type="spellEnd"/>
      <w:r w:rsidRPr="00350FB7">
        <w:rPr>
          <w:rFonts w:ascii="Arial" w:hAnsi="Arial" w:cs="Arial"/>
        </w:rPr>
        <w:t>; α</w:t>
      </w:r>
      <w:r>
        <w:rPr>
          <w:rFonts w:ascii="Arial" w:hAnsi="Arial" w:cs="Arial"/>
        </w:rPr>
        <w:t xml:space="preserve"> </w:t>
      </w:r>
      <w:r w:rsidRPr="00350FB7">
        <w:rPr>
          <w:rFonts w:ascii="Arial" w:hAnsi="Arial" w:cs="Arial"/>
        </w:rPr>
        <w:t>=</w:t>
      </w:r>
      <w:r>
        <w:rPr>
          <w:rFonts w:ascii="Arial" w:hAnsi="Arial" w:cs="Arial"/>
        </w:rPr>
        <w:t xml:space="preserve"> </w:t>
      </w:r>
      <w:r w:rsidRPr="00350FB7">
        <w:rPr>
          <w:rFonts w:ascii="Arial" w:hAnsi="Arial" w:cs="Arial"/>
        </w:rPr>
        <w:t>2</w:t>
      </w:r>
      <w:r w:rsidRPr="00350FB7">
        <w:rPr>
          <w:rFonts w:ascii="Arial" w:hAnsi="Arial" w:cs="Arial"/>
          <w:color w:val="000000"/>
        </w:rPr>
        <w:t>°</w:t>
      </w:r>
      <w:r w:rsidRPr="00350FB7">
        <w:rPr>
          <w:rFonts w:ascii="Arial" w:hAnsi="Arial" w:cs="Arial"/>
        </w:rPr>
        <w:t>/4</w:t>
      </w:r>
      <w:r w:rsidRPr="00350FB7">
        <w:rPr>
          <w:rFonts w:ascii="Arial" w:hAnsi="Arial" w:cs="Arial"/>
          <w:color w:val="000000"/>
        </w:rPr>
        <w:t>°</w:t>
      </w:r>
      <w:r w:rsidRPr="00350FB7">
        <w:rPr>
          <w:rFonts w:ascii="Arial" w:hAnsi="Arial" w:cs="Arial"/>
        </w:rPr>
        <w:t>/7</w:t>
      </w:r>
      <w:r w:rsidRPr="00350FB7">
        <w:rPr>
          <w:rFonts w:ascii="Arial" w:hAnsi="Arial" w:cs="Arial"/>
          <w:color w:val="000000"/>
        </w:rPr>
        <w:t>°</w:t>
      </w:r>
      <w:r w:rsidRPr="00350FB7">
        <w:rPr>
          <w:rFonts w:ascii="Arial" w:hAnsi="Arial" w:cs="Arial"/>
        </w:rPr>
        <w:t>/10</w:t>
      </w:r>
      <w:r w:rsidRPr="00350FB7">
        <w:rPr>
          <w:rFonts w:ascii="Arial" w:hAnsi="Arial" w:cs="Arial"/>
          <w:color w:val="000000"/>
        </w:rPr>
        <w:t>°</w:t>
      </w:r>
      <w:r w:rsidRPr="00350FB7">
        <w:rPr>
          <w:rFonts w:ascii="Arial" w:hAnsi="Arial" w:cs="Arial"/>
        </w:rPr>
        <w:t>)</w:t>
      </w:r>
      <w:r w:rsidRPr="00350FB7">
        <w:rPr>
          <w:rFonts w:ascii="Arial" w:hAnsi="Arial" w:cs="Arial"/>
          <w:color w:val="000000"/>
        </w:rPr>
        <w:t xml:space="preserve"> with a </w:t>
      </w:r>
      <w:r w:rsidRPr="00350FB7">
        <w:rPr>
          <w:rFonts w:ascii="Arial" w:hAnsi="Arial" w:cs="Arial"/>
        </w:rPr>
        <w:t>10</w:t>
      </w:r>
      <w:r w:rsidRPr="00350FB7">
        <w:rPr>
          <w:rFonts w:ascii="Arial" w:hAnsi="Arial" w:cs="Arial"/>
          <w:color w:val="000000"/>
        </w:rPr>
        <w:t>° dynamic acquisition over 75 time points (temporal resolution: 4.9 s). A</w:t>
      </w:r>
      <w:r w:rsidRPr="00350FB7">
        <w:rPr>
          <w:rFonts w:ascii="Arial" w:hAnsi="Arial" w:cs="Arial"/>
        </w:rPr>
        <w:t xml:space="preserve"> bolus of 0.05 </w:t>
      </w:r>
      <w:proofErr w:type="spellStart"/>
      <w:r w:rsidRPr="00350FB7">
        <w:rPr>
          <w:rFonts w:ascii="Arial" w:hAnsi="Arial" w:cs="Arial"/>
        </w:rPr>
        <w:t>mmol</w:t>
      </w:r>
      <w:proofErr w:type="spellEnd"/>
      <w:r w:rsidRPr="00350FB7">
        <w:rPr>
          <w:rFonts w:ascii="Arial" w:hAnsi="Arial" w:cs="Arial"/>
        </w:rPr>
        <w:t>/</w:t>
      </w:r>
      <w:r>
        <w:rPr>
          <w:rFonts w:ascii="Arial" w:hAnsi="Arial" w:cs="Arial"/>
        </w:rPr>
        <w:t xml:space="preserve"> </w:t>
      </w:r>
      <w:r w:rsidRPr="00350FB7">
        <w:rPr>
          <w:rFonts w:ascii="Arial" w:hAnsi="Arial" w:cs="Arial"/>
        </w:rPr>
        <w:t xml:space="preserve">kg </w:t>
      </w:r>
      <w:proofErr w:type="spellStart"/>
      <w:r w:rsidRPr="00350FB7">
        <w:rPr>
          <w:rFonts w:ascii="Arial" w:hAnsi="Arial" w:cs="Arial"/>
        </w:rPr>
        <w:t>gadoterate</w:t>
      </w:r>
      <w:proofErr w:type="spellEnd"/>
      <w:r w:rsidRPr="00350FB7">
        <w:rPr>
          <w:rFonts w:ascii="Arial" w:hAnsi="Arial" w:cs="Arial"/>
        </w:rPr>
        <w:t xml:space="preserve"> </w:t>
      </w:r>
      <w:proofErr w:type="spellStart"/>
      <w:r w:rsidRPr="00350FB7">
        <w:rPr>
          <w:rFonts w:ascii="Arial" w:hAnsi="Arial" w:cs="Arial"/>
        </w:rPr>
        <w:t>meglumine</w:t>
      </w:r>
      <w:proofErr w:type="spellEnd"/>
      <w:r w:rsidRPr="00350FB7">
        <w:rPr>
          <w:rFonts w:ascii="Arial" w:hAnsi="Arial" w:cs="Arial"/>
        </w:rPr>
        <w:t xml:space="preserve"> (</w:t>
      </w:r>
      <w:proofErr w:type="spellStart"/>
      <w:r w:rsidRPr="00350FB7">
        <w:rPr>
          <w:rFonts w:ascii="Arial" w:hAnsi="Arial" w:cs="Arial"/>
        </w:rPr>
        <w:t>Dotarem</w:t>
      </w:r>
      <w:proofErr w:type="spellEnd"/>
      <w:r w:rsidRPr="00350FB7">
        <w:rPr>
          <w:rFonts w:ascii="Arial" w:hAnsi="Arial" w:cs="Arial"/>
        </w:rPr>
        <w:t xml:space="preserve">®, </w:t>
      </w:r>
      <w:proofErr w:type="spellStart"/>
      <w:r w:rsidRPr="00350FB7">
        <w:rPr>
          <w:rFonts w:ascii="Arial" w:hAnsi="Arial" w:cs="Arial"/>
        </w:rPr>
        <w:t>Guerbet</w:t>
      </w:r>
      <w:proofErr w:type="spellEnd"/>
      <w:r w:rsidRPr="00350FB7">
        <w:rPr>
          <w:rFonts w:ascii="Arial" w:hAnsi="Arial" w:cs="Arial"/>
        </w:rPr>
        <w:t>, Aulnay-sous-Bois, France) at 1.5 ml/</w:t>
      </w:r>
      <w:r>
        <w:rPr>
          <w:rFonts w:ascii="Arial" w:hAnsi="Arial" w:cs="Arial"/>
        </w:rPr>
        <w:t xml:space="preserve"> </w:t>
      </w:r>
      <w:r w:rsidRPr="00350FB7">
        <w:rPr>
          <w:rFonts w:ascii="Arial" w:hAnsi="Arial" w:cs="Arial"/>
        </w:rPr>
        <w:t xml:space="preserve">s followed by an equal volume of saline were injected intravenously into a forearm vein using a </w:t>
      </w:r>
      <w:proofErr w:type="spellStart"/>
      <w:r w:rsidRPr="00350FB7">
        <w:rPr>
          <w:rFonts w:ascii="Arial" w:hAnsi="Arial" w:cs="Arial"/>
        </w:rPr>
        <w:t>Spectris</w:t>
      </w:r>
      <w:proofErr w:type="spellEnd"/>
      <w:r w:rsidRPr="00350FB7">
        <w:rPr>
          <w:rFonts w:ascii="Arial" w:hAnsi="Arial" w:cs="Arial"/>
        </w:rPr>
        <w:t xml:space="preserve"> MR (</w:t>
      </w:r>
      <w:proofErr w:type="spellStart"/>
      <w:r w:rsidRPr="00350FB7">
        <w:rPr>
          <w:rFonts w:ascii="Arial" w:hAnsi="Arial" w:cs="Arial"/>
        </w:rPr>
        <w:t>Medrad</w:t>
      </w:r>
      <w:proofErr w:type="spellEnd"/>
      <w:r w:rsidRPr="00350FB7">
        <w:rPr>
          <w:rFonts w:ascii="Arial" w:hAnsi="Arial" w:cs="Arial"/>
        </w:rPr>
        <w:t xml:space="preserve"> </w:t>
      </w:r>
      <w:proofErr w:type="spellStart"/>
      <w:r w:rsidRPr="00350FB7">
        <w:rPr>
          <w:rFonts w:ascii="Arial" w:hAnsi="Arial" w:cs="Arial"/>
        </w:rPr>
        <w:t>Inc</w:t>
      </w:r>
      <w:proofErr w:type="spellEnd"/>
      <w:r w:rsidRPr="00350FB7">
        <w:rPr>
          <w:rFonts w:ascii="Arial" w:hAnsi="Arial" w:cs="Arial"/>
        </w:rPr>
        <w:t xml:space="preserve">, Indianola, PA, USA) power injector after 6 baseline measurements. </w:t>
      </w:r>
    </w:p>
    <w:p w:rsidR="00FB6586" w:rsidRDefault="00FB6586" w:rsidP="00663E71">
      <w:pPr>
        <w:pStyle w:val="NoSpacing"/>
        <w:spacing w:line="360" w:lineRule="auto"/>
        <w:jc w:val="both"/>
        <w:rPr>
          <w:rFonts w:ascii="Arial" w:hAnsi="Arial" w:cs="Arial"/>
        </w:rPr>
      </w:pPr>
    </w:p>
    <w:p w:rsidR="00940CF3" w:rsidRPr="00E85C13" w:rsidRDefault="00737EA8" w:rsidP="00663E71">
      <w:pPr>
        <w:pStyle w:val="NoSpacing"/>
        <w:spacing w:line="360" w:lineRule="auto"/>
        <w:jc w:val="both"/>
        <w:rPr>
          <w:rFonts w:ascii="Arial" w:hAnsi="Arial" w:cs="Arial"/>
        </w:rPr>
      </w:pPr>
      <w:r w:rsidRPr="00E85C13">
        <w:rPr>
          <w:rFonts w:ascii="Arial" w:hAnsi="Arial" w:cs="Arial"/>
          <w:b/>
          <w:i/>
        </w:rPr>
        <w:t xml:space="preserve">NSCLC patient </w:t>
      </w:r>
      <w:r w:rsidR="00EA650B" w:rsidRPr="00E85C13">
        <w:rPr>
          <w:rFonts w:ascii="Arial" w:hAnsi="Arial" w:cs="Arial"/>
          <w:b/>
          <w:i/>
        </w:rPr>
        <w:t xml:space="preserve">data: </w:t>
      </w:r>
      <w:r w:rsidR="006B5516" w:rsidRPr="00E85C13">
        <w:rPr>
          <w:rFonts w:ascii="Arial" w:hAnsi="Arial" w:cs="Arial"/>
          <w:b/>
          <w:i/>
        </w:rPr>
        <w:t xml:space="preserve">OE-MRI and DCE-MRI </w:t>
      </w:r>
      <w:r w:rsidR="00397B24" w:rsidRPr="00E85C13">
        <w:rPr>
          <w:rFonts w:ascii="Arial" w:hAnsi="Arial" w:cs="Arial"/>
          <w:b/>
          <w:i/>
        </w:rPr>
        <w:t xml:space="preserve">data </w:t>
      </w:r>
      <w:r w:rsidR="006B5516" w:rsidRPr="00E85C13">
        <w:rPr>
          <w:rFonts w:ascii="Arial" w:hAnsi="Arial" w:cs="Arial"/>
          <w:b/>
          <w:i/>
        </w:rPr>
        <w:t>registration</w:t>
      </w:r>
    </w:p>
    <w:p w:rsidR="00940CF3" w:rsidRPr="00E85C13" w:rsidRDefault="00940CF3" w:rsidP="00663E71">
      <w:pPr>
        <w:pStyle w:val="NoSpacing"/>
        <w:spacing w:line="360" w:lineRule="auto"/>
        <w:jc w:val="both"/>
        <w:rPr>
          <w:rFonts w:ascii="Arial" w:hAnsi="Arial" w:cs="Arial"/>
        </w:rPr>
      </w:pPr>
      <w:r w:rsidRPr="00E85C13">
        <w:rPr>
          <w:rFonts w:ascii="Arial" w:hAnsi="Arial" w:cs="Arial"/>
        </w:rPr>
        <w:t>Non-linear diffeomorphic image registration (stnava.github.io/ANTs) was applied to correct for breathing and patient motion during each of the dynamic OE-MRI and DCE-MRI acquisitions, creating motion-corrected datasets (</w:t>
      </w:r>
      <w:r w:rsidRPr="00E85C13">
        <w:rPr>
          <w:rFonts w:ascii="Arial" w:hAnsi="Arial" w:cs="Arial"/>
          <w:b/>
        </w:rPr>
        <w:t>supplementary video 1B</w:t>
      </w:r>
      <w:r w:rsidRPr="00E85C13">
        <w:rPr>
          <w:rFonts w:ascii="Arial" w:hAnsi="Arial" w:cs="Arial"/>
        </w:rPr>
        <w:t xml:space="preserve">). Tumor ROIs were then transferred to dynamic acquisitions and checked for spatial accuracy to ensure that the ROIs lie inside the tumor. </w:t>
      </w:r>
    </w:p>
    <w:p w:rsidR="00940CF3" w:rsidRPr="00E85C13" w:rsidRDefault="00940CF3" w:rsidP="00663E71">
      <w:pPr>
        <w:pStyle w:val="NoSpacing"/>
        <w:spacing w:line="360" w:lineRule="auto"/>
        <w:jc w:val="both"/>
        <w:rPr>
          <w:rFonts w:ascii="Arial" w:hAnsi="Arial" w:cs="Arial"/>
        </w:rPr>
      </w:pPr>
    </w:p>
    <w:p w:rsidR="00940CF3" w:rsidRDefault="00940CF3" w:rsidP="00663E71">
      <w:pPr>
        <w:pStyle w:val="NoSpacing"/>
        <w:spacing w:line="360" w:lineRule="auto"/>
        <w:jc w:val="both"/>
        <w:rPr>
          <w:rFonts w:ascii="Arial" w:hAnsi="Arial" w:cs="Arial"/>
        </w:rPr>
      </w:pPr>
      <w:r w:rsidRPr="00E85C13">
        <w:rPr>
          <w:rFonts w:ascii="Arial" w:hAnsi="Arial" w:cs="Arial"/>
        </w:rPr>
        <w:t xml:space="preserve">The motion-corrected OE-MRI dynamic series were registered to the motion-corrected DCE-MRI dynamic series for each patient visit (and for each tumor, if more than one) using linear rigid body registration (FLIRT, FSL version 5, </w:t>
      </w:r>
      <w:hyperlink r:id="rId5" w:history="1">
        <w:r w:rsidRPr="00E85C13">
          <w:rPr>
            <w:rFonts w:ascii="Arial" w:hAnsi="Arial" w:cs="Arial"/>
          </w:rPr>
          <w:t>fsl.fmrib.ox.ac.uk/</w:t>
        </w:r>
        <w:proofErr w:type="spellStart"/>
        <w:r w:rsidRPr="00E85C13">
          <w:rPr>
            <w:rFonts w:ascii="Arial" w:hAnsi="Arial" w:cs="Arial"/>
          </w:rPr>
          <w:t>fsl</w:t>
        </w:r>
        <w:proofErr w:type="spellEnd"/>
        <w:r w:rsidRPr="00E85C13">
          <w:rPr>
            <w:rFonts w:ascii="Arial" w:hAnsi="Arial" w:cs="Arial"/>
          </w:rPr>
          <w:t>/</w:t>
        </w:r>
        <w:proofErr w:type="spellStart"/>
        <w:r w:rsidRPr="00E85C13">
          <w:rPr>
            <w:rFonts w:ascii="Arial" w:hAnsi="Arial" w:cs="Arial"/>
          </w:rPr>
          <w:t>fslwiki</w:t>
        </w:r>
        <w:proofErr w:type="spellEnd"/>
        <w:r w:rsidRPr="00E85C13">
          <w:rPr>
            <w:rFonts w:ascii="Arial" w:hAnsi="Arial" w:cs="Arial"/>
          </w:rPr>
          <w:t>/FLIRT</w:t>
        </w:r>
      </w:hyperlink>
      <w:r w:rsidRPr="00E85C13">
        <w:rPr>
          <w:rFonts w:ascii="Arial" w:hAnsi="Arial" w:cs="Arial"/>
        </w:rPr>
        <w:t>). FLIRT was applied to time-averaged baseline motion-corrected OE-MRI and motion-corrected DCE-MRI volumes, with tumor ROIs (enlarged by between</w:t>
      </w:r>
      <w:r w:rsidRPr="008956FD">
        <w:rPr>
          <w:rFonts w:ascii="Arial" w:hAnsi="Arial" w:cs="Arial"/>
        </w:rPr>
        <w:t xml:space="preserve"> 5 and 11 voxels) used to restrict the registration to the tumors. The registration process was then applied to each individual motion-corrected OE-MRI acquisition in the dynamic series. </w:t>
      </w:r>
    </w:p>
    <w:p w:rsidR="002F3A22" w:rsidRDefault="002F3A22" w:rsidP="00663E71">
      <w:pPr>
        <w:pStyle w:val="NoSpacing"/>
        <w:spacing w:line="360" w:lineRule="auto"/>
        <w:jc w:val="both"/>
        <w:rPr>
          <w:rFonts w:ascii="Arial" w:hAnsi="Arial" w:cs="Arial"/>
        </w:rPr>
      </w:pPr>
    </w:p>
    <w:p w:rsidR="002F3A22" w:rsidRPr="002F3A22" w:rsidRDefault="002F3A22" w:rsidP="00663E71">
      <w:pPr>
        <w:pStyle w:val="NoSpacing"/>
        <w:spacing w:line="360" w:lineRule="auto"/>
        <w:jc w:val="both"/>
        <w:rPr>
          <w:rFonts w:ascii="Arial" w:hAnsi="Arial" w:cs="Arial"/>
          <w:b/>
          <w:i/>
        </w:rPr>
      </w:pPr>
      <w:r w:rsidRPr="002F3A22">
        <w:rPr>
          <w:rFonts w:ascii="Arial" w:hAnsi="Arial" w:cs="Arial"/>
          <w:b/>
          <w:i/>
        </w:rPr>
        <w:t>Legend for the supplementary video</w:t>
      </w:r>
    </w:p>
    <w:p w:rsidR="00397B24" w:rsidRPr="008956FD" w:rsidRDefault="002F3A22" w:rsidP="003666E6">
      <w:pPr>
        <w:spacing w:line="360" w:lineRule="auto"/>
        <w:jc w:val="both"/>
        <w:rPr>
          <w:rFonts w:ascii="Arial" w:hAnsi="Arial" w:cs="Arial"/>
          <w:i/>
        </w:rPr>
      </w:pPr>
      <w:r w:rsidRPr="00350FB7">
        <w:rPr>
          <w:rFonts w:ascii="Arial" w:eastAsia="MS Mincho" w:hAnsi="Arial" w:cs="Arial"/>
          <w:b/>
          <w:sz w:val="22"/>
          <w:szCs w:val="22"/>
        </w:rPr>
        <w:t>Supplementary video 1</w:t>
      </w:r>
      <w:r>
        <w:rPr>
          <w:rFonts w:ascii="Arial" w:eastAsia="MS Mincho" w:hAnsi="Arial" w:cs="Arial"/>
          <w:b/>
          <w:sz w:val="22"/>
          <w:szCs w:val="22"/>
        </w:rPr>
        <w:t xml:space="preserve"> shows</w:t>
      </w:r>
      <w:r w:rsidRPr="00350FB7">
        <w:rPr>
          <w:rFonts w:ascii="Arial" w:eastAsia="MS Mincho" w:hAnsi="Arial" w:cs="Arial"/>
          <w:b/>
          <w:sz w:val="22"/>
          <w:szCs w:val="22"/>
        </w:rPr>
        <w:t>:</w:t>
      </w:r>
      <w:r w:rsidRPr="00350FB7">
        <w:rPr>
          <w:rFonts w:ascii="Arial" w:eastAsia="MS Mincho" w:hAnsi="Arial" w:cs="Arial"/>
          <w:sz w:val="22"/>
          <w:szCs w:val="22"/>
        </w:rPr>
        <w:t xml:space="preserve"> (</w:t>
      </w:r>
      <w:r w:rsidRPr="00350FB7">
        <w:rPr>
          <w:rFonts w:ascii="Arial" w:eastAsia="MS Mincho" w:hAnsi="Arial" w:cs="Arial"/>
          <w:b/>
          <w:sz w:val="22"/>
          <w:szCs w:val="22"/>
        </w:rPr>
        <w:t>A</w:t>
      </w:r>
      <w:r w:rsidRPr="00350FB7">
        <w:rPr>
          <w:rFonts w:ascii="Arial" w:eastAsia="MS Mincho" w:hAnsi="Arial" w:cs="Arial"/>
          <w:sz w:val="22"/>
          <w:szCs w:val="22"/>
        </w:rPr>
        <w:t>) Typical pre-processed OE-MRI and DCE-MRI dynamic acquisition showing a loop of the same slice through the 96 (OE-MRI)/ 75 (DCE-MRI) acquisition time points. (</w:t>
      </w:r>
      <w:r w:rsidRPr="00350FB7">
        <w:rPr>
          <w:rFonts w:ascii="Arial" w:eastAsia="MS Mincho" w:hAnsi="Arial" w:cs="Arial"/>
          <w:b/>
          <w:sz w:val="22"/>
          <w:szCs w:val="22"/>
        </w:rPr>
        <w:t>B</w:t>
      </w:r>
      <w:r w:rsidRPr="00350FB7">
        <w:rPr>
          <w:rFonts w:ascii="Arial" w:eastAsia="MS Mincho" w:hAnsi="Arial" w:cs="Arial"/>
          <w:sz w:val="22"/>
          <w:szCs w:val="22"/>
        </w:rPr>
        <w:t xml:space="preserve">) Typical OE-MRI dynamic acquisition showing a loop of the same slice through the 96 acquisition time points before and after motion correction, which was applied to correct for breathing and patient motion during dynamic OE-MRI and DCE-MRI acquisitions, creating motion-corrected datasets. </w:t>
      </w:r>
      <w:bookmarkStart w:id="0" w:name="_GoBack"/>
      <w:bookmarkEnd w:id="0"/>
    </w:p>
    <w:p w:rsidR="00CD6FF1" w:rsidRPr="008956FD" w:rsidRDefault="003666E6" w:rsidP="00663E71">
      <w:pPr>
        <w:pStyle w:val="NoSpacing"/>
        <w:spacing w:line="360" w:lineRule="auto"/>
        <w:jc w:val="both"/>
        <w:rPr>
          <w:rFonts w:ascii="Arial" w:hAnsi="Arial" w:cs="Arial"/>
        </w:rPr>
      </w:pPr>
    </w:p>
    <w:sectPr w:rsidR="00CD6FF1" w:rsidRPr="00895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Clinical Canc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960C2"/>
    <w:rsid w:val="000373D2"/>
    <w:rsid w:val="0006685B"/>
    <w:rsid w:val="00130544"/>
    <w:rsid w:val="00297C71"/>
    <w:rsid w:val="002E5384"/>
    <w:rsid w:val="002F3A22"/>
    <w:rsid w:val="003666E6"/>
    <w:rsid w:val="00397B24"/>
    <w:rsid w:val="004F3168"/>
    <w:rsid w:val="004F5B82"/>
    <w:rsid w:val="00544EAD"/>
    <w:rsid w:val="00663E71"/>
    <w:rsid w:val="00677A4C"/>
    <w:rsid w:val="006B5516"/>
    <w:rsid w:val="00713FF2"/>
    <w:rsid w:val="00737EA8"/>
    <w:rsid w:val="008956FD"/>
    <w:rsid w:val="00904E34"/>
    <w:rsid w:val="00940CF3"/>
    <w:rsid w:val="009A2BC4"/>
    <w:rsid w:val="009E4C49"/>
    <w:rsid w:val="00B7255E"/>
    <w:rsid w:val="00C960C2"/>
    <w:rsid w:val="00CC2832"/>
    <w:rsid w:val="00CD3AB2"/>
    <w:rsid w:val="00D022D6"/>
    <w:rsid w:val="00D3144A"/>
    <w:rsid w:val="00D935C2"/>
    <w:rsid w:val="00DB7677"/>
    <w:rsid w:val="00E33153"/>
    <w:rsid w:val="00E83227"/>
    <w:rsid w:val="00E85C13"/>
    <w:rsid w:val="00EA18B8"/>
    <w:rsid w:val="00EA650B"/>
    <w:rsid w:val="00F24BE9"/>
    <w:rsid w:val="00FB6586"/>
    <w:rsid w:val="00FD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B2"/>
    <w:pPr>
      <w:spacing w:after="0" w:line="240" w:lineRule="auto"/>
    </w:pPr>
    <w:rPr>
      <w:rFonts w:eastAsiaTheme="minorEastAsia"/>
      <w:sz w:val="24"/>
      <w:szCs w:val="24"/>
      <w:lang w:val="en-US"/>
    </w:rPr>
  </w:style>
  <w:style w:type="paragraph" w:styleId="Heading3">
    <w:name w:val="heading 3"/>
    <w:basedOn w:val="Normal"/>
    <w:next w:val="Normal"/>
    <w:link w:val="Heading3Char"/>
    <w:uiPriority w:val="9"/>
    <w:semiHidden/>
    <w:unhideWhenUsed/>
    <w:qFormat/>
    <w:rsid w:val="00C960C2"/>
    <w:pPr>
      <w:keepNext/>
      <w:keepLines/>
      <w:spacing w:before="200" w:line="276" w:lineRule="auto"/>
      <w:outlineLvl w:val="2"/>
    </w:pPr>
    <w:rPr>
      <w:rFonts w:ascii="Calibri" w:eastAsia="MS Gothic" w:hAnsi="Calibri" w:cs="Times New Roman"/>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960C2"/>
    <w:rPr>
      <w:rFonts w:ascii="Calibri" w:eastAsia="MS Gothic" w:hAnsi="Calibri" w:cs="Times New Roman"/>
      <w:b/>
      <w:bCs/>
      <w:color w:val="4F81BD"/>
      <w:lang w:val="en-US"/>
    </w:rPr>
  </w:style>
  <w:style w:type="character" w:styleId="Emphasis">
    <w:name w:val="Emphasis"/>
    <w:basedOn w:val="DefaultParagraphFont"/>
    <w:uiPriority w:val="20"/>
    <w:qFormat/>
    <w:rsid w:val="00C960C2"/>
    <w:rPr>
      <w:i/>
      <w:iCs/>
    </w:rPr>
  </w:style>
  <w:style w:type="paragraph" w:styleId="NoSpacing">
    <w:name w:val="No Spacing"/>
    <w:link w:val="NoSpacingChar"/>
    <w:uiPriority w:val="1"/>
    <w:qFormat/>
    <w:rsid w:val="00C960C2"/>
    <w:pPr>
      <w:spacing w:after="0" w:line="240" w:lineRule="auto"/>
    </w:pPr>
  </w:style>
  <w:style w:type="character" w:styleId="CommentReference">
    <w:name w:val="annotation reference"/>
    <w:basedOn w:val="DefaultParagraphFont"/>
    <w:uiPriority w:val="99"/>
    <w:semiHidden/>
    <w:unhideWhenUsed/>
    <w:rsid w:val="000373D2"/>
    <w:rPr>
      <w:sz w:val="18"/>
      <w:szCs w:val="18"/>
    </w:rPr>
  </w:style>
  <w:style w:type="paragraph" w:styleId="CommentText">
    <w:name w:val="annotation text"/>
    <w:basedOn w:val="Normal"/>
    <w:link w:val="CommentTextChar"/>
    <w:uiPriority w:val="99"/>
    <w:unhideWhenUsed/>
    <w:rsid w:val="000373D2"/>
  </w:style>
  <w:style w:type="character" w:customStyle="1" w:styleId="CommentTextChar">
    <w:name w:val="Comment Text Char"/>
    <w:basedOn w:val="DefaultParagraphFont"/>
    <w:link w:val="CommentText"/>
    <w:uiPriority w:val="99"/>
    <w:rsid w:val="000373D2"/>
    <w:rPr>
      <w:rFonts w:eastAsiaTheme="minorEastAsia"/>
      <w:sz w:val="24"/>
      <w:szCs w:val="24"/>
      <w:lang w:val="en-US"/>
    </w:rPr>
  </w:style>
  <w:style w:type="paragraph" w:styleId="BalloonText">
    <w:name w:val="Balloon Text"/>
    <w:basedOn w:val="Normal"/>
    <w:link w:val="BalloonTextChar"/>
    <w:uiPriority w:val="99"/>
    <w:semiHidden/>
    <w:unhideWhenUsed/>
    <w:rsid w:val="000373D2"/>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0373D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B7677"/>
    <w:rPr>
      <w:b/>
      <w:bCs/>
      <w:sz w:val="20"/>
      <w:szCs w:val="20"/>
    </w:rPr>
  </w:style>
  <w:style w:type="character" w:customStyle="1" w:styleId="CommentSubjectChar">
    <w:name w:val="Comment Subject Char"/>
    <w:basedOn w:val="CommentTextChar"/>
    <w:link w:val="CommentSubject"/>
    <w:uiPriority w:val="99"/>
    <w:semiHidden/>
    <w:rsid w:val="00DB7677"/>
    <w:rPr>
      <w:rFonts w:eastAsiaTheme="minorEastAsia"/>
      <w:b/>
      <w:bCs/>
      <w:sz w:val="20"/>
      <w:szCs w:val="20"/>
      <w:lang w:val="en-US"/>
    </w:rPr>
  </w:style>
  <w:style w:type="paragraph" w:customStyle="1" w:styleId="EndNoteBibliographyTitle">
    <w:name w:val="EndNote Bibliography Title"/>
    <w:basedOn w:val="Normal"/>
    <w:link w:val="EndNoteBibliographyTitleChar"/>
    <w:rsid w:val="00FD5C1B"/>
    <w:pPr>
      <w:jc w:val="center"/>
    </w:pPr>
    <w:rPr>
      <w:rFonts w:ascii="Calibri" w:hAnsi="Calibri"/>
      <w:noProof/>
      <w:sz w:val="22"/>
    </w:rPr>
  </w:style>
  <w:style w:type="character" w:customStyle="1" w:styleId="NoSpacingChar">
    <w:name w:val="No Spacing Char"/>
    <w:basedOn w:val="DefaultParagraphFont"/>
    <w:link w:val="NoSpacing"/>
    <w:uiPriority w:val="1"/>
    <w:rsid w:val="00FD5C1B"/>
  </w:style>
  <w:style w:type="character" w:customStyle="1" w:styleId="EndNoteBibliographyTitleChar">
    <w:name w:val="EndNote Bibliography Title Char"/>
    <w:basedOn w:val="NoSpacingChar"/>
    <w:link w:val="EndNoteBibliographyTitle"/>
    <w:rsid w:val="00FD5C1B"/>
    <w:rPr>
      <w:rFonts w:ascii="Calibri" w:eastAsiaTheme="minorEastAsia" w:hAnsi="Calibri"/>
      <w:noProof/>
      <w:szCs w:val="24"/>
      <w:lang w:val="en-US"/>
    </w:rPr>
  </w:style>
  <w:style w:type="paragraph" w:customStyle="1" w:styleId="EndNoteBibliography">
    <w:name w:val="EndNote Bibliography"/>
    <w:basedOn w:val="Normal"/>
    <w:link w:val="EndNoteBibliographyChar"/>
    <w:rsid w:val="00FD5C1B"/>
    <w:rPr>
      <w:rFonts w:ascii="Calibri" w:hAnsi="Calibri"/>
      <w:noProof/>
      <w:sz w:val="22"/>
    </w:rPr>
  </w:style>
  <w:style w:type="character" w:customStyle="1" w:styleId="EndNoteBibliographyChar">
    <w:name w:val="EndNote Bibliography Char"/>
    <w:basedOn w:val="NoSpacingChar"/>
    <w:link w:val="EndNoteBibliography"/>
    <w:rsid w:val="00FD5C1B"/>
    <w:rPr>
      <w:rFonts w:ascii="Calibri" w:eastAsiaTheme="minorEastAsia" w:hAnsi="Calibri"/>
      <w:noProof/>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B2"/>
    <w:pPr>
      <w:spacing w:after="0" w:line="240" w:lineRule="auto"/>
    </w:pPr>
    <w:rPr>
      <w:rFonts w:eastAsiaTheme="minorEastAsia"/>
      <w:sz w:val="24"/>
      <w:szCs w:val="24"/>
      <w:lang w:val="en-US"/>
    </w:rPr>
  </w:style>
  <w:style w:type="paragraph" w:styleId="Heading3">
    <w:name w:val="heading 3"/>
    <w:basedOn w:val="Normal"/>
    <w:next w:val="Normal"/>
    <w:link w:val="Heading3Char"/>
    <w:uiPriority w:val="9"/>
    <w:semiHidden/>
    <w:unhideWhenUsed/>
    <w:qFormat/>
    <w:rsid w:val="00C960C2"/>
    <w:pPr>
      <w:keepNext/>
      <w:keepLines/>
      <w:spacing w:before="200" w:line="276" w:lineRule="auto"/>
      <w:outlineLvl w:val="2"/>
    </w:pPr>
    <w:rPr>
      <w:rFonts w:ascii="Calibri" w:eastAsia="MS Gothic" w:hAnsi="Calibri" w:cs="Times New Roman"/>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960C2"/>
    <w:rPr>
      <w:rFonts w:ascii="Calibri" w:eastAsia="MS Gothic" w:hAnsi="Calibri" w:cs="Times New Roman"/>
      <w:b/>
      <w:bCs/>
      <w:color w:val="4F81BD"/>
      <w:lang w:val="en-US"/>
    </w:rPr>
  </w:style>
  <w:style w:type="character" w:styleId="Emphasis">
    <w:name w:val="Emphasis"/>
    <w:basedOn w:val="DefaultParagraphFont"/>
    <w:uiPriority w:val="20"/>
    <w:qFormat/>
    <w:rsid w:val="00C960C2"/>
    <w:rPr>
      <w:i/>
      <w:iCs/>
    </w:rPr>
  </w:style>
  <w:style w:type="paragraph" w:styleId="NoSpacing">
    <w:name w:val="No Spacing"/>
    <w:link w:val="NoSpacingChar"/>
    <w:uiPriority w:val="1"/>
    <w:qFormat/>
    <w:rsid w:val="00C960C2"/>
    <w:pPr>
      <w:spacing w:after="0" w:line="240" w:lineRule="auto"/>
    </w:pPr>
  </w:style>
  <w:style w:type="character" w:styleId="CommentReference">
    <w:name w:val="annotation reference"/>
    <w:basedOn w:val="DefaultParagraphFont"/>
    <w:uiPriority w:val="99"/>
    <w:semiHidden/>
    <w:unhideWhenUsed/>
    <w:rsid w:val="000373D2"/>
    <w:rPr>
      <w:sz w:val="18"/>
      <w:szCs w:val="18"/>
    </w:rPr>
  </w:style>
  <w:style w:type="paragraph" w:styleId="CommentText">
    <w:name w:val="annotation text"/>
    <w:basedOn w:val="Normal"/>
    <w:link w:val="CommentTextChar"/>
    <w:uiPriority w:val="99"/>
    <w:unhideWhenUsed/>
    <w:rsid w:val="000373D2"/>
  </w:style>
  <w:style w:type="character" w:customStyle="1" w:styleId="CommentTextChar">
    <w:name w:val="Comment Text Char"/>
    <w:basedOn w:val="DefaultParagraphFont"/>
    <w:link w:val="CommentText"/>
    <w:uiPriority w:val="99"/>
    <w:rsid w:val="000373D2"/>
    <w:rPr>
      <w:rFonts w:eastAsiaTheme="minorEastAsia"/>
      <w:sz w:val="24"/>
      <w:szCs w:val="24"/>
      <w:lang w:val="en-US"/>
    </w:rPr>
  </w:style>
  <w:style w:type="paragraph" w:styleId="BalloonText">
    <w:name w:val="Balloon Text"/>
    <w:basedOn w:val="Normal"/>
    <w:link w:val="BalloonTextChar"/>
    <w:uiPriority w:val="99"/>
    <w:semiHidden/>
    <w:unhideWhenUsed/>
    <w:rsid w:val="000373D2"/>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0373D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B7677"/>
    <w:rPr>
      <w:b/>
      <w:bCs/>
      <w:sz w:val="20"/>
      <w:szCs w:val="20"/>
    </w:rPr>
  </w:style>
  <w:style w:type="character" w:customStyle="1" w:styleId="CommentSubjectChar">
    <w:name w:val="Comment Subject Char"/>
    <w:basedOn w:val="CommentTextChar"/>
    <w:link w:val="CommentSubject"/>
    <w:uiPriority w:val="99"/>
    <w:semiHidden/>
    <w:rsid w:val="00DB7677"/>
    <w:rPr>
      <w:rFonts w:eastAsiaTheme="minorEastAsia"/>
      <w:b/>
      <w:bCs/>
      <w:sz w:val="20"/>
      <w:szCs w:val="20"/>
      <w:lang w:val="en-US"/>
    </w:rPr>
  </w:style>
  <w:style w:type="paragraph" w:customStyle="1" w:styleId="EndNoteBibliographyTitle">
    <w:name w:val="EndNote Bibliography Title"/>
    <w:basedOn w:val="Normal"/>
    <w:link w:val="EndNoteBibliographyTitleChar"/>
    <w:rsid w:val="00FD5C1B"/>
    <w:pPr>
      <w:jc w:val="center"/>
    </w:pPr>
    <w:rPr>
      <w:rFonts w:ascii="Calibri" w:hAnsi="Calibri"/>
      <w:noProof/>
      <w:sz w:val="22"/>
    </w:rPr>
  </w:style>
  <w:style w:type="character" w:customStyle="1" w:styleId="NoSpacingChar">
    <w:name w:val="No Spacing Char"/>
    <w:basedOn w:val="DefaultParagraphFont"/>
    <w:link w:val="NoSpacing"/>
    <w:uiPriority w:val="1"/>
    <w:rsid w:val="00FD5C1B"/>
  </w:style>
  <w:style w:type="character" w:customStyle="1" w:styleId="EndNoteBibliographyTitleChar">
    <w:name w:val="EndNote Bibliography Title Char"/>
    <w:basedOn w:val="NoSpacingChar"/>
    <w:link w:val="EndNoteBibliographyTitle"/>
    <w:rsid w:val="00FD5C1B"/>
    <w:rPr>
      <w:rFonts w:ascii="Calibri" w:eastAsiaTheme="minorEastAsia" w:hAnsi="Calibri"/>
      <w:noProof/>
      <w:szCs w:val="24"/>
      <w:lang w:val="en-US"/>
    </w:rPr>
  </w:style>
  <w:style w:type="paragraph" w:customStyle="1" w:styleId="EndNoteBibliography">
    <w:name w:val="EndNote Bibliography"/>
    <w:basedOn w:val="Normal"/>
    <w:link w:val="EndNoteBibliographyChar"/>
    <w:rsid w:val="00FD5C1B"/>
    <w:rPr>
      <w:rFonts w:ascii="Calibri" w:hAnsi="Calibri"/>
      <w:noProof/>
      <w:sz w:val="22"/>
    </w:rPr>
  </w:style>
  <w:style w:type="character" w:customStyle="1" w:styleId="EndNoteBibliographyChar">
    <w:name w:val="EndNote Bibliography Char"/>
    <w:basedOn w:val="NoSpacingChar"/>
    <w:link w:val="EndNoteBibliography"/>
    <w:rsid w:val="00FD5C1B"/>
    <w:rPr>
      <w:rFonts w:ascii="Calibri" w:eastAsiaTheme="minorEastAsia" w:hAnsi="Calibri"/>
      <w:noProo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sl.fmrib.ox.ac.uk/fsl/fslwiki/FLI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joconnor</dc:creator>
  <cp:lastModifiedBy>Ahmed Salem</cp:lastModifiedBy>
  <cp:revision>3</cp:revision>
  <dcterms:created xsi:type="dcterms:W3CDTF">2019-03-13T13:43:00Z</dcterms:created>
  <dcterms:modified xsi:type="dcterms:W3CDTF">2019-03-13T18:39:00Z</dcterms:modified>
</cp:coreProperties>
</file>