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D" w:rsidRPr="001E7D2E" w:rsidRDefault="00405F0D" w:rsidP="00405F0D">
      <w:pPr>
        <w:spacing w:line="480" w:lineRule="auto"/>
        <w:jc w:val="both"/>
        <w:rPr>
          <w:rFonts w:cs="Arial"/>
          <w:b/>
          <w:sz w:val="24"/>
          <w:u w:val="single"/>
        </w:rPr>
      </w:pPr>
      <w:r w:rsidRPr="001E7D2E">
        <w:rPr>
          <w:rFonts w:cs="Arial"/>
          <w:b/>
          <w:sz w:val="24"/>
          <w:u w:val="single"/>
        </w:rPr>
        <w:t xml:space="preserve">Supplementary Figures 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i/>
          <w:sz w:val="24"/>
        </w:rPr>
      </w:pPr>
      <w:r w:rsidRPr="001E7D2E">
        <w:rPr>
          <w:rFonts w:cs="Arial"/>
          <w:i/>
          <w:sz w:val="24"/>
        </w:rPr>
        <w:t>Please see uploaded Supplementary Data.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Cs/>
          <w:sz w:val="24"/>
        </w:rPr>
      </w:pPr>
      <w:r w:rsidRPr="001E7D2E">
        <w:rPr>
          <w:rFonts w:cs="Arial"/>
          <w:b/>
          <w:bCs/>
          <w:sz w:val="24"/>
        </w:rPr>
        <w:t xml:space="preserve">Supplementary Figure S1. </w:t>
      </w:r>
      <w:r w:rsidRPr="001E7D2E">
        <w:rPr>
          <w:rFonts w:cs="Arial"/>
          <w:bCs/>
          <w:sz w:val="24"/>
        </w:rPr>
        <w:t>ACC-TCGA patients with CIMP-low or CIMP-intermediate tumor status exhibit indistinguishable disease kinetics, while patients with CIMP-high tumor status have deadly disease course. See “Supplement_Figs1-7-v2.pdf”.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Cs/>
          <w:sz w:val="24"/>
        </w:rPr>
      </w:pPr>
      <w:r w:rsidRPr="001E7D2E">
        <w:rPr>
          <w:rFonts w:cs="Arial"/>
          <w:b/>
          <w:bCs/>
          <w:sz w:val="24"/>
        </w:rPr>
        <w:t xml:space="preserve">Supplementary Figure S2. </w:t>
      </w:r>
      <w:r w:rsidRPr="001E7D2E">
        <w:rPr>
          <w:rFonts w:cs="Arial"/>
          <w:bCs/>
          <w:sz w:val="24"/>
        </w:rPr>
        <w:t xml:space="preserve">Schematic of the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locus.</w:t>
      </w:r>
      <w:r w:rsidRPr="001E7D2E">
        <w:rPr>
          <w:rFonts w:cs="Arial"/>
          <w:b/>
          <w:bCs/>
          <w:sz w:val="24"/>
        </w:rPr>
        <w:t xml:space="preserve"> </w:t>
      </w:r>
      <w:r w:rsidRPr="001E7D2E">
        <w:rPr>
          <w:rFonts w:cs="Arial"/>
          <w:bCs/>
          <w:sz w:val="24"/>
        </w:rPr>
        <w:t>See “Supplement_Figs1-7-v2.pdf”.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/>
          <w:bCs/>
          <w:sz w:val="24"/>
        </w:rPr>
      </w:pPr>
      <w:r w:rsidRPr="001E7D2E">
        <w:rPr>
          <w:rFonts w:cs="Arial"/>
          <w:b/>
          <w:bCs/>
          <w:sz w:val="24"/>
        </w:rPr>
        <w:t xml:space="preserve">Supplementary Figure S3.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is highly expressed in the human adrenal gland.</w:t>
      </w:r>
      <w:r w:rsidRPr="001E7D2E">
        <w:rPr>
          <w:rFonts w:cs="Arial"/>
          <w:b/>
          <w:bCs/>
          <w:sz w:val="24"/>
        </w:rPr>
        <w:t xml:space="preserve"> </w:t>
      </w:r>
      <w:r w:rsidRPr="001E7D2E">
        <w:rPr>
          <w:rFonts w:cs="Arial"/>
          <w:bCs/>
          <w:sz w:val="24"/>
        </w:rPr>
        <w:t>See “Supplement_Figs1-7-v2.pdf”.</w:t>
      </w:r>
    </w:p>
    <w:p w:rsidR="00405F0D" w:rsidRPr="001E7D2E" w:rsidRDefault="00405F0D" w:rsidP="00405F0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" w:hAnsi="Times" w:cs="Times"/>
          <w:sz w:val="24"/>
        </w:rPr>
      </w:pPr>
      <w:r w:rsidRPr="001E7D2E">
        <w:rPr>
          <w:rFonts w:cs="Arial"/>
          <w:b/>
          <w:bCs/>
          <w:sz w:val="24"/>
        </w:rPr>
        <w:t xml:space="preserve">Supplementary Figure S4. </w:t>
      </w:r>
      <w:r w:rsidRPr="001E7D2E">
        <w:rPr>
          <w:rFonts w:cs="Arial"/>
          <w:bCs/>
          <w:sz w:val="24"/>
        </w:rPr>
        <w:t xml:space="preserve">Unsupervised hierarchical clustering of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CpG island methylation enables identification of CIMP-high ACC.</w:t>
      </w:r>
      <w:r w:rsidRPr="001E7D2E">
        <w:rPr>
          <w:rFonts w:cs="Arial"/>
          <w:b/>
          <w:bCs/>
          <w:sz w:val="24"/>
        </w:rPr>
        <w:t xml:space="preserve"> </w:t>
      </w:r>
      <w:r w:rsidRPr="001E7D2E">
        <w:rPr>
          <w:rFonts w:cs="Arial"/>
          <w:bCs/>
          <w:sz w:val="24"/>
        </w:rPr>
        <w:t>See “Supplement_Figs1-7-v2.pdf”.</w:t>
      </w:r>
    </w:p>
    <w:p w:rsidR="00405F0D" w:rsidRPr="001E7D2E" w:rsidRDefault="00405F0D" w:rsidP="00405F0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" w:hAnsi="Times" w:cs="Times"/>
          <w:sz w:val="24"/>
        </w:rPr>
      </w:pPr>
      <w:r w:rsidRPr="001E7D2E">
        <w:rPr>
          <w:rFonts w:cs="Arial"/>
          <w:b/>
          <w:bCs/>
          <w:sz w:val="24"/>
        </w:rPr>
        <w:t>Supplementary Figure S5.</w:t>
      </w:r>
      <w:r w:rsidRPr="001E7D2E">
        <w:rPr>
          <w:rFonts w:cs="Arial"/>
          <w:bCs/>
          <w:sz w:val="24"/>
        </w:rPr>
        <w:t xml:space="preserve">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hypermethylation is exclusive to malignant adrenocortical tumors and can be reliably measured by EpiTect.</w:t>
      </w:r>
      <w:r w:rsidRPr="001E7D2E">
        <w:rPr>
          <w:rFonts w:cs="Arial"/>
          <w:b/>
          <w:bCs/>
          <w:sz w:val="24"/>
        </w:rPr>
        <w:t xml:space="preserve"> </w:t>
      </w:r>
      <w:r w:rsidRPr="001E7D2E">
        <w:rPr>
          <w:rFonts w:cs="Arial"/>
          <w:bCs/>
          <w:sz w:val="24"/>
        </w:rPr>
        <w:t>See “Supplement_Figs1-7-v2.pdf”.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Cs/>
          <w:sz w:val="24"/>
        </w:rPr>
      </w:pPr>
      <w:r w:rsidRPr="001E7D2E">
        <w:rPr>
          <w:rFonts w:cs="Arial"/>
          <w:b/>
          <w:bCs/>
          <w:sz w:val="24"/>
        </w:rPr>
        <w:t>Supplementary Figure S6.</w:t>
      </w:r>
      <w:r w:rsidRPr="001E7D2E">
        <w:rPr>
          <w:rFonts w:cs="Arial"/>
          <w:bCs/>
          <w:sz w:val="24"/>
        </w:rPr>
        <w:t xml:space="preserve">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expression/methylation ROC curve. See “Supplement_Figs1-7-v2.pdf”.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Cs/>
          <w:sz w:val="24"/>
        </w:rPr>
      </w:pPr>
      <w:r w:rsidRPr="001E7D2E">
        <w:rPr>
          <w:rFonts w:cs="Arial"/>
          <w:b/>
          <w:bCs/>
          <w:sz w:val="24"/>
        </w:rPr>
        <w:t>Supplementary Figure S7.</w:t>
      </w:r>
      <w:r w:rsidRPr="001E7D2E">
        <w:rPr>
          <w:rFonts w:cs="Arial"/>
          <w:bCs/>
          <w:sz w:val="24"/>
        </w:rPr>
        <w:t xml:space="preserve"> </w:t>
      </w:r>
      <w:r w:rsidRPr="001E7D2E">
        <w:rPr>
          <w:rFonts w:cs="Arial"/>
          <w:bCs/>
          <w:i/>
          <w:iCs/>
          <w:sz w:val="24"/>
        </w:rPr>
        <w:t xml:space="preserve">BUB1B-PINK1 </w:t>
      </w:r>
      <w:r w:rsidRPr="001E7D2E">
        <w:rPr>
          <w:rFonts w:cs="Arial"/>
          <w:bCs/>
          <w:sz w:val="24"/>
        </w:rPr>
        <w:t xml:space="preserve">score can predict metastasis in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Unmethylated ACC.</w:t>
      </w:r>
      <w:r w:rsidRPr="001E7D2E">
        <w:rPr>
          <w:rFonts w:cs="Arial"/>
          <w:b/>
          <w:bCs/>
          <w:sz w:val="24"/>
        </w:rPr>
        <w:t xml:space="preserve"> </w:t>
      </w:r>
      <w:r w:rsidRPr="001E7D2E">
        <w:rPr>
          <w:rFonts w:cs="Arial"/>
          <w:bCs/>
          <w:sz w:val="24"/>
        </w:rPr>
        <w:t>See “Supplement_Figs1-7-v2.pdf”.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/>
          <w:sz w:val="24"/>
          <w:u w:val="single"/>
        </w:rPr>
      </w:pPr>
    </w:p>
    <w:p w:rsidR="00405F0D" w:rsidRPr="001E7D2E" w:rsidRDefault="00405F0D" w:rsidP="00405F0D">
      <w:pPr>
        <w:spacing w:line="480" w:lineRule="auto"/>
        <w:jc w:val="both"/>
        <w:rPr>
          <w:rFonts w:cs="Arial"/>
          <w:b/>
          <w:sz w:val="24"/>
          <w:u w:val="single"/>
        </w:rPr>
      </w:pPr>
      <w:r w:rsidRPr="001E7D2E">
        <w:rPr>
          <w:rFonts w:cs="Arial"/>
          <w:b/>
          <w:sz w:val="24"/>
          <w:u w:val="single"/>
        </w:rPr>
        <w:t>Supplementary Tables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i/>
          <w:sz w:val="24"/>
        </w:rPr>
      </w:pPr>
      <w:r w:rsidRPr="001E7D2E">
        <w:rPr>
          <w:rFonts w:cs="Arial"/>
          <w:i/>
          <w:sz w:val="24"/>
        </w:rPr>
        <w:t>Please see uploaded Supplementary Data.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/>
          <w:sz w:val="24"/>
        </w:rPr>
      </w:pPr>
      <w:r w:rsidRPr="001E7D2E">
        <w:rPr>
          <w:rFonts w:cs="Arial"/>
          <w:b/>
          <w:sz w:val="24"/>
        </w:rPr>
        <w:lastRenderedPageBreak/>
        <w:t>Supplementary Table S1.</w:t>
      </w:r>
      <w:r w:rsidRPr="001E7D2E">
        <w:rPr>
          <w:rFonts w:cs="Arial"/>
          <w:sz w:val="24"/>
        </w:rPr>
        <w:t xml:space="preserve"> Results of differentially expressed genes analysis on ACC-TCGA CIMP-high v. non-CIMP-high and results of gene ontology analysis on ACC-TCGA CIMP-high v. non-CIMP-high. See “Supplement_Table1.xlsx”.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sz w:val="24"/>
        </w:rPr>
      </w:pPr>
      <w:r w:rsidRPr="001E7D2E">
        <w:rPr>
          <w:rFonts w:cs="Arial"/>
          <w:b/>
          <w:sz w:val="24"/>
        </w:rPr>
        <w:t xml:space="preserve">Supplementary Table S2. </w:t>
      </w:r>
      <w:r w:rsidRPr="001E7D2E">
        <w:rPr>
          <w:rFonts w:cs="Arial"/>
          <w:sz w:val="24"/>
        </w:rPr>
        <w:t>Results of DMRcate analysis on ACC-TCGA non-CIMP-high v. CIMP-high. See “Supplement_Table2.xlsx”.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b/>
          <w:sz w:val="24"/>
        </w:rPr>
      </w:pPr>
      <w:r w:rsidRPr="001E7D2E">
        <w:rPr>
          <w:rFonts w:cs="Arial"/>
          <w:b/>
          <w:sz w:val="24"/>
        </w:rPr>
        <w:t xml:space="preserve">Supplementary Table S3. </w:t>
      </w:r>
      <w:r w:rsidRPr="001E7D2E">
        <w:rPr>
          <w:rFonts w:cs="Arial"/>
          <w:i/>
          <w:sz w:val="24"/>
        </w:rPr>
        <w:t>G0S2</w:t>
      </w:r>
      <w:r w:rsidRPr="001E7D2E">
        <w:rPr>
          <w:rFonts w:cs="Arial"/>
          <w:sz w:val="24"/>
        </w:rPr>
        <w:t xml:space="preserve"> hypermethylation predicts CIMP-high. See “Supplement_Table34678.pdf”.</w:t>
      </w:r>
    </w:p>
    <w:p w:rsidR="00405F0D" w:rsidRPr="001E7D2E" w:rsidRDefault="00405F0D" w:rsidP="00405F0D">
      <w:pPr>
        <w:spacing w:line="480" w:lineRule="auto"/>
        <w:jc w:val="both"/>
        <w:outlineLvl w:val="0"/>
        <w:rPr>
          <w:rFonts w:cs="Arial"/>
          <w:sz w:val="24"/>
        </w:rPr>
      </w:pPr>
      <w:r w:rsidRPr="001E7D2E">
        <w:rPr>
          <w:rFonts w:eastAsia="Calibri" w:cs="Arial"/>
          <w:b/>
          <w:sz w:val="24"/>
        </w:rPr>
        <w:t>Supplementary Table</w:t>
      </w:r>
      <w:r w:rsidRPr="001E7D2E">
        <w:rPr>
          <w:rFonts w:cs="Arial"/>
          <w:b/>
          <w:sz w:val="24"/>
        </w:rPr>
        <w:t xml:space="preserve"> S4. </w:t>
      </w:r>
      <w:r w:rsidRPr="001E7D2E">
        <w:rPr>
          <w:rFonts w:eastAsia="Calibri" w:cs="Arial"/>
          <w:sz w:val="24"/>
        </w:rPr>
        <w:t>Clinical</w:t>
      </w:r>
      <w:r w:rsidRPr="001E7D2E">
        <w:rPr>
          <w:rFonts w:cs="Arial"/>
          <w:sz w:val="24"/>
        </w:rPr>
        <w:t xml:space="preserve"> </w:t>
      </w:r>
      <w:r w:rsidRPr="001E7D2E">
        <w:rPr>
          <w:rFonts w:eastAsia="Calibri" w:cs="Arial"/>
          <w:sz w:val="24"/>
        </w:rPr>
        <w:t>characteristics</w:t>
      </w:r>
      <w:r w:rsidRPr="001E7D2E">
        <w:rPr>
          <w:rFonts w:cs="Arial"/>
          <w:sz w:val="24"/>
        </w:rPr>
        <w:t xml:space="preserve"> </w:t>
      </w:r>
      <w:r w:rsidRPr="001E7D2E">
        <w:rPr>
          <w:rFonts w:eastAsia="Calibri" w:cs="Arial"/>
          <w:sz w:val="24"/>
        </w:rPr>
        <w:t>of</w:t>
      </w:r>
      <w:r w:rsidRPr="001E7D2E">
        <w:rPr>
          <w:rFonts w:cs="Arial"/>
          <w:sz w:val="24"/>
        </w:rPr>
        <w:t xml:space="preserve"> </w:t>
      </w:r>
      <w:r w:rsidRPr="001E7D2E">
        <w:rPr>
          <w:rFonts w:eastAsia="Calibri" w:cs="Arial"/>
          <w:sz w:val="24"/>
        </w:rPr>
        <w:t>FMUSP</w:t>
      </w:r>
      <w:r w:rsidRPr="001E7D2E">
        <w:rPr>
          <w:rFonts w:cs="Arial"/>
          <w:sz w:val="24"/>
        </w:rPr>
        <w:t>+</w:t>
      </w:r>
      <w:r w:rsidRPr="001E7D2E">
        <w:rPr>
          <w:rFonts w:eastAsia="Calibri" w:cs="Arial"/>
          <w:sz w:val="24"/>
        </w:rPr>
        <w:t>UM</w:t>
      </w:r>
      <w:r w:rsidRPr="001E7D2E">
        <w:rPr>
          <w:rFonts w:cs="Arial"/>
          <w:sz w:val="24"/>
        </w:rPr>
        <w:t xml:space="preserve"> </w:t>
      </w:r>
      <w:r w:rsidRPr="001E7D2E">
        <w:rPr>
          <w:rFonts w:eastAsia="Calibri" w:cs="Arial"/>
          <w:sz w:val="24"/>
        </w:rPr>
        <w:t>ACC and ACA Cohorts</w:t>
      </w:r>
      <w:r w:rsidRPr="001E7D2E">
        <w:rPr>
          <w:rFonts w:cs="Arial"/>
          <w:sz w:val="24"/>
        </w:rPr>
        <w:t>. See “Supplement_Table34678.pdf”.</w:t>
      </w:r>
    </w:p>
    <w:p w:rsidR="00405F0D" w:rsidRPr="001E7D2E" w:rsidRDefault="00405F0D" w:rsidP="00405F0D">
      <w:pPr>
        <w:spacing w:line="480" w:lineRule="auto"/>
        <w:jc w:val="both"/>
        <w:outlineLvl w:val="0"/>
        <w:rPr>
          <w:rFonts w:cs="Arial"/>
          <w:sz w:val="24"/>
        </w:rPr>
      </w:pPr>
      <w:r w:rsidRPr="001E7D2E">
        <w:rPr>
          <w:rFonts w:cs="Arial"/>
          <w:b/>
          <w:sz w:val="24"/>
        </w:rPr>
        <w:t xml:space="preserve">Supplementary Table S5. </w:t>
      </w:r>
      <w:r w:rsidRPr="001E7D2E">
        <w:rPr>
          <w:rFonts w:cs="Arial"/>
          <w:sz w:val="24"/>
        </w:rPr>
        <w:t xml:space="preserve">Results of </w:t>
      </w:r>
      <w:r w:rsidRPr="001E7D2E">
        <w:rPr>
          <w:rFonts w:cs="Arial"/>
          <w:i/>
          <w:sz w:val="24"/>
        </w:rPr>
        <w:t xml:space="preserve">G0S2 </w:t>
      </w:r>
      <w:r w:rsidRPr="001E7D2E">
        <w:rPr>
          <w:rFonts w:cs="Arial"/>
          <w:sz w:val="24"/>
        </w:rPr>
        <w:t>targeted bisulfite sequencing. See “Supplement_Table5.xlsx”.</w:t>
      </w:r>
    </w:p>
    <w:p w:rsidR="00405F0D" w:rsidRPr="001E7D2E" w:rsidRDefault="00405F0D" w:rsidP="00405F0D">
      <w:pPr>
        <w:spacing w:line="480" w:lineRule="auto"/>
        <w:jc w:val="both"/>
        <w:outlineLvl w:val="0"/>
        <w:rPr>
          <w:rFonts w:cs="Arial"/>
          <w:sz w:val="24"/>
        </w:rPr>
      </w:pPr>
      <w:r w:rsidRPr="001E7D2E">
        <w:rPr>
          <w:rFonts w:cs="Arial"/>
          <w:b/>
          <w:sz w:val="24"/>
        </w:rPr>
        <w:t xml:space="preserve">Supplementary Table S6. </w:t>
      </w:r>
      <w:r w:rsidRPr="001E7D2E">
        <w:rPr>
          <w:rFonts w:cs="Arial"/>
          <w:sz w:val="24"/>
        </w:rPr>
        <w:t xml:space="preserve">EpiTect accurately measures binary </w:t>
      </w:r>
      <w:r w:rsidRPr="001E7D2E">
        <w:rPr>
          <w:rFonts w:cs="Arial"/>
          <w:i/>
          <w:sz w:val="24"/>
        </w:rPr>
        <w:t>G0S2</w:t>
      </w:r>
      <w:r w:rsidRPr="001E7D2E">
        <w:rPr>
          <w:rFonts w:cs="Arial"/>
          <w:sz w:val="24"/>
        </w:rPr>
        <w:t xml:space="preserve"> methylation status. See “Supplement_Table34678.pdf”.</w:t>
      </w:r>
    </w:p>
    <w:p w:rsidR="00405F0D" w:rsidRPr="001E7D2E" w:rsidRDefault="00405F0D" w:rsidP="00405F0D">
      <w:pPr>
        <w:spacing w:line="480" w:lineRule="auto"/>
        <w:jc w:val="both"/>
        <w:rPr>
          <w:rFonts w:cs="Arial"/>
          <w:sz w:val="24"/>
        </w:rPr>
      </w:pPr>
      <w:r w:rsidRPr="001E7D2E">
        <w:rPr>
          <w:rFonts w:cs="Arial"/>
          <w:b/>
          <w:sz w:val="24"/>
        </w:rPr>
        <w:t xml:space="preserve">Supplementary Table S7. </w:t>
      </w:r>
      <w:r w:rsidRPr="001E7D2E">
        <w:rPr>
          <w:rFonts w:cs="Arial"/>
          <w:sz w:val="24"/>
        </w:rPr>
        <w:t xml:space="preserve">Hypermethylation and silencing of </w:t>
      </w:r>
      <w:r w:rsidRPr="001E7D2E">
        <w:rPr>
          <w:rFonts w:cs="Arial"/>
          <w:i/>
          <w:sz w:val="24"/>
        </w:rPr>
        <w:t xml:space="preserve">G0S2 </w:t>
      </w:r>
      <w:r w:rsidRPr="001E7D2E">
        <w:rPr>
          <w:rFonts w:cs="Arial"/>
          <w:sz w:val="24"/>
        </w:rPr>
        <w:t>is heterogeneous in recurrent, metastatic, and non-treatment naive carcinomas. See “Supplement_Table34678.pdf”.</w:t>
      </w:r>
    </w:p>
    <w:p w:rsidR="00405F0D" w:rsidRPr="001E7D2E" w:rsidRDefault="00405F0D" w:rsidP="00405F0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"/>
          <w:sz w:val="24"/>
        </w:rPr>
      </w:pPr>
      <w:r w:rsidRPr="001E7D2E">
        <w:rPr>
          <w:rFonts w:cs="Arial"/>
          <w:b/>
          <w:bCs/>
          <w:sz w:val="24"/>
        </w:rPr>
        <w:t xml:space="preserve">Supplementary Table S8. </w:t>
      </w:r>
      <w:r w:rsidRPr="001E7D2E">
        <w:rPr>
          <w:rFonts w:cs="Arial"/>
          <w:bCs/>
          <w:i/>
          <w:iCs/>
          <w:sz w:val="24"/>
        </w:rPr>
        <w:t xml:space="preserve">BUB1B-PINK1 </w:t>
      </w:r>
      <w:r w:rsidRPr="001E7D2E">
        <w:rPr>
          <w:rFonts w:cs="Arial"/>
          <w:bCs/>
          <w:sz w:val="24"/>
        </w:rPr>
        <w:t xml:space="preserve">can predict any history of metastasis in patients with </w:t>
      </w:r>
      <w:r w:rsidRPr="001E7D2E">
        <w:rPr>
          <w:rFonts w:cs="Arial"/>
          <w:bCs/>
          <w:i/>
          <w:iCs/>
          <w:sz w:val="24"/>
        </w:rPr>
        <w:t xml:space="preserve">G0S2 </w:t>
      </w:r>
      <w:r w:rsidRPr="001E7D2E">
        <w:rPr>
          <w:rFonts w:cs="Arial"/>
          <w:bCs/>
          <w:sz w:val="24"/>
        </w:rPr>
        <w:t>Unmethylated ACC.</w:t>
      </w:r>
      <w:r w:rsidRPr="001E7D2E">
        <w:rPr>
          <w:rFonts w:cs="Arial"/>
          <w:b/>
          <w:bCs/>
          <w:sz w:val="24"/>
        </w:rPr>
        <w:t xml:space="preserve">  </w:t>
      </w:r>
      <w:r w:rsidRPr="001E7D2E">
        <w:rPr>
          <w:rFonts w:cs="Arial"/>
          <w:sz w:val="24"/>
        </w:rPr>
        <w:t>See “Supplement_Table34678.pdf”.</w:t>
      </w:r>
    </w:p>
    <w:p w:rsidR="00405F0D" w:rsidRPr="00C40149" w:rsidRDefault="00405F0D" w:rsidP="00405F0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cs="Arial"/>
          <w:sz w:val="24"/>
        </w:rPr>
      </w:pPr>
      <w:r w:rsidRPr="001E7D2E">
        <w:rPr>
          <w:rFonts w:cs="Arial"/>
          <w:b/>
          <w:sz w:val="24"/>
        </w:rPr>
        <w:t xml:space="preserve">Supplementary Table S9. </w:t>
      </w:r>
      <w:r w:rsidRPr="001E7D2E">
        <w:rPr>
          <w:rFonts w:cs="Arial"/>
          <w:sz w:val="24"/>
        </w:rPr>
        <w:t>Complete clinical and molecular data of all samples used in this study. See “Supplement_Table9.xlsx”.</w:t>
      </w:r>
    </w:p>
    <w:p w:rsidR="00294B72" w:rsidRDefault="00294B72">
      <w:bookmarkStart w:id="0" w:name="_GoBack"/>
      <w:bookmarkEnd w:id="0"/>
    </w:p>
    <w:sectPr w:rsidR="00294B72" w:rsidSect="00A44238"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D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5F0D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D53E-67BA-4A79-8442-C1509C1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F0D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0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2019-02-11T20:18:00Z</dcterms:created>
  <dcterms:modified xsi:type="dcterms:W3CDTF">2019-02-11T20:18:00Z</dcterms:modified>
</cp:coreProperties>
</file>