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31F54" w14:textId="77777777" w:rsidR="00E64F48" w:rsidRPr="003A6C7E" w:rsidRDefault="00E64F48" w:rsidP="00E64F48">
      <w:pPr>
        <w:spacing w:line="480" w:lineRule="auto"/>
        <w:rPr>
          <w:rFonts w:ascii="Arial" w:hAnsi="Arial" w:cs="Arial"/>
          <w:sz w:val="22"/>
          <w:szCs w:val="22"/>
        </w:rPr>
      </w:pPr>
    </w:p>
    <w:p w14:paraId="35E5D4EC" w14:textId="77777777" w:rsidR="00E64F48" w:rsidRPr="003A6C7E" w:rsidRDefault="00E64F48" w:rsidP="00E64F48">
      <w:pPr>
        <w:spacing w:line="480" w:lineRule="auto"/>
        <w:rPr>
          <w:rFonts w:ascii="Arial" w:hAnsi="Arial" w:cs="Arial"/>
          <w:sz w:val="22"/>
          <w:szCs w:val="22"/>
        </w:rPr>
      </w:pPr>
    </w:p>
    <w:p w14:paraId="4D2641CB" w14:textId="77777777" w:rsidR="00E64F48" w:rsidRPr="003A6C7E" w:rsidRDefault="00E64F48" w:rsidP="00E64F48">
      <w:pPr>
        <w:spacing w:line="480" w:lineRule="auto"/>
        <w:rPr>
          <w:rFonts w:ascii="Arial" w:hAnsi="Arial" w:cs="Arial"/>
          <w:sz w:val="22"/>
          <w:szCs w:val="22"/>
        </w:rPr>
      </w:pPr>
      <w:r>
        <w:rPr>
          <w:rFonts w:ascii="Arial" w:hAnsi="Arial" w:cs="Arial"/>
          <w:sz w:val="22"/>
          <w:szCs w:val="22"/>
        </w:rPr>
        <w:t>Supplementary</w:t>
      </w:r>
      <w:r w:rsidRPr="003A6C7E">
        <w:rPr>
          <w:rFonts w:ascii="Arial" w:hAnsi="Arial" w:cs="Arial"/>
          <w:sz w:val="22"/>
          <w:szCs w:val="22"/>
        </w:rPr>
        <w:t xml:space="preserve"> Figure </w:t>
      </w:r>
      <w:r>
        <w:rPr>
          <w:rFonts w:ascii="Arial" w:hAnsi="Arial" w:cs="Arial"/>
          <w:sz w:val="22"/>
          <w:szCs w:val="22"/>
        </w:rPr>
        <w:t>1</w:t>
      </w:r>
      <w:r w:rsidRPr="003A6C7E">
        <w:rPr>
          <w:rFonts w:ascii="Arial" w:hAnsi="Arial" w:cs="Arial"/>
          <w:sz w:val="22"/>
          <w:szCs w:val="22"/>
        </w:rPr>
        <w:t>A.</w:t>
      </w:r>
    </w:p>
    <w:p w14:paraId="4FB6DD57" w14:textId="77777777" w:rsidR="00E64F48" w:rsidRPr="003A6C7E" w:rsidRDefault="00E64F48" w:rsidP="00E64F48">
      <w:pPr>
        <w:spacing w:line="480" w:lineRule="auto"/>
        <w:rPr>
          <w:rFonts w:ascii="Arial" w:hAnsi="Arial" w:cs="Arial"/>
          <w:sz w:val="22"/>
          <w:szCs w:val="22"/>
        </w:rPr>
      </w:pPr>
      <w:r w:rsidRPr="003A6C7E">
        <w:rPr>
          <w:rFonts w:ascii="Arial" w:hAnsi="Arial" w:cs="Arial"/>
          <w:sz w:val="22"/>
          <w:szCs w:val="22"/>
        </w:rPr>
        <w:t xml:space="preserve">The </w:t>
      </w:r>
      <w:proofErr w:type="spellStart"/>
      <w:r w:rsidRPr="003A6C7E">
        <w:rPr>
          <w:rFonts w:ascii="Arial" w:hAnsi="Arial" w:cs="Arial"/>
          <w:sz w:val="22"/>
          <w:szCs w:val="22"/>
        </w:rPr>
        <w:t>ctDNA</w:t>
      </w:r>
      <w:proofErr w:type="spellEnd"/>
      <w:r w:rsidRPr="003A6C7E">
        <w:rPr>
          <w:rFonts w:ascii="Arial" w:hAnsi="Arial" w:cs="Arial"/>
          <w:sz w:val="22"/>
          <w:szCs w:val="22"/>
        </w:rPr>
        <w:t xml:space="preserve"> panel (Guardant360™) utilized here employs digital sequencing to detect mutations in 73 genes. Whole gene sequencing is performed in 19 cancer genes, critical exons coverage in 54 genes and amplifications (18 genes), fusions (6 genes) and indels (23 genes).</w:t>
      </w:r>
    </w:p>
    <w:p w14:paraId="35562F38" w14:textId="77777777" w:rsidR="00E64F48" w:rsidRPr="003A6C7E" w:rsidRDefault="00E64F48" w:rsidP="00E64F48">
      <w:pPr>
        <w:spacing w:line="480" w:lineRule="auto"/>
        <w:rPr>
          <w:rFonts w:ascii="Arial" w:hAnsi="Arial" w:cs="Arial"/>
          <w:sz w:val="22"/>
          <w:szCs w:val="22"/>
        </w:rPr>
      </w:pPr>
    </w:p>
    <w:p w14:paraId="465E3E4D" w14:textId="77777777" w:rsidR="00E64F48" w:rsidRPr="003A6C7E" w:rsidRDefault="00E64F48" w:rsidP="00E64F48">
      <w:pPr>
        <w:spacing w:line="480" w:lineRule="auto"/>
        <w:rPr>
          <w:rFonts w:ascii="Arial" w:hAnsi="Arial" w:cs="Arial"/>
          <w:sz w:val="22"/>
          <w:szCs w:val="22"/>
        </w:rPr>
      </w:pPr>
      <w:r>
        <w:rPr>
          <w:rFonts w:ascii="Arial" w:hAnsi="Arial" w:cs="Arial"/>
          <w:sz w:val="22"/>
          <w:szCs w:val="22"/>
        </w:rPr>
        <w:t>Supplementary</w:t>
      </w:r>
      <w:r w:rsidRPr="003A6C7E">
        <w:rPr>
          <w:rFonts w:ascii="Arial" w:hAnsi="Arial" w:cs="Arial"/>
          <w:sz w:val="22"/>
          <w:szCs w:val="22"/>
        </w:rPr>
        <w:t xml:space="preserve"> Figure </w:t>
      </w:r>
      <w:r>
        <w:rPr>
          <w:rFonts w:ascii="Arial" w:hAnsi="Arial" w:cs="Arial"/>
          <w:sz w:val="22"/>
          <w:szCs w:val="22"/>
        </w:rPr>
        <w:t>1</w:t>
      </w:r>
      <w:r w:rsidRPr="003A6C7E">
        <w:rPr>
          <w:rFonts w:ascii="Arial" w:hAnsi="Arial" w:cs="Arial"/>
          <w:sz w:val="22"/>
          <w:szCs w:val="22"/>
        </w:rPr>
        <w:t>B</w:t>
      </w:r>
    </w:p>
    <w:p w14:paraId="2888EA57" w14:textId="77777777" w:rsidR="00E64F48" w:rsidRPr="003A6C7E" w:rsidRDefault="00E64F48" w:rsidP="00E64F48">
      <w:pPr>
        <w:spacing w:line="480" w:lineRule="auto"/>
        <w:rPr>
          <w:rFonts w:ascii="Arial" w:hAnsi="Arial" w:cs="Arial"/>
          <w:sz w:val="22"/>
          <w:szCs w:val="22"/>
        </w:rPr>
      </w:pPr>
      <w:r w:rsidRPr="003A6C7E">
        <w:rPr>
          <w:rFonts w:ascii="Arial" w:hAnsi="Arial" w:cs="Arial"/>
          <w:iCs/>
          <w:sz w:val="22"/>
          <w:szCs w:val="22"/>
        </w:rPr>
        <w:t xml:space="preserve">Digital Sequencing-based </w:t>
      </w:r>
      <w:proofErr w:type="spellStart"/>
      <w:r w:rsidRPr="003A6C7E">
        <w:rPr>
          <w:rFonts w:ascii="Arial" w:hAnsi="Arial" w:cs="Arial"/>
          <w:iCs/>
          <w:sz w:val="22"/>
          <w:szCs w:val="22"/>
        </w:rPr>
        <w:t>ctDNA</w:t>
      </w:r>
      <w:proofErr w:type="spellEnd"/>
      <w:r w:rsidRPr="003A6C7E">
        <w:rPr>
          <w:rFonts w:ascii="Arial" w:hAnsi="Arial" w:cs="Arial"/>
          <w:iCs/>
          <w:sz w:val="22"/>
          <w:szCs w:val="22"/>
        </w:rPr>
        <w:t xml:space="preserve"> assay workflow.</w:t>
      </w:r>
      <w:r w:rsidRPr="003A6C7E">
        <w:rPr>
          <w:rFonts w:ascii="Arial" w:hAnsi="Arial" w:cs="Arial"/>
          <w:i/>
          <w:iCs/>
          <w:sz w:val="22"/>
          <w:szCs w:val="22"/>
        </w:rPr>
        <w:t xml:space="preserve"> </w:t>
      </w:r>
      <w:r w:rsidRPr="003A6C7E">
        <w:rPr>
          <w:rFonts w:ascii="Arial" w:hAnsi="Arial" w:cs="Arial"/>
          <w:sz w:val="22"/>
          <w:szCs w:val="22"/>
        </w:rPr>
        <w:t>(</w:t>
      </w:r>
      <w:r w:rsidRPr="003A6C7E">
        <w:rPr>
          <w:rFonts w:ascii="Arial" w:hAnsi="Arial" w:cs="Arial"/>
          <w:b/>
          <w:bCs/>
          <w:sz w:val="22"/>
          <w:szCs w:val="22"/>
        </w:rPr>
        <w:t>a</w:t>
      </w:r>
      <w:r w:rsidRPr="003A6C7E">
        <w:rPr>
          <w:rFonts w:ascii="Arial" w:hAnsi="Arial" w:cs="Arial"/>
          <w:sz w:val="22"/>
          <w:szCs w:val="22"/>
        </w:rPr>
        <w:t xml:space="preserve">) </w:t>
      </w:r>
      <w:proofErr w:type="spellStart"/>
      <w:r w:rsidRPr="003A6C7E">
        <w:rPr>
          <w:rFonts w:ascii="Arial" w:hAnsi="Arial" w:cs="Arial"/>
          <w:sz w:val="22"/>
          <w:szCs w:val="22"/>
        </w:rPr>
        <w:t>cfDNA</w:t>
      </w:r>
      <w:proofErr w:type="spellEnd"/>
      <w:r w:rsidRPr="003A6C7E">
        <w:rPr>
          <w:rFonts w:ascii="Arial" w:hAnsi="Arial" w:cs="Arial"/>
          <w:sz w:val="22"/>
          <w:szCs w:val="22"/>
        </w:rPr>
        <w:t xml:space="preserve"> is extracted from stabilized peripheral whole blood, (</w:t>
      </w:r>
      <w:r w:rsidRPr="003A6C7E">
        <w:rPr>
          <w:rFonts w:ascii="Arial" w:hAnsi="Arial" w:cs="Arial"/>
          <w:b/>
          <w:bCs/>
          <w:sz w:val="22"/>
          <w:szCs w:val="22"/>
        </w:rPr>
        <w:t>b</w:t>
      </w:r>
      <w:r w:rsidRPr="003A6C7E">
        <w:rPr>
          <w:rFonts w:ascii="Arial" w:hAnsi="Arial" w:cs="Arial"/>
          <w:sz w:val="22"/>
          <w:szCs w:val="22"/>
        </w:rPr>
        <w:t>) labeled with oligonucleotide barcodes at high efficiency, and (</w:t>
      </w:r>
      <w:r w:rsidRPr="003A6C7E">
        <w:rPr>
          <w:rFonts w:ascii="Arial" w:hAnsi="Arial" w:cs="Arial"/>
          <w:b/>
          <w:bCs/>
          <w:sz w:val="22"/>
          <w:szCs w:val="22"/>
        </w:rPr>
        <w:t>c</w:t>
      </w:r>
      <w:r w:rsidRPr="003A6C7E">
        <w:rPr>
          <w:rFonts w:ascii="Arial" w:hAnsi="Arial" w:cs="Arial"/>
          <w:sz w:val="22"/>
          <w:szCs w:val="22"/>
        </w:rPr>
        <w:t>) up to 30ng is used for library preparation. (</w:t>
      </w:r>
      <w:r w:rsidRPr="003A6C7E">
        <w:rPr>
          <w:rFonts w:ascii="Arial" w:hAnsi="Arial" w:cs="Arial"/>
          <w:b/>
          <w:bCs/>
          <w:sz w:val="22"/>
          <w:szCs w:val="22"/>
        </w:rPr>
        <w:t>d</w:t>
      </w:r>
      <w:r w:rsidRPr="003A6C7E">
        <w:rPr>
          <w:rFonts w:ascii="Arial" w:hAnsi="Arial" w:cs="Arial"/>
          <w:sz w:val="22"/>
          <w:szCs w:val="22"/>
        </w:rPr>
        <w:t>) Sequencing libraries are enriched using hybrid capture and sequenced to an average depth of ~15,000x. (</w:t>
      </w:r>
      <w:r w:rsidRPr="003A6C7E">
        <w:rPr>
          <w:rFonts w:ascii="Arial" w:hAnsi="Arial" w:cs="Arial"/>
          <w:b/>
          <w:bCs/>
          <w:sz w:val="22"/>
          <w:szCs w:val="22"/>
        </w:rPr>
        <w:t>e</w:t>
      </w:r>
      <w:r w:rsidRPr="003A6C7E">
        <w:rPr>
          <w:rFonts w:ascii="Arial" w:hAnsi="Arial" w:cs="Arial"/>
          <w:sz w:val="22"/>
          <w:szCs w:val="22"/>
        </w:rPr>
        <w:t>) Individual unique input molecules are then bioinformatically reconstructed using barcode and sequence data to suppress analytical error modes. (</w:t>
      </w:r>
      <w:r w:rsidRPr="003A6C7E">
        <w:rPr>
          <w:rFonts w:ascii="Arial" w:hAnsi="Arial" w:cs="Arial"/>
          <w:b/>
          <w:bCs/>
          <w:sz w:val="22"/>
          <w:szCs w:val="22"/>
        </w:rPr>
        <w:t>f</w:t>
      </w:r>
      <w:r w:rsidRPr="003A6C7E">
        <w:rPr>
          <w:rFonts w:ascii="Arial" w:hAnsi="Arial" w:cs="Arial"/>
          <w:sz w:val="22"/>
          <w:szCs w:val="22"/>
        </w:rPr>
        <w:t xml:space="preserve">) Somatic variants are deconvoluted from germline and reported by clinical priority with both treatment and clinical trial annotations. </w:t>
      </w:r>
    </w:p>
    <w:p w14:paraId="2792C155" w14:textId="77777777" w:rsidR="00E64F48" w:rsidRPr="003A6C7E" w:rsidRDefault="00E64F48" w:rsidP="00E64F48">
      <w:pPr>
        <w:spacing w:line="480" w:lineRule="auto"/>
        <w:rPr>
          <w:rFonts w:ascii="Arial" w:hAnsi="Arial" w:cs="Arial"/>
          <w:sz w:val="22"/>
          <w:szCs w:val="22"/>
        </w:rPr>
      </w:pPr>
      <w:r w:rsidRPr="003A6C7E">
        <w:rPr>
          <w:rFonts w:ascii="Arial" w:hAnsi="Arial" w:cs="Arial"/>
          <w:sz w:val="22"/>
          <w:szCs w:val="22"/>
        </w:rPr>
        <w:br/>
      </w:r>
      <w:r>
        <w:rPr>
          <w:rFonts w:ascii="Arial" w:hAnsi="Arial" w:cs="Arial"/>
          <w:sz w:val="22"/>
          <w:szCs w:val="22"/>
        </w:rPr>
        <w:t>Supplementary</w:t>
      </w:r>
      <w:r w:rsidRPr="003A6C7E">
        <w:rPr>
          <w:rFonts w:ascii="Arial" w:hAnsi="Arial" w:cs="Arial"/>
          <w:sz w:val="22"/>
          <w:szCs w:val="22"/>
        </w:rPr>
        <w:t xml:space="preserve"> figures </w:t>
      </w:r>
      <w:r>
        <w:rPr>
          <w:rFonts w:ascii="Arial" w:hAnsi="Arial" w:cs="Arial"/>
          <w:sz w:val="22"/>
          <w:szCs w:val="22"/>
        </w:rPr>
        <w:t>2A and 2B</w:t>
      </w:r>
    </w:p>
    <w:p w14:paraId="440F966C" w14:textId="77777777" w:rsidR="00E64F48" w:rsidRPr="003A6C7E" w:rsidRDefault="00E64F48" w:rsidP="00E64F48">
      <w:pPr>
        <w:spacing w:line="480" w:lineRule="auto"/>
        <w:rPr>
          <w:rFonts w:ascii="Arial" w:hAnsi="Arial" w:cs="Arial"/>
          <w:sz w:val="22"/>
          <w:szCs w:val="22"/>
        </w:rPr>
      </w:pPr>
      <w:r w:rsidRPr="003A6C7E">
        <w:rPr>
          <w:rFonts w:ascii="Arial" w:hAnsi="Arial" w:cs="Arial"/>
          <w:sz w:val="22"/>
          <w:szCs w:val="22"/>
        </w:rPr>
        <w:t>Copy number plots from two pre-treatment HERACLES A samples. X axis represents chromosome (</w:t>
      </w:r>
      <w:proofErr w:type="spellStart"/>
      <w:r w:rsidRPr="003A6C7E">
        <w:rPr>
          <w:rFonts w:ascii="Arial" w:hAnsi="Arial" w:cs="Arial"/>
          <w:sz w:val="22"/>
          <w:szCs w:val="22"/>
        </w:rPr>
        <w:t>chr</w:t>
      </w:r>
      <w:proofErr w:type="spellEnd"/>
      <w:r w:rsidRPr="003A6C7E">
        <w:rPr>
          <w:rFonts w:ascii="Arial" w:hAnsi="Arial" w:cs="Arial"/>
          <w:sz w:val="22"/>
          <w:szCs w:val="22"/>
        </w:rPr>
        <w:t xml:space="preserve">) number across the Guardant360 genomic footprint. Y axis represents </w:t>
      </w:r>
      <w:r>
        <w:rPr>
          <w:rFonts w:ascii="Arial" w:hAnsi="Arial" w:cs="Arial"/>
          <w:sz w:val="22"/>
          <w:szCs w:val="22"/>
        </w:rPr>
        <w:t>observed</w:t>
      </w:r>
      <w:r w:rsidRPr="003A6C7E">
        <w:rPr>
          <w:rFonts w:ascii="Arial" w:hAnsi="Arial" w:cs="Arial"/>
          <w:sz w:val="22"/>
          <w:szCs w:val="22"/>
        </w:rPr>
        <w:t xml:space="preserve"> copy number in plasma. Colored dots represent probe-specific copy number signals at each chromosomal position </w:t>
      </w:r>
      <w:proofErr w:type="gramStart"/>
      <w:r w:rsidRPr="003A6C7E">
        <w:rPr>
          <w:rFonts w:ascii="Arial" w:hAnsi="Arial" w:cs="Arial"/>
          <w:sz w:val="22"/>
          <w:szCs w:val="22"/>
        </w:rPr>
        <w:t>and  light</w:t>
      </w:r>
      <w:proofErr w:type="gramEnd"/>
      <w:r w:rsidRPr="003A6C7E">
        <w:rPr>
          <w:rFonts w:ascii="Arial" w:hAnsi="Arial" w:cs="Arial"/>
          <w:sz w:val="22"/>
          <w:szCs w:val="22"/>
        </w:rPr>
        <w:t xml:space="preserve"> green horizontal line represents the sample-specific normalized diploid copy number. The 18 reported gene amplifications are labelled, including </w:t>
      </w:r>
      <w:r w:rsidRPr="003A6C7E">
        <w:rPr>
          <w:rFonts w:ascii="Arial" w:hAnsi="Arial" w:cs="Arial"/>
          <w:i/>
          <w:sz w:val="22"/>
          <w:szCs w:val="22"/>
        </w:rPr>
        <w:t>ERBB2</w:t>
      </w:r>
      <w:r w:rsidRPr="003A6C7E">
        <w:rPr>
          <w:rFonts w:ascii="Arial" w:hAnsi="Arial" w:cs="Arial"/>
          <w:sz w:val="22"/>
          <w:szCs w:val="22"/>
        </w:rPr>
        <w:t xml:space="preserve"> on chromosome 17. The sample represented in panel 2A is suggestive of chromosome 17 aneuploidy, as all 5’ probe specific signals adjacent to and including </w:t>
      </w:r>
      <w:r w:rsidRPr="003A6C7E">
        <w:rPr>
          <w:rFonts w:ascii="Arial" w:hAnsi="Arial" w:cs="Arial"/>
          <w:i/>
          <w:sz w:val="22"/>
          <w:szCs w:val="22"/>
        </w:rPr>
        <w:t>ERBB2</w:t>
      </w:r>
      <w:r w:rsidRPr="003A6C7E">
        <w:rPr>
          <w:rFonts w:ascii="Arial" w:hAnsi="Arial" w:cs="Arial"/>
          <w:sz w:val="22"/>
          <w:szCs w:val="22"/>
        </w:rPr>
        <w:t xml:space="preserve"> are increased (</w:t>
      </w:r>
      <w:r w:rsidRPr="003A6C7E">
        <w:rPr>
          <w:rFonts w:ascii="Arial" w:hAnsi="Arial" w:cs="Arial"/>
          <w:i/>
          <w:sz w:val="22"/>
          <w:szCs w:val="22"/>
        </w:rPr>
        <w:t>ERBB2</w:t>
      </w:r>
      <w:r w:rsidRPr="003A6C7E">
        <w:rPr>
          <w:rFonts w:ascii="Arial" w:hAnsi="Arial" w:cs="Arial"/>
          <w:sz w:val="22"/>
          <w:szCs w:val="22"/>
        </w:rPr>
        <w:t xml:space="preserve"> </w:t>
      </w:r>
      <w:r>
        <w:rPr>
          <w:rFonts w:ascii="Arial" w:hAnsi="Arial" w:cs="Arial"/>
          <w:sz w:val="22"/>
          <w:szCs w:val="22"/>
        </w:rPr>
        <w:t>observed</w:t>
      </w:r>
      <w:r w:rsidRPr="003A6C7E">
        <w:rPr>
          <w:rFonts w:ascii="Arial" w:hAnsi="Arial" w:cs="Arial"/>
          <w:sz w:val="22"/>
          <w:szCs w:val="22"/>
        </w:rPr>
        <w:t xml:space="preserve"> </w:t>
      </w:r>
      <w:proofErr w:type="spellStart"/>
      <w:r w:rsidRPr="003A6C7E">
        <w:rPr>
          <w:rFonts w:ascii="Arial" w:hAnsi="Arial" w:cs="Arial"/>
          <w:sz w:val="22"/>
          <w:szCs w:val="22"/>
        </w:rPr>
        <w:t>pCN</w:t>
      </w:r>
      <w:proofErr w:type="spellEnd"/>
      <w:r w:rsidRPr="003A6C7E">
        <w:rPr>
          <w:rFonts w:ascii="Arial" w:hAnsi="Arial" w:cs="Arial"/>
          <w:sz w:val="22"/>
          <w:szCs w:val="22"/>
        </w:rPr>
        <w:t xml:space="preserve"> = 52.8). In contrast, panel 2B shows clear focal amplification of </w:t>
      </w:r>
      <w:r w:rsidRPr="003A6C7E">
        <w:rPr>
          <w:rFonts w:ascii="Arial" w:hAnsi="Arial" w:cs="Arial"/>
          <w:i/>
          <w:sz w:val="22"/>
          <w:szCs w:val="22"/>
        </w:rPr>
        <w:t>ERBB2</w:t>
      </w:r>
      <w:r w:rsidRPr="003A6C7E">
        <w:rPr>
          <w:rFonts w:ascii="Arial" w:hAnsi="Arial" w:cs="Arial"/>
          <w:sz w:val="22"/>
          <w:szCs w:val="22"/>
        </w:rPr>
        <w:t xml:space="preserve"> only (</w:t>
      </w:r>
      <w:r w:rsidRPr="003A6C7E">
        <w:rPr>
          <w:rFonts w:ascii="Arial" w:hAnsi="Arial" w:cs="Arial"/>
          <w:i/>
          <w:sz w:val="22"/>
          <w:szCs w:val="22"/>
        </w:rPr>
        <w:t>ERBB2</w:t>
      </w:r>
      <w:r w:rsidRPr="003A6C7E">
        <w:rPr>
          <w:rFonts w:ascii="Arial" w:hAnsi="Arial" w:cs="Arial"/>
          <w:sz w:val="22"/>
          <w:szCs w:val="22"/>
        </w:rPr>
        <w:t xml:space="preserve"> </w:t>
      </w:r>
      <w:r>
        <w:rPr>
          <w:rFonts w:ascii="Arial" w:hAnsi="Arial" w:cs="Arial"/>
          <w:sz w:val="22"/>
          <w:szCs w:val="22"/>
        </w:rPr>
        <w:t>observed</w:t>
      </w:r>
      <w:r w:rsidRPr="003A6C7E">
        <w:rPr>
          <w:rFonts w:ascii="Arial" w:hAnsi="Arial" w:cs="Arial"/>
          <w:sz w:val="22"/>
          <w:szCs w:val="22"/>
        </w:rPr>
        <w:t xml:space="preserve"> </w:t>
      </w:r>
      <w:proofErr w:type="spellStart"/>
      <w:r w:rsidRPr="003A6C7E">
        <w:rPr>
          <w:rFonts w:ascii="Arial" w:hAnsi="Arial" w:cs="Arial"/>
          <w:sz w:val="22"/>
          <w:szCs w:val="22"/>
        </w:rPr>
        <w:t>pCN</w:t>
      </w:r>
      <w:proofErr w:type="spellEnd"/>
      <w:r w:rsidRPr="003A6C7E">
        <w:rPr>
          <w:rFonts w:ascii="Arial" w:hAnsi="Arial" w:cs="Arial"/>
          <w:sz w:val="22"/>
          <w:szCs w:val="22"/>
        </w:rPr>
        <w:t xml:space="preserve"> = 7.7).</w:t>
      </w:r>
    </w:p>
    <w:p w14:paraId="250A7E15" w14:textId="77777777" w:rsidR="00E64F48" w:rsidRPr="003A6C7E" w:rsidRDefault="00E64F48" w:rsidP="00E64F48">
      <w:pPr>
        <w:spacing w:line="480" w:lineRule="auto"/>
        <w:rPr>
          <w:rFonts w:ascii="Arial" w:hAnsi="Arial" w:cs="Arial"/>
          <w:sz w:val="22"/>
          <w:szCs w:val="22"/>
        </w:rPr>
      </w:pPr>
    </w:p>
    <w:p w14:paraId="1E93C518" w14:textId="77777777" w:rsidR="00E64F48" w:rsidRPr="003A6C7E" w:rsidRDefault="00E64F48" w:rsidP="00E64F48">
      <w:pPr>
        <w:spacing w:line="480" w:lineRule="auto"/>
        <w:rPr>
          <w:rFonts w:ascii="Arial" w:hAnsi="Arial" w:cs="Arial"/>
          <w:sz w:val="22"/>
          <w:szCs w:val="22"/>
        </w:rPr>
      </w:pPr>
      <w:r>
        <w:rPr>
          <w:rFonts w:ascii="Arial" w:hAnsi="Arial" w:cs="Arial"/>
          <w:sz w:val="22"/>
          <w:szCs w:val="22"/>
        </w:rPr>
        <w:t>Supplementary</w:t>
      </w:r>
      <w:r w:rsidRPr="003A6C7E">
        <w:rPr>
          <w:rFonts w:ascii="Arial" w:hAnsi="Arial" w:cs="Arial"/>
          <w:sz w:val="22"/>
          <w:szCs w:val="22"/>
        </w:rPr>
        <w:t xml:space="preserve"> figure </w:t>
      </w:r>
      <w:r>
        <w:rPr>
          <w:rFonts w:ascii="Arial" w:hAnsi="Arial" w:cs="Arial"/>
          <w:sz w:val="22"/>
          <w:szCs w:val="22"/>
        </w:rPr>
        <w:t>3</w:t>
      </w:r>
    </w:p>
    <w:p w14:paraId="25FCFEEA" w14:textId="77777777" w:rsidR="00E64F48" w:rsidRPr="003A6C7E" w:rsidRDefault="00E64F48" w:rsidP="00E64F48">
      <w:pPr>
        <w:spacing w:line="480" w:lineRule="auto"/>
        <w:rPr>
          <w:rFonts w:ascii="Arial" w:hAnsi="Arial" w:cs="Arial"/>
          <w:sz w:val="22"/>
          <w:szCs w:val="22"/>
        </w:rPr>
      </w:pPr>
      <w:r w:rsidRPr="003A6C7E">
        <w:rPr>
          <w:rFonts w:ascii="Arial" w:hAnsi="Arial" w:cs="Arial"/>
          <w:sz w:val="22"/>
          <w:szCs w:val="22"/>
        </w:rPr>
        <w:t xml:space="preserve">Correlation between </w:t>
      </w:r>
      <w:proofErr w:type="spellStart"/>
      <w:r w:rsidRPr="003A6C7E">
        <w:rPr>
          <w:rFonts w:ascii="Arial" w:hAnsi="Arial" w:cs="Arial"/>
          <w:sz w:val="22"/>
          <w:szCs w:val="22"/>
        </w:rPr>
        <w:t>pCN</w:t>
      </w:r>
      <w:proofErr w:type="spellEnd"/>
      <w:r w:rsidRPr="003A6C7E">
        <w:rPr>
          <w:rFonts w:ascii="Arial" w:hAnsi="Arial" w:cs="Arial"/>
          <w:sz w:val="22"/>
          <w:szCs w:val="22"/>
        </w:rPr>
        <w:t xml:space="preserve"> and tumor fraction in plasma where z=((2*(1-x</w:t>
      </w:r>
      <w:proofErr w:type="gramStart"/>
      <w:r w:rsidRPr="003A6C7E">
        <w:rPr>
          <w:rFonts w:ascii="Arial" w:hAnsi="Arial" w:cs="Arial"/>
          <w:sz w:val="22"/>
          <w:szCs w:val="22"/>
        </w:rPr>
        <w:t>))+(</w:t>
      </w:r>
      <w:proofErr w:type="gramEnd"/>
      <w:r w:rsidRPr="003A6C7E">
        <w:rPr>
          <w:rFonts w:ascii="Arial" w:hAnsi="Arial" w:cs="Arial"/>
          <w:sz w:val="22"/>
          <w:szCs w:val="22"/>
        </w:rPr>
        <w:t xml:space="preserve">y*x)), and x is set from 0 to 100% as tumor fraction. Centiles of </w:t>
      </w:r>
      <w:r w:rsidRPr="003A6C7E">
        <w:rPr>
          <w:rFonts w:ascii="Arial" w:hAnsi="Arial" w:cs="Arial"/>
          <w:i/>
          <w:sz w:val="22"/>
          <w:szCs w:val="22"/>
        </w:rPr>
        <w:t>ERBB2</w:t>
      </w:r>
      <w:r w:rsidRPr="003A6C7E">
        <w:rPr>
          <w:rFonts w:ascii="Arial" w:hAnsi="Arial" w:cs="Arial"/>
          <w:sz w:val="22"/>
          <w:szCs w:val="22"/>
        </w:rPr>
        <w:t xml:space="preserve"> </w:t>
      </w:r>
      <w:proofErr w:type="spellStart"/>
      <w:r w:rsidRPr="003A6C7E">
        <w:rPr>
          <w:rFonts w:ascii="Arial" w:hAnsi="Arial" w:cs="Arial"/>
          <w:sz w:val="22"/>
          <w:szCs w:val="22"/>
        </w:rPr>
        <w:t>pCN</w:t>
      </w:r>
      <w:proofErr w:type="spellEnd"/>
      <w:r w:rsidRPr="003A6C7E">
        <w:rPr>
          <w:rFonts w:ascii="Arial" w:hAnsi="Arial" w:cs="Arial"/>
          <w:sz w:val="22"/>
          <w:szCs w:val="22"/>
        </w:rPr>
        <w:t xml:space="preserve"> in the Guardant Health database were as follows: copy number </w:t>
      </w:r>
      <w:r w:rsidRPr="003A6C7E">
        <w:rPr>
          <w:rFonts w:ascii="Arial" w:hAnsi="Arial" w:cs="Arial"/>
          <w:sz w:val="22"/>
          <w:szCs w:val="22"/>
          <w:u w:val="single"/>
        </w:rPr>
        <w:t>&lt;</w:t>
      </w:r>
      <w:r w:rsidRPr="003A6C7E">
        <w:rPr>
          <w:rFonts w:ascii="Arial" w:hAnsi="Arial" w:cs="Arial"/>
          <w:sz w:val="22"/>
          <w:szCs w:val="22"/>
        </w:rPr>
        <w:t xml:space="preserve">2.4 (&lt;50th percentile), </w:t>
      </w:r>
      <w:r w:rsidRPr="003A6C7E">
        <w:rPr>
          <w:rFonts w:ascii="Arial" w:hAnsi="Arial" w:cs="Arial"/>
          <w:sz w:val="22"/>
          <w:szCs w:val="22"/>
          <w:u w:val="single"/>
        </w:rPr>
        <w:t>&gt;</w:t>
      </w:r>
      <w:r w:rsidRPr="003A6C7E">
        <w:rPr>
          <w:rFonts w:ascii="Arial" w:hAnsi="Arial" w:cs="Arial"/>
          <w:sz w:val="22"/>
          <w:szCs w:val="22"/>
        </w:rPr>
        <w:t>2.4 but &lt; 4 (50</w:t>
      </w:r>
      <w:r w:rsidRPr="003A6C7E">
        <w:rPr>
          <w:rFonts w:ascii="Arial" w:hAnsi="Arial" w:cs="Arial"/>
          <w:sz w:val="22"/>
          <w:szCs w:val="22"/>
          <w:vertAlign w:val="superscript"/>
        </w:rPr>
        <w:t>th</w:t>
      </w:r>
      <w:r w:rsidRPr="003A6C7E">
        <w:rPr>
          <w:rFonts w:ascii="Arial" w:hAnsi="Arial" w:cs="Arial"/>
          <w:sz w:val="22"/>
          <w:szCs w:val="22"/>
        </w:rPr>
        <w:t xml:space="preserve">-90th percentile), and </w:t>
      </w:r>
      <w:r w:rsidRPr="003A6C7E">
        <w:rPr>
          <w:rFonts w:ascii="Arial" w:hAnsi="Arial" w:cs="Arial"/>
          <w:sz w:val="22"/>
          <w:szCs w:val="22"/>
          <w:u w:val="single"/>
        </w:rPr>
        <w:t>&gt;</w:t>
      </w:r>
      <w:r w:rsidRPr="003A6C7E">
        <w:rPr>
          <w:rFonts w:ascii="Arial" w:hAnsi="Arial" w:cs="Arial"/>
          <w:sz w:val="22"/>
          <w:szCs w:val="22"/>
        </w:rPr>
        <w:t xml:space="preserve">4.0 (≥90th percentile). </w:t>
      </w:r>
    </w:p>
    <w:p w14:paraId="75CC1EA3" w14:textId="77777777" w:rsidR="00E64F48" w:rsidRPr="003A6C7E" w:rsidRDefault="00E64F48" w:rsidP="00E64F48">
      <w:pPr>
        <w:spacing w:line="480" w:lineRule="auto"/>
        <w:rPr>
          <w:rFonts w:ascii="Arial" w:hAnsi="Arial" w:cs="Arial"/>
          <w:sz w:val="22"/>
          <w:szCs w:val="22"/>
        </w:rPr>
      </w:pPr>
      <w:r w:rsidRPr="003A6C7E">
        <w:rPr>
          <w:rFonts w:ascii="Arial" w:hAnsi="Arial" w:cs="Arial"/>
          <w:sz w:val="22"/>
          <w:szCs w:val="22"/>
        </w:rPr>
        <w:t xml:space="preserve"> </w:t>
      </w:r>
    </w:p>
    <w:p w14:paraId="32C045EE" w14:textId="77777777" w:rsidR="00E64F48" w:rsidRPr="003A6C7E" w:rsidRDefault="00E64F48" w:rsidP="00E64F48">
      <w:pPr>
        <w:spacing w:line="480" w:lineRule="auto"/>
        <w:rPr>
          <w:rFonts w:ascii="Arial" w:hAnsi="Arial" w:cs="Arial"/>
          <w:sz w:val="22"/>
          <w:szCs w:val="22"/>
        </w:rPr>
      </w:pPr>
      <w:r>
        <w:rPr>
          <w:rFonts w:ascii="Arial" w:hAnsi="Arial" w:cs="Arial"/>
          <w:sz w:val="22"/>
          <w:szCs w:val="22"/>
        </w:rPr>
        <w:t>Supplementary</w:t>
      </w:r>
      <w:r w:rsidRPr="003A6C7E">
        <w:rPr>
          <w:rFonts w:ascii="Arial" w:hAnsi="Arial" w:cs="Arial"/>
          <w:sz w:val="22"/>
          <w:szCs w:val="22"/>
        </w:rPr>
        <w:t xml:space="preserve"> figure </w:t>
      </w:r>
      <w:r>
        <w:rPr>
          <w:rFonts w:ascii="Arial" w:hAnsi="Arial" w:cs="Arial"/>
          <w:sz w:val="22"/>
          <w:szCs w:val="22"/>
        </w:rPr>
        <w:t>4</w:t>
      </w:r>
    </w:p>
    <w:p w14:paraId="154798E6" w14:textId="77777777" w:rsidR="00E64F48" w:rsidRPr="003A6C7E" w:rsidRDefault="00E64F48" w:rsidP="00E64F48">
      <w:pPr>
        <w:spacing w:line="480" w:lineRule="auto"/>
        <w:rPr>
          <w:rFonts w:ascii="Arial" w:hAnsi="Arial" w:cs="Arial"/>
          <w:sz w:val="22"/>
          <w:szCs w:val="22"/>
        </w:rPr>
      </w:pPr>
      <w:r w:rsidRPr="003A6C7E">
        <w:rPr>
          <w:rFonts w:ascii="Arial" w:hAnsi="Arial" w:cs="Arial"/>
          <w:i/>
          <w:sz w:val="22"/>
          <w:szCs w:val="22"/>
        </w:rPr>
        <w:t>ERBB2</w:t>
      </w:r>
      <w:r w:rsidRPr="003A6C7E">
        <w:rPr>
          <w:rFonts w:ascii="Arial" w:hAnsi="Arial" w:cs="Arial"/>
          <w:sz w:val="22"/>
          <w:szCs w:val="22"/>
        </w:rPr>
        <w:t xml:space="preserve"> </w:t>
      </w:r>
      <w:proofErr w:type="spellStart"/>
      <w:r w:rsidRPr="003A6C7E">
        <w:rPr>
          <w:rFonts w:ascii="Arial" w:hAnsi="Arial" w:cs="Arial"/>
          <w:sz w:val="22"/>
          <w:szCs w:val="22"/>
        </w:rPr>
        <w:t>pCN</w:t>
      </w:r>
      <w:proofErr w:type="spellEnd"/>
      <w:r w:rsidRPr="003A6C7E">
        <w:rPr>
          <w:rFonts w:ascii="Arial" w:hAnsi="Arial" w:cs="Arial"/>
          <w:sz w:val="22"/>
          <w:szCs w:val="22"/>
        </w:rPr>
        <w:t xml:space="preserve"> (</w:t>
      </w:r>
      <w:proofErr w:type="spellStart"/>
      <w:r w:rsidRPr="003A6C7E">
        <w:rPr>
          <w:rFonts w:ascii="Arial" w:hAnsi="Arial" w:cs="Arial"/>
          <w:sz w:val="22"/>
          <w:szCs w:val="22"/>
        </w:rPr>
        <w:t>pCN</w:t>
      </w:r>
      <w:proofErr w:type="spellEnd"/>
      <w:r w:rsidRPr="003A6C7E">
        <w:rPr>
          <w:rFonts w:ascii="Arial" w:hAnsi="Arial" w:cs="Arial"/>
          <w:sz w:val="22"/>
          <w:szCs w:val="22"/>
        </w:rPr>
        <w:t xml:space="preserve">), RAS/RAF status and maximum mutant allele fraction (Max MAF) in 4,294 plasma samples from mCRC patients in the Guardant Health historical database. An </w:t>
      </w:r>
      <w:r>
        <w:rPr>
          <w:rFonts w:ascii="Arial" w:hAnsi="Arial" w:cs="Arial"/>
          <w:sz w:val="22"/>
          <w:szCs w:val="22"/>
        </w:rPr>
        <w:t>observed</w:t>
      </w:r>
      <w:r w:rsidRPr="003A6C7E">
        <w:rPr>
          <w:rFonts w:ascii="Arial" w:hAnsi="Arial" w:cs="Arial"/>
          <w:sz w:val="22"/>
          <w:szCs w:val="22"/>
        </w:rPr>
        <w:t xml:space="preserve"> </w:t>
      </w:r>
      <w:proofErr w:type="spellStart"/>
      <w:r w:rsidRPr="003A6C7E">
        <w:rPr>
          <w:rFonts w:ascii="Arial" w:hAnsi="Arial" w:cs="Arial"/>
          <w:sz w:val="22"/>
          <w:szCs w:val="22"/>
        </w:rPr>
        <w:t>pCN</w:t>
      </w:r>
      <w:proofErr w:type="spellEnd"/>
      <w:r w:rsidRPr="003A6C7E">
        <w:rPr>
          <w:rFonts w:ascii="Arial" w:hAnsi="Arial" w:cs="Arial"/>
          <w:sz w:val="22"/>
          <w:szCs w:val="22"/>
        </w:rPr>
        <w:t xml:space="preserve"> cutoff of 2.4 (&gt;50</w:t>
      </w:r>
      <w:r w:rsidRPr="003A6C7E">
        <w:rPr>
          <w:rFonts w:ascii="Arial" w:hAnsi="Arial" w:cs="Arial"/>
          <w:sz w:val="22"/>
          <w:szCs w:val="22"/>
          <w:vertAlign w:val="superscript"/>
        </w:rPr>
        <w:t>th</w:t>
      </w:r>
      <w:r w:rsidRPr="003A6C7E">
        <w:rPr>
          <w:rFonts w:ascii="Arial" w:hAnsi="Arial" w:cs="Arial"/>
          <w:sz w:val="22"/>
          <w:szCs w:val="22"/>
        </w:rPr>
        <w:t xml:space="preserve"> %</w:t>
      </w:r>
      <w:proofErr w:type="spellStart"/>
      <w:r w:rsidRPr="003A6C7E">
        <w:rPr>
          <w:rFonts w:ascii="Arial" w:hAnsi="Arial" w:cs="Arial"/>
          <w:sz w:val="22"/>
          <w:szCs w:val="22"/>
        </w:rPr>
        <w:t>ile</w:t>
      </w:r>
      <w:proofErr w:type="spellEnd"/>
      <w:r w:rsidRPr="003A6C7E">
        <w:rPr>
          <w:rFonts w:ascii="Arial" w:hAnsi="Arial" w:cs="Arial"/>
          <w:sz w:val="22"/>
          <w:szCs w:val="22"/>
        </w:rPr>
        <w:t xml:space="preserve">) allowed for exclusion of 84% of all </w:t>
      </w:r>
      <w:r w:rsidRPr="003A6C7E">
        <w:rPr>
          <w:rFonts w:ascii="Arial" w:hAnsi="Arial" w:cs="Arial"/>
          <w:i/>
          <w:sz w:val="22"/>
          <w:szCs w:val="22"/>
        </w:rPr>
        <w:t>KRAS, NRAS</w:t>
      </w:r>
      <w:r w:rsidRPr="003A6C7E">
        <w:rPr>
          <w:rFonts w:ascii="Arial" w:hAnsi="Arial" w:cs="Arial"/>
          <w:sz w:val="22"/>
          <w:szCs w:val="22"/>
        </w:rPr>
        <w:t xml:space="preserve">, and </w:t>
      </w:r>
      <w:r w:rsidRPr="003A6C7E">
        <w:rPr>
          <w:rFonts w:ascii="Arial" w:hAnsi="Arial" w:cs="Arial"/>
          <w:i/>
          <w:sz w:val="22"/>
          <w:szCs w:val="22"/>
        </w:rPr>
        <w:t>BRAF</w:t>
      </w:r>
      <w:r w:rsidRPr="003A6C7E">
        <w:rPr>
          <w:rFonts w:ascii="Arial" w:hAnsi="Arial" w:cs="Arial"/>
          <w:sz w:val="22"/>
          <w:szCs w:val="22"/>
        </w:rPr>
        <w:t xml:space="preserve"> driver mutations in the historical cohort. Dark blue dots - </w:t>
      </w:r>
      <w:r w:rsidRPr="003A6C7E">
        <w:rPr>
          <w:rFonts w:ascii="Arial" w:hAnsi="Arial" w:cs="Arial"/>
          <w:i/>
          <w:sz w:val="22"/>
          <w:szCs w:val="22"/>
        </w:rPr>
        <w:t>ERBB2</w:t>
      </w:r>
      <w:r w:rsidRPr="003A6C7E">
        <w:rPr>
          <w:rFonts w:ascii="Arial" w:hAnsi="Arial" w:cs="Arial"/>
          <w:sz w:val="22"/>
          <w:szCs w:val="22"/>
        </w:rPr>
        <w:t xml:space="preserve"> amplified and clonal RAS/RAF mutation positive; Light blue dots </w:t>
      </w:r>
      <w:r w:rsidRPr="003A6C7E">
        <w:rPr>
          <w:rFonts w:ascii="Arial" w:hAnsi="Arial" w:cs="Arial"/>
          <w:i/>
          <w:sz w:val="22"/>
          <w:szCs w:val="22"/>
        </w:rPr>
        <w:t>ERBB2</w:t>
      </w:r>
      <w:r w:rsidRPr="003A6C7E">
        <w:rPr>
          <w:rFonts w:ascii="Arial" w:hAnsi="Arial" w:cs="Arial"/>
          <w:sz w:val="22"/>
          <w:szCs w:val="22"/>
        </w:rPr>
        <w:t xml:space="preserve"> amplified and sub-clonal RAS/RAF mutation positive; Red dots – </w:t>
      </w:r>
      <w:r w:rsidRPr="003A6C7E">
        <w:rPr>
          <w:rFonts w:ascii="Arial" w:hAnsi="Arial" w:cs="Arial"/>
          <w:i/>
          <w:sz w:val="22"/>
          <w:szCs w:val="22"/>
        </w:rPr>
        <w:t>ERBB2</w:t>
      </w:r>
      <w:r w:rsidRPr="003A6C7E">
        <w:rPr>
          <w:rFonts w:ascii="Arial" w:hAnsi="Arial" w:cs="Arial"/>
          <w:sz w:val="22"/>
          <w:szCs w:val="22"/>
        </w:rPr>
        <w:t xml:space="preserve"> amplified and RAS/RAF mutation not detected.</w:t>
      </w:r>
    </w:p>
    <w:p w14:paraId="55B6A1DD" w14:textId="77777777" w:rsidR="000A0BA2" w:rsidRDefault="000A0BA2">
      <w:bookmarkStart w:id="0" w:name="_GoBack"/>
      <w:bookmarkEnd w:id="0"/>
    </w:p>
    <w:sectPr w:rsidR="000A0BA2" w:rsidSect="00F46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48"/>
    <w:rsid w:val="00042610"/>
    <w:rsid w:val="00043CB6"/>
    <w:rsid w:val="000517D6"/>
    <w:rsid w:val="000A0BA2"/>
    <w:rsid w:val="00144A9C"/>
    <w:rsid w:val="00217FE0"/>
    <w:rsid w:val="002837CF"/>
    <w:rsid w:val="002B57A1"/>
    <w:rsid w:val="00351760"/>
    <w:rsid w:val="003B0B7A"/>
    <w:rsid w:val="00421CF9"/>
    <w:rsid w:val="00440899"/>
    <w:rsid w:val="00455BAD"/>
    <w:rsid w:val="0046350A"/>
    <w:rsid w:val="00481DA2"/>
    <w:rsid w:val="004A2101"/>
    <w:rsid w:val="004B3FD8"/>
    <w:rsid w:val="00590B14"/>
    <w:rsid w:val="00595F42"/>
    <w:rsid w:val="005C3BAF"/>
    <w:rsid w:val="005C5C1A"/>
    <w:rsid w:val="005E1343"/>
    <w:rsid w:val="0066489C"/>
    <w:rsid w:val="00673EF8"/>
    <w:rsid w:val="00686FD3"/>
    <w:rsid w:val="006F2693"/>
    <w:rsid w:val="007507C1"/>
    <w:rsid w:val="007702C1"/>
    <w:rsid w:val="0091083E"/>
    <w:rsid w:val="00911AD2"/>
    <w:rsid w:val="00953EFC"/>
    <w:rsid w:val="009B4750"/>
    <w:rsid w:val="00A13C96"/>
    <w:rsid w:val="00A534C6"/>
    <w:rsid w:val="00A97787"/>
    <w:rsid w:val="00B8372D"/>
    <w:rsid w:val="00BD5668"/>
    <w:rsid w:val="00C04585"/>
    <w:rsid w:val="00C830A6"/>
    <w:rsid w:val="00CE375D"/>
    <w:rsid w:val="00D05E24"/>
    <w:rsid w:val="00D0615E"/>
    <w:rsid w:val="00E0717C"/>
    <w:rsid w:val="00E64F48"/>
    <w:rsid w:val="00E93011"/>
    <w:rsid w:val="00E950B7"/>
    <w:rsid w:val="00F4689B"/>
    <w:rsid w:val="00F71F3C"/>
    <w:rsid w:val="00FB56C5"/>
    <w:rsid w:val="00FD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857669"/>
  <w14:defaultImageDpi w14:val="32767"/>
  <w15:chartTrackingRefBased/>
  <w15:docId w15:val="{201E0576-BE1F-0F4A-BABD-6149D74F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F48"/>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Nagy</dc:creator>
  <cp:keywords/>
  <dc:description/>
  <cp:lastModifiedBy>Becky Nagy</cp:lastModifiedBy>
  <cp:revision>1</cp:revision>
  <dcterms:created xsi:type="dcterms:W3CDTF">2019-02-04T13:33:00Z</dcterms:created>
  <dcterms:modified xsi:type="dcterms:W3CDTF">2019-02-04T13:33:00Z</dcterms:modified>
</cp:coreProperties>
</file>