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DB" w:rsidRPr="00F27B2D" w:rsidRDefault="00676ADB" w:rsidP="00676ADB">
      <w:pPr>
        <w:pStyle w:val="Heading1"/>
      </w:pPr>
      <w:r w:rsidRPr="00F27B2D">
        <w:t xml:space="preserve">Supplementary </w:t>
      </w:r>
      <w:r>
        <w:t>Methods</w:t>
      </w:r>
    </w:p>
    <w:p w:rsidR="00676ADB" w:rsidRPr="00A57DAF" w:rsidRDefault="00676ADB" w:rsidP="00676ADB">
      <w:pPr>
        <w:pStyle w:val="Heading2"/>
        <w:rPr>
          <w:i w:val="0"/>
        </w:rPr>
      </w:pPr>
      <w:r w:rsidRPr="00A57DAF">
        <w:rPr>
          <w:i w:val="0"/>
        </w:rPr>
        <w:t>Escalation with overdose control method used to guide dose escalation decisions</w:t>
      </w:r>
    </w:p>
    <w:p w:rsidR="00676ADB" w:rsidRPr="00F27B2D" w:rsidRDefault="00676ADB" w:rsidP="00676ADB">
      <w:r w:rsidRPr="00F27B2D">
        <w:t xml:space="preserve">After the patients of each cohort completed the observation period (28 days or up to 42 days in case of treatment delays), the logistic regression model </w:t>
      </w:r>
      <w:proofErr w:type="gramStart"/>
      <w:r w:rsidRPr="00F27B2D">
        <w:t>was updated</w:t>
      </w:r>
      <w:proofErr w:type="gramEnd"/>
      <w:r w:rsidRPr="00F27B2D">
        <w:t xml:space="preserve"> with the treatment outcome (i.e., the occurrence of a </w:t>
      </w:r>
      <w:r>
        <w:t>dose-limiting toxicity</w:t>
      </w:r>
      <w:r w:rsidRPr="00F27B2D">
        <w:t xml:space="preserve">) and a new </w:t>
      </w:r>
      <w:r>
        <w:t>maximum tolerated dose (</w:t>
      </w:r>
      <w:r w:rsidRPr="00F27B2D">
        <w:t>MTD</w:t>
      </w:r>
      <w:r>
        <w:t>)</w:t>
      </w:r>
      <w:r w:rsidRPr="00F27B2D">
        <w:t xml:space="preserve"> estimate was derived. The maximum allowable dose increments were 100%, 67%, and 50% increases from doses of &lt;12 mg/kg, ≥12 to &lt;20 mg/kg, and ≥20 mg/kg, respectively. Dose escalation was stopped if six or more patients were treated at the doses within ±</w:t>
      </w:r>
      <w:proofErr w:type="gramStart"/>
      <w:r w:rsidRPr="00F27B2D">
        <w:t>10%</w:t>
      </w:r>
      <w:proofErr w:type="gramEnd"/>
      <w:r w:rsidRPr="00F27B2D">
        <w:t xml:space="preserve"> of the estimated MTD and the pre-specified precision of the MTD estimate (defined as the lower limit of the 90% credible interval being larger than 50% of the current MTD estimate) was reached. If 12 or more patients </w:t>
      </w:r>
      <w:proofErr w:type="gramStart"/>
      <w:r w:rsidRPr="00F27B2D">
        <w:t>were studied</w:t>
      </w:r>
      <w:proofErr w:type="gramEnd"/>
      <w:r w:rsidRPr="00F27B2D">
        <w:t xml:space="preserve"> within 10% of MTD and the pre-specified precision was not yet reached, escalation was stopped without reaching precision.</w:t>
      </w:r>
    </w:p>
    <w:p w:rsidR="00676ADB" w:rsidRPr="00A57DAF" w:rsidRDefault="00676ADB" w:rsidP="00676ADB">
      <w:pPr>
        <w:pStyle w:val="Heading2"/>
        <w:rPr>
          <w:i w:val="0"/>
        </w:rPr>
      </w:pPr>
      <w:r w:rsidRPr="00A57DAF">
        <w:rPr>
          <w:i w:val="0"/>
        </w:rPr>
        <w:t>Assessment of PK parameters</w:t>
      </w:r>
    </w:p>
    <w:p w:rsidR="00676ADB" w:rsidRPr="00F27B2D" w:rsidRDefault="00676ADB" w:rsidP="00676ADB">
      <w:pPr>
        <w:rPr>
          <w:lang w:eastAsia="ja-JP"/>
        </w:rPr>
      </w:pPr>
      <w:r w:rsidRPr="00F27B2D">
        <w:rPr>
          <w:lang w:eastAsia="ja-JP"/>
        </w:rPr>
        <w:t xml:space="preserve">To evaluate the accumulation and dose proportionality, a linear mixed effect model </w:t>
      </w:r>
      <w:proofErr w:type="gramStart"/>
      <w:r w:rsidRPr="00F27B2D">
        <w:rPr>
          <w:lang w:eastAsia="ja-JP"/>
        </w:rPr>
        <w:t>was applied</w:t>
      </w:r>
      <w:proofErr w:type="gramEnd"/>
      <w:r w:rsidRPr="00F27B2D">
        <w:rPr>
          <w:lang w:eastAsia="ja-JP"/>
        </w:rPr>
        <w:t xml:space="preserve"> to the logarithmically transformed and dose-normalized values of AUC</w:t>
      </w:r>
      <w:r w:rsidRPr="00F27B2D">
        <w:rPr>
          <w:vertAlign w:val="subscript"/>
          <w:lang w:eastAsia="ja-JP"/>
        </w:rPr>
        <w:t>0</w:t>
      </w:r>
      <w:r w:rsidRPr="00F27B2D">
        <w:rPr>
          <w:vertAlign w:val="subscript"/>
          <w:lang w:eastAsia="ja-JP"/>
        </w:rPr>
        <w:noBreakHyphen/>
        <w:t>t</w:t>
      </w:r>
      <w:r w:rsidRPr="00F27B2D">
        <w:rPr>
          <w:lang w:eastAsia="ja-JP"/>
        </w:rPr>
        <w:t xml:space="preserve">, </w:t>
      </w:r>
      <w:proofErr w:type="spellStart"/>
      <w:r w:rsidRPr="00F27B2D">
        <w:rPr>
          <w:lang w:eastAsia="ja-JP"/>
        </w:rPr>
        <w:t>C</w:t>
      </w:r>
      <w:r w:rsidRPr="00F27B2D">
        <w:rPr>
          <w:vertAlign w:val="subscript"/>
          <w:lang w:eastAsia="ja-JP"/>
        </w:rPr>
        <w:t>min</w:t>
      </w:r>
      <w:proofErr w:type="spellEnd"/>
      <w:r w:rsidRPr="00F27B2D">
        <w:rPr>
          <w:lang w:eastAsia="ja-JP"/>
        </w:rPr>
        <w:t xml:space="preserve">, and </w:t>
      </w:r>
      <w:proofErr w:type="spellStart"/>
      <w:r w:rsidRPr="00F27B2D">
        <w:rPr>
          <w:lang w:eastAsia="ja-JP"/>
        </w:rPr>
        <w:t>C</w:t>
      </w:r>
      <w:r w:rsidRPr="00F27B2D">
        <w:rPr>
          <w:vertAlign w:val="subscript"/>
          <w:lang w:eastAsia="ja-JP"/>
        </w:rPr>
        <w:t>max</w:t>
      </w:r>
      <w:proofErr w:type="spellEnd"/>
      <w:r w:rsidRPr="00F27B2D">
        <w:rPr>
          <w:lang w:eastAsia="ja-JP"/>
        </w:rPr>
        <w:t xml:space="preserve"> separately for each regimen. Difference in variance </w:t>
      </w:r>
      <w:proofErr w:type="gramStart"/>
      <w:r w:rsidRPr="00F27B2D">
        <w:rPr>
          <w:lang w:eastAsia="ja-JP"/>
        </w:rPr>
        <w:t>was allowed</w:t>
      </w:r>
      <w:proofErr w:type="gramEnd"/>
      <w:r w:rsidRPr="00F27B2D">
        <w:rPr>
          <w:lang w:eastAsia="ja-JP"/>
        </w:rPr>
        <w:t xml:space="preserve"> across the dose groups. Patient </w:t>
      </w:r>
      <w:proofErr w:type="gramStart"/>
      <w:r w:rsidRPr="00F27B2D">
        <w:rPr>
          <w:lang w:eastAsia="ja-JP"/>
        </w:rPr>
        <w:t>was fitted</w:t>
      </w:r>
      <w:proofErr w:type="gramEnd"/>
      <w:r w:rsidRPr="00F27B2D">
        <w:rPr>
          <w:lang w:eastAsia="ja-JP"/>
        </w:rPr>
        <w:t xml:space="preserve"> as a random effect in the model, dose, time, and their interaction as fixed effects. AUC</w:t>
      </w:r>
      <w:r w:rsidRPr="00F27B2D">
        <w:rPr>
          <w:vertAlign w:val="subscript"/>
          <w:lang w:eastAsia="ja-JP"/>
        </w:rPr>
        <w:t>0</w:t>
      </w:r>
      <w:r w:rsidRPr="00F27B2D">
        <w:rPr>
          <w:vertAlign w:val="subscript"/>
          <w:lang w:eastAsia="ja-JP"/>
        </w:rPr>
        <w:noBreakHyphen/>
        <w:t>336h</w:t>
      </w:r>
      <w:r w:rsidRPr="00F27B2D">
        <w:rPr>
          <w:lang w:eastAsia="ja-JP"/>
        </w:rPr>
        <w:t xml:space="preserve"> </w:t>
      </w:r>
      <w:proofErr w:type="gramStart"/>
      <w:r w:rsidRPr="00F27B2D">
        <w:rPr>
          <w:lang w:eastAsia="ja-JP"/>
        </w:rPr>
        <w:t>was evaluated</w:t>
      </w:r>
      <w:proofErr w:type="gramEnd"/>
      <w:r w:rsidRPr="00F27B2D">
        <w:rPr>
          <w:lang w:eastAsia="ja-JP"/>
        </w:rPr>
        <w:t xml:space="preserve"> for the bi-weekly regimen and </w:t>
      </w:r>
      <w:r w:rsidRPr="00F27B2D">
        <w:rPr>
          <w:lang w:eastAsia="ja-JP"/>
        </w:rPr>
        <w:lastRenderedPageBreak/>
        <w:t>AUC</w:t>
      </w:r>
      <w:r w:rsidRPr="00F27B2D">
        <w:rPr>
          <w:vertAlign w:val="subscript"/>
          <w:lang w:eastAsia="ja-JP"/>
        </w:rPr>
        <w:t>0</w:t>
      </w:r>
      <w:r w:rsidRPr="00F27B2D">
        <w:rPr>
          <w:vertAlign w:val="subscript"/>
          <w:lang w:eastAsia="ja-JP"/>
        </w:rPr>
        <w:noBreakHyphen/>
        <w:t>168h</w:t>
      </w:r>
      <w:r w:rsidRPr="00F27B2D">
        <w:rPr>
          <w:lang w:eastAsia="ja-JP"/>
        </w:rPr>
        <w:t xml:space="preserve"> for the weekly regimen. The dose of 3 mg/kg, for which data from only one patient were available, </w:t>
      </w:r>
      <w:proofErr w:type="gramStart"/>
      <w:r w:rsidRPr="00F27B2D">
        <w:rPr>
          <w:lang w:eastAsia="ja-JP"/>
        </w:rPr>
        <w:t>was excluded</w:t>
      </w:r>
      <w:proofErr w:type="gramEnd"/>
      <w:r w:rsidRPr="00F27B2D">
        <w:rPr>
          <w:lang w:eastAsia="ja-JP"/>
        </w:rPr>
        <w:t xml:space="preserve"> from the analysis.</w:t>
      </w:r>
    </w:p>
    <w:p w:rsidR="00676ADB" w:rsidRPr="00F27B2D" w:rsidRDefault="00676ADB" w:rsidP="00676ADB">
      <w:pPr>
        <w:rPr>
          <w:rFonts w:eastAsia="MS Mincho"/>
          <w:lang w:eastAsia="ja-JP"/>
        </w:rPr>
      </w:pPr>
      <w:r w:rsidRPr="00F27B2D">
        <w:rPr>
          <w:rFonts w:eastAsia="MS Mincho"/>
          <w:lang w:eastAsia="ja-JP"/>
        </w:rPr>
        <w:t xml:space="preserve">The estimates of the relative change from Day 1 of Cycle 1 to Cycle 2 and to Cycle 4 as well as the estimates of the geometric means at each scheduled time </w:t>
      </w:r>
      <w:proofErr w:type="gramStart"/>
      <w:r w:rsidRPr="00F27B2D">
        <w:rPr>
          <w:rFonts w:eastAsia="MS Mincho"/>
          <w:lang w:eastAsia="ja-JP"/>
        </w:rPr>
        <w:t>were derived and summarized</w:t>
      </w:r>
      <w:proofErr w:type="gramEnd"/>
      <w:r w:rsidRPr="00F27B2D">
        <w:rPr>
          <w:rFonts w:eastAsia="MS Mincho"/>
          <w:lang w:eastAsia="ja-JP"/>
        </w:rPr>
        <w:t>. Within- and between-patient coefficients of variation (</w:t>
      </w:r>
      <w:proofErr w:type="gramStart"/>
      <w:r w:rsidRPr="00F27B2D">
        <w:rPr>
          <w:rFonts w:eastAsia="MS Mincho"/>
          <w:lang w:eastAsia="ja-JP"/>
        </w:rPr>
        <w:t>CV%</w:t>
      </w:r>
      <w:proofErr w:type="gramEnd"/>
      <w:r w:rsidRPr="00F27B2D">
        <w:rPr>
          <w:rFonts w:eastAsia="MS Mincho"/>
          <w:lang w:eastAsia="ja-JP"/>
        </w:rPr>
        <w:t xml:space="preserve">) were derived for each dose and regimen. The estimated geometric means of each dose </w:t>
      </w:r>
      <w:proofErr w:type="gramStart"/>
      <w:r w:rsidRPr="00F27B2D">
        <w:rPr>
          <w:rFonts w:eastAsia="MS Mincho"/>
          <w:lang w:eastAsia="ja-JP"/>
        </w:rPr>
        <w:t>were compared</w:t>
      </w:r>
      <w:proofErr w:type="gramEnd"/>
      <w:r w:rsidRPr="00F27B2D">
        <w:rPr>
          <w:rFonts w:eastAsia="MS Mincho"/>
          <w:lang w:eastAsia="ja-JP"/>
        </w:rPr>
        <w:t xml:space="preserve"> with the lower reference dose on Day 1 of Cycle 1 and Cycle 4 within each regimen. Dose levels of 6 mg/kg and 12 mg/kg </w:t>
      </w:r>
      <w:proofErr w:type="gramStart"/>
      <w:r w:rsidRPr="00F27B2D">
        <w:rPr>
          <w:rFonts w:eastAsia="MS Mincho"/>
          <w:lang w:eastAsia="ja-JP"/>
        </w:rPr>
        <w:t>were selected</w:t>
      </w:r>
      <w:proofErr w:type="gramEnd"/>
      <w:r w:rsidRPr="00F27B2D">
        <w:rPr>
          <w:rFonts w:eastAsia="MS Mincho"/>
          <w:lang w:eastAsia="ja-JP"/>
        </w:rPr>
        <w:t xml:space="preserve"> as the reference doses for the </w:t>
      </w:r>
      <w:r>
        <w:rPr>
          <w:rFonts w:eastAsia="MS Mincho"/>
          <w:lang w:eastAsia="ja-JP"/>
        </w:rPr>
        <w:t xml:space="preserve">bi-weekly </w:t>
      </w:r>
      <w:r w:rsidRPr="00F27B2D">
        <w:rPr>
          <w:rFonts w:eastAsia="MS Mincho"/>
          <w:lang w:eastAsia="ja-JP"/>
        </w:rPr>
        <w:t xml:space="preserve">and the </w:t>
      </w:r>
      <w:r>
        <w:rPr>
          <w:rFonts w:eastAsia="MS Mincho"/>
          <w:lang w:eastAsia="ja-JP"/>
        </w:rPr>
        <w:t>once weekly</w:t>
      </w:r>
      <w:r w:rsidRPr="00F27B2D">
        <w:rPr>
          <w:rFonts w:eastAsia="MS Mincho"/>
          <w:lang w:eastAsia="ja-JP"/>
        </w:rPr>
        <w:t xml:space="preserve"> regimen, respectively. Dose proportionality </w:t>
      </w:r>
      <w:proofErr w:type="gramStart"/>
      <w:r w:rsidRPr="00F27B2D">
        <w:rPr>
          <w:rFonts w:eastAsia="MS Mincho"/>
          <w:lang w:eastAsia="ja-JP"/>
        </w:rPr>
        <w:t>was concluded</w:t>
      </w:r>
      <w:proofErr w:type="gramEnd"/>
      <w:r w:rsidRPr="00F27B2D">
        <w:rPr>
          <w:rFonts w:eastAsia="MS Mincho"/>
          <w:lang w:eastAsia="ja-JP"/>
        </w:rPr>
        <w:t xml:space="preserve"> if the 90% confidence intervals for dose-normalized parameters were contained in the 80–125% range of the reference dose.</w:t>
      </w:r>
    </w:p>
    <w:p w:rsidR="00676ADB" w:rsidRPr="00A57DAF" w:rsidRDefault="00676ADB" w:rsidP="00676ADB">
      <w:pPr>
        <w:pStyle w:val="Heading2"/>
        <w:rPr>
          <w:i w:val="0"/>
        </w:rPr>
      </w:pPr>
      <w:r w:rsidRPr="00A57DAF">
        <w:rPr>
          <w:i w:val="0"/>
        </w:rPr>
        <w:t>Measurement of free and total VEGF-A and Ang-2</w:t>
      </w:r>
    </w:p>
    <w:p w:rsidR="00676ADB" w:rsidRPr="00F27B2D" w:rsidRDefault="00676ADB" w:rsidP="00676ADB">
      <w:r w:rsidRPr="00F27B2D">
        <w:rPr>
          <w:bCs/>
        </w:rPr>
        <w:t>Total VEGF-</w:t>
      </w:r>
      <w:proofErr w:type="gramStart"/>
      <w:r w:rsidRPr="00F27B2D">
        <w:rPr>
          <w:bCs/>
        </w:rPr>
        <w:t>A</w:t>
      </w:r>
      <w:r w:rsidRPr="00F27B2D">
        <w:rPr>
          <w:b/>
          <w:bCs/>
        </w:rPr>
        <w:t xml:space="preserve"> </w:t>
      </w:r>
      <w:r w:rsidRPr="00F27B2D">
        <w:t>was</w:t>
      </w:r>
      <w:proofErr w:type="gramEnd"/>
      <w:r w:rsidRPr="00F27B2D">
        <w:t xml:space="preserve"> analyzed using an </w:t>
      </w:r>
      <w:proofErr w:type="spellStart"/>
      <w:r w:rsidRPr="00F27B2D">
        <w:t>Elecsys</w:t>
      </w:r>
      <w:proofErr w:type="spellEnd"/>
      <w:r w:rsidRPr="00F27B2D">
        <w:rPr>
          <w:vertAlign w:val="superscript"/>
        </w:rPr>
        <w:t>®</w:t>
      </w:r>
      <w:r w:rsidRPr="00F27B2D">
        <w:t xml:space="preserve"> assay (Roche Professional Diagnostics) comprising a </w:t>
      </w:r>
      <w:proofErr w:type="spellStart"/>
      <w:r w:rsidRPr="00F27B2D">
        <w:t>biotinylated</w:t>
      </w:r>
      <w:proofErr w:type="spellEnd"/>
      <w:r w:rsidRPr="00F27B2D">
        <w:t xml:space="preserve"> </w:t>
      </w:r>
      <w:proofErr w:type="spellStart"/>
      <w:r w:rsidRPr="00F27B2D">
        <w:t>murine</w:t>
      </w:r>
      <w:proofErr w:type="spellEnd"/>
      <w:r w:rsidRPr="00F27B2D">
        <w:t xml:space="preserve"> anti-VEGF-A capture antibody (clone 3C5) and a </w:t>
      </w:r>
      <w:proofErr w:type="spellStart"/>
      <w:r w:rsidRPr="00F27B2D">
        <w:t>ruthenylated</w:t>
      </w:r>
      <w:proofErr w:type="spellEnd"/>
      <w:r w:rsidRPr="00F27B2D">
        <w:t xml:space="preserve"> </w:t>
      </w:r>
      <w:proofErr w:type="spellStart"/>
      <w:r w:rsidRPr="00F27B2D">
        <w:t>murine</w:t>
      </w:r>
      <w:proofErr w:type="spellEnd"/>
      <w:r w:rsidRPr="00F27B2D">
        <w:t xml:space="preserve"> anti-VEGF-A detection antibody (clone A4.6.1). Total Ang-2 levels were analyzed using a sandwich-ELISA based test.</w:t>
      </w:r>
      <w:r w:rsidRPr="00F27B2D">
        <w:rPr>
          <w:vertAlign w:val="superscript"/>
        </w:rPr>
        <w:t>1</w:t>
      </w:r>
      <w:r w:rsidRPr="00F27B2D">
        <w:t xml:space="preserve"> Free VEGF-A and Ang-2 were measured using </w:t>
      </w:r>
      <w:proofErr w:type="spellStart"/>
      <w:r w:rsidRPr="00F27B2D">
        <w:t>Quantikine</w:t>
      </w:r>
      <w:proofErr w:type="spellEnd"/>
      <w:r w:rsidRPr="00F27B2D">
        <w:t xml:space="preserve"> ELISA Kits (R&amp;D Systems Europe, Ltd., Abingdon, UK, </w:t>
      </w:r>
      <w:proofErr w:type="gramStart"/>
      <w:r w:rsidRPr="00F27B2D">
        <w:t>Cat</w:t>
      </w:r>
      <w:proofErr w:type="gramEnd"/>
      <w:r w:rsidRPr="00F27B2D">
        <w:t xml:space="preserve">. No. </w:t>
      </w:r>
      <w:proofErr w:type="gramStart"/>
      <w:r w:rsidRPr="00F27B2D">
        <w:t>DVE00 and DANG20, respectively).</w:t>
      </w:r>
      <w:proofErr w:type="gramEnd"/>
      <w:r w:rsidRPr="00F27B2D">
        <w:t xml:space="preserve"> Drug-bound Ang-2 </w:t>
      </w:r>
      <w:proofErr w:type="gramStart"/>
      <w:r w:rsidRPr="00F27B2D">
        <w:t>was removed</w:t>
      </w:r>
      <w:proofErr w:type="gramEnd"/>
      <w:r w:rsidRPr="00F27B2D">
        <w:t xml:space="preserve"> as described previously.</w:t>
      </w:r>
      <w:r w:rsidRPr="00F27B2D">
        <w:rPr>
          <w:vertAlign w:val="superscript"/>
        </w:rPr>
        <w:t>2</w:t>
      </w:r>
    </w:p>
    <w:p w:rsidR="00676ADB" w:rsidRPr="00A57DAF" w:rsidRDefault="00676ADB" w:rsidP="00676ADB">
      <w:pPr>
        <w:pStyle w:val="Heading2"/>
        <w:rPr>
          <w:i w:val="0"/>
        </w:rPr>
      </w:pPr>
      <w:r w:rsidRPr="00A57DAF">
        <w:rPr>
          <w:i w:val="0"/>
        </w:rPr>
        <w:t>References</w:t>
      </w:r>
    </w:p>
    <w:p w:rsidR="00676ADB" w:rsidRPr="00F27B2D" w:rsidRDefault="00676ADB" w:rsidP="00676ADB">
      <w:pPr>
        <w:ind w:left="284" w:hanging="284"/>
      </w:pPr>
      <w:r w:rsidRPr="00F27B2D">
        <w:t>1.</w:t>
      </w:r>
      <w:r w:rsidRPr="00F27B2D">
        <w:tab/>
      </w:r>
      <w:proofErr w:type="spellStart"/>
      <w:r w:rsidRPr="00F27B2D">
        <w:t>Babitzki</w:t>
      </w:r>
      <w:proofErr w:type="spellEnd"/>
      <w:r w:rsidRPr="00F27B2D">
        <w:t xml:space="preserve"> G, Hidalgo M</w:t>
      </w:r>
      <w:r>
        <w:t>,</w:t>
      </w:r>
      <w:r w:rsidRPr="00F27B2D">
        <w:t xml:space="preserve"> </w:t>
      </w:r>
      <w:proofErr w:type="spellStart"/>
      <w:r>
        <w:t>Massard</w:t>
      </w:r>
      <w:proofErr w:type="spellEnd"/>
      <w:r>
        <w:t xml:space="preserve"> C, </w:t>
      </w:r>
      <w:r w:rsidRPr="00F27B2D">
        <w:t xml:space="preserve">Martinez Garcia M, </w:t>
      </w:r>
      <w:r>
        <w:t xml:space="preserve">Le Tourneau C, </w:t>
      </w:r>
      <w:proofErr w:type="spellStart"/>
      <w:r>
        <w:t>Boni</w:t>
      </w:r>
      <w:proofErr w:type="spellEnd"/>
      <w:r>
        <w:t xml:space="preserve"> V, </w:t>
      </w:r>
      <w:r w:rsidRPr="00F27B2D">
        <w:t xml:space="preserve">et al. Biomarkers related to Vanucizumab single agent therapy in serial plasma, tumor </w:t>
      </w:r>
      <w:r w:rsidRPr="00F27B2D">
        <w:lastRenderedPageBreak/>
        <w:t xml:space="preserve">tissue and skin wound-healing biopsies of patients with advanced solid tumors. Poster presented at the 2015 ESMO Annual Meeting, Vienna, Austria, </w:t>
      </w:r>
      <w:proofErr w:type="gramStart"/>
      <w:r w:rsidRPr="00F27B2D">
        <w:t>September</w:t>
      </w:r>
      <w:proofErr w:type="gramEnd"/>
      <w:r w:rsidRPr="00F27B2D">
        <w:t xml:space="preserve"> 25-29, 2015</w:t>
      </w:r>
    </w:p>
    <w:p w:rsidR="00676ADB" w:rsidRPr="00F27B2D" w:rsidRDefault="00676ADB" w:rsidP="00676ADB">
      <w:pPr>
        <w:ind w:left="284" w:hanging="284"/>
      </w:pPr>
      <w:r w:rsidRPr="00F27B2D">
        <w:t>2.</w:t>
      </w:r>
      <w:r w:rsidRPr="00F27B2D">
        <w:tab/>
      </w:r>
      <w:proofErr w:type="spellStart"/>
      <w:r w:rsidRPr="00F27B2D">
        <w:t>Stubenrauch</w:t>
      </w:r>
      <w:proofErr w:type="spellEnd"/>
      <w:r w:rsidRPr="00F27B2D">
        <w:t xml:space="preserve"> K, </w:t>
      </w:r>
      <w:proofErr w:type="spellStart"/>
      <w:r w:rsidRPr="00F27B2D">
        <w:t>Wessels</w:t>
      </w:r>
      <w:proofErr w:type="spellEnd"/>
      <w:r w:rsidRPr="00F27B2D">
        <w:t xml:space="preserve"> U, </w:t>
      </w:r>
      <w:proofErr w:type="spellStart"/>
      <w:r w:rsidRPr="00F27B2D">
        <w:t>Essig</w:t>
      </w:r>
      <w:proofErr w:type="spellEnd"/>
      <w:r w:rsidRPr="00F27B2D">
        <w:t xml:space="preserve"> U, </w:t>
      </w:r>
      <w:r>
        <w:t xml:space="preserve">Vogel R, </w:t>
      </w:r>
      <w:proofErr w:type="spellStart"/>
      <w:r>
        <w:t>Waltenberger</w:t>
      </w:r>
      <w:proofErr w:type="spellEnd"/>
      <w:r>
        <w:t xml:space="preserve"> H, </w:t>
      </w:r>
      <w:proofErr w:type="spellStart"/>
      <w:r>
        <w:t>Hanbauer</w:t>
      </w:r>
      <w:proofErr w:type="spellEnd"/>
      <w:r>
        <w:t xml:space="preserve"> A, </w:t>
      </w:r>
      <w:r w:rsidRPr="00F27B2D">
        <w:t xml:space="preserve">et al: An </w:t>
      </w:r>
      <w:proofErr w:type="spellStart"/>
      <w:r w:rsidRPr="00F27B2D">
        <w:t>immunodepletion</w:t>
      </w:r>
      <w:proofErr w:type="spellEnd"/>
      <w:r w:rsidRPr="00F27B2D">
        <w:t xml:space="preserve"> procedure advances free angiopoietin-2 determination in human plasma samples during anti-cancer therapy with bispecific anti-Ang2/VEGF </w:t>
      </w:r>
      <w:proofErr w:type="spellStart"/>
      <w:r w:rsidRPr="00F27B2D">
        <w:t>CrossMab</w:t>
      </w:r>
      <w:proofErr w:type="spellEnd"/>
      <w:r w:rsidRPr="00F27B2D">
        <w:t xml:space="preserve">. J </w:t>
      </w:r>
      <w:proofErr w:type="spellStart"/>
      <w:r w:rsidRPr="00F27B2D">
        <w:t>Pharm</w:t>
      </w:r>
      <w:proofErr w:type="spellEnd"/>
      <w:r w:rsidRPr="00F27B2D">
        <w:t xml:space="preserve"> Biomed Anal </w:t>
      </w:r>
      <w:r>
        <w:t xml:space="preserve">2015; </w:t>
      </w:r>
      <w:r w:rsidRPr="00F27B2D">
        <w:t>102:459-467</w:t>
      </w:r>
      <w:r>
        <w:t>.</w:t>
      </w:r>
    </w:p>
    <w:p w:rsidR="00676ADB" w:rsidRPr="00F27B2D" w:rsidRDefault="00676ADB" w:rsidP="00676ADB">
      <w:r w:rsidRPr="00F27B2D">
        <w:br w:type="page"/>
      </w:r>
    </w:p>
    <w:p w:rsidR="00676ADB" w:rsidRPr="00A57DAF" w:rsidRDefault="00676ADB" w:rsidP="00676ADB">
      <w:pPr>
        <w:spacing w:before="0" w:after="120"/>
      </w:pPr>
      <w:bookmarkStart w:id="0" w:name="_Toc362004069"/>
      <w:proofErr w:type="gramStart"/>
      <w:r>
        <w:rPr>
          <w:b/>
        </w:rPr>
        <w:lastRenderedPageBreak/>
        <w:t>Supplementary T</w:t>
      </w:r>
      <w:r w:rsidRPr="00F27B2D">
        <w:rPr>
          <w:b/>
        </w:rPr>
        <w:t xml:space="preserve">able </w:t>
      </w:r>
      <w:r w:rsidR="004C7B07">
        <w:rPr>
          <w:b/>
        </w:rPr>
        <w:t>S</w:t>
      </w:r>
      <w:r w:rsidRPr="00F27B2D">
        <w:rPr>
          <w:b/>
        </w:rPr>
        <w:t>1.</w:t>
      </w:r>
      <w:proofErr w:type="gramEnd"/>
      <w:r w:rsidRPr="00F27B2D">
        <w:rPr>
          <w:b/>
        </w:rPr>
        <w:t xml:space="preserve"> </w:t>
      </w:r>
      <w:proofErr w:type="gramStart"/>
      <w:r w:rsidRPr="00A57DAF">
        <w:t>Criteria for defining dose-limiting toxicities</w:t>
      </w:r>
      <w:bookmarkEnd w:id="0"/>
      <w:r>
        <w:t>.</w:t>
      </w:r>
      <w:proofErr w:type="gramEnd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2338"/>
        <w:gridCol w:w="2924"/>
        <w:gridCol w:w="4268"/>
      </w:tblGrid>
      <w:tr w:rsidR="00676ADB" w:rsidRPr="00F27B2D" w:rsidTr="00C3252F">
        <w:trPr>
          <w:trHeight w:val="20"/>
        </w:trPr>
        <w:tc>
          <w:tcPr>
            <w:tcW w:w="1227" w:type="pct"/>
            <w:vAlign w:val="center"/>
          </w:tcPr>
          <w:p w:rsidR="00676ADB" w:rsidRPr="00F27B2D" w:rsidRDefault="00676ADB" w:rsidP="00C3252F">
            <w:pPr>
              <w:keepLines/>
              <w:tabs>
                <w:tab w:val="left" w:pos="284"/>
              </w:tabs>
              <w:spacing w:before="0" w:after="0" w:line="240" w:lineRule="auto"/>
              <w:rPr>
                <w:rFonts w:eastAsia="MS Mincho" w:cstheme="minorHAnsi"/>
                <w:b/>
                <w:sz w:val="18"/>
                <w:szCs w:val="18"/>
              </w:rPr>
            </w:pPr>
            <w:r w:rsidRPr="00F27B2D">
              <w:rPr>
                <w:rFonts w:eastAsia="MS Mincho" w:cstheme="minorHAnsi"/>
                <w:b/>
                <w:sz w:val="18"/>
                <w:szCs w:val="18"/>
              </w:rPr>
              <w:t>SOC disorder</w:t>
            </w:r>
          </w:p>
        </w:tc>
        <w:tc>
          <w:tcPr>
            <w:tcW w:w="1534" w:type="pct"/>
            <w:vAlign w:val="center"/>
          </w:tcPr>
          <w:p w:rsidR="00676ADB" w:rsidRPr="00F27B2D" w:rsidRDefault="00676ADB" w:rsidP="00C3252F">
            <w:pPr>
              <w:keepLines/>
              <w:tabs>
                <w:tab w:val="left" w:pos="284"/>
              </w:tabs>
              <w:spacing w:before="0" w:after="0" w:line="240" w:lineRule="auto"/>
              <w:jc w:val="center"/>
              <w:rPr>
                <w:rFonts w:eastAsia="MS Mincho" w:cstheme="minorHAnsi"/>
                <w:b/>
                <w:sz w:val="18"/>
                <w:szCs w:val="18"/>
              </w:rPr>
            </w:pPr>
            <w:r w:rsidRPr="00F27B2D">
              <w:rPr>
                <w:rFonts w:eastAsia="MS Mincho" w:cstheme="minorHAnsi"/>
                <w:b/>
                <w:sz w:val="18"/>
                <w:szCs w:val="18"/>
              </w:rPr>
              <w:t>CTCAE term</w:t>
            </w:r>
          </w:p>
        </w:tc>
        <w:tc>
          <w:tcPr>
            <w:tcW w:w="2239" w:type="pct"/>
            <w:vAlign w:val="center"/>
          </w:tcPr>
          <w:p w:rsidR="00676ADB" w:rsidRPr="00F27B2D" w:rsidRDefault="00676ADB" w:rsidP="00C3252F">
            <w:pPr>
              <w:keepLines/>
              <w:tabs>
                <w:tab w:val="left" w:pos="284"/>
              </w:tabs>
              <w:spacing w:before="0" w:after="0" w:line="240" w:lineRule="auto"/>
              <w:jc w:val="center"/>
              <w:rPr>
                <w:rFonts w:eastAsia="MS Mincho" w:cstheme="minorHAnsi"/>
                <w:b/>
                <w:sz w:val="18"/>
                <w:szCs w:val="18"/>
              </w:rPr>
            </w:pPr>
            <w:r w:rsidRPr="00F27B2D">
              <w:rPr>
                <w:rFonts w:eastAsia="MS Mincho" w:cstheme="minorHAnsi"/>
                <w:b/>
                <w:sz w:val="18"/>
                <w:szCs w:val="18"/>
              </w:rPr>
              <w:t>DLT criteria</w:t>
            </w:r>
          </w:p>
        </w:tc>
      </w:tr>
      <w:tr w:rsidR="00676ADB" w:rsidRPr="00F27B2D" w:rsidTr="00C3252F">
        <w:trPr>
          <w:trHeight w:val="20"/>
        </w:trPr>
        <w:tc>
          <w:tcPr>
            <w:tcW w:w="1227" w:type="pct"/>
            <w:vAlign w:val="center"/>
          </w:tcPr>
          <w:p w:rsidR="00676ADB" w:rsidRPr="00F27B2D" w:rsidRDefault="00676ADB" w:rsidP="00C3252F">
            <w:pPr>
              <w:keepLines/>
              <w:tabs>
                <w:tab w:val="left" w:pos="284"/>
              </w:tabs>
              <w:spacing w:before="0" w:after="0" w:line="240" w:lineRule="auto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General and administration</w:t>
            </w:r>
          </w:p>
          <w:p w:rsidR="00676ADB" w:rsidRPr="00F27B2D" w:rsidRDefault="00676ADB" w:rsidP="00C3252F">
            <w:pPr>
              <w:keepLines/>
              <w:tabs>
                <w:tab w:val="left" w:pos="284"/>
              </w:tabs>
              <w:spacing w:before="0" w:after="0" w:line="240" w:lineRule="auto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site conditions</w:t>
            </w:r>
          </w:p>
        </w:tc>
        <w:tc>
          <w:tcPr>
            <w:tcW w:w="1534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 xml:space="preserve">Fatigue </w:t>
            </w:r>
          </w:p>
        </w:tc>
        <w:tc>
          <w:tcPr>
            <w:tcW w:w="2239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 xml:space="preserve">G </w:t>
            </w:r>
            <w:r w:rsidRPr="00F27B2D">
              <w:rPr>
                <w:rFonts w:eastAsia="MS Mincho" w:cstheme="minorHAnsi"/>
                <w:sz w:val="18"/>
                <w:szCs w:val="18"/>
              </w:rPr>
              <w:sym w:font="Symbol" w:char="F0B3"/>
            </w:r>
            <w:r w:rsidRPr="00F27B2D">
              <w:rPr>
                <w:rFonts w:eastAsia="MS Mincho" w:cstheme="minorHAnsi"/>
                <w:sz w:val="18"/>
                <w:szCs w:val="18"/>
              </w:rPr>
              <w:t>3 for &gt; 7 consecutive days</w:t>
            </w:r>
          </w:p>
        </w:tc>
      </w:tr>
      <w:tr w:rsidR="00676ADB" w:rsidRPr="00F27B2D" w:rsidTr="00C3252F">
        <w:trPr>
          <w:trHeight w:val="20"/>
        </w:trPr>
        <w:tc>
          <w:tcPr>
            <w:tcW w:w="1227" w:type="pct"/>
            <w:vAlign w:val="center"/>
          </w:tcPr>
          <w:p w:rsidR="00676ADB" w:rsidRPr="00F27B2D" w:rsidRDefault="00676ADB" w:rsidP="00C3252F">
            <w:pPr>
              <w:keepLines/>
              <w:tabs>
                <w:tab w:val="left" w:pos="284"/>
              </w:tabs>
              <w:spacing w:before="0" w:after="0" w:line="240" w:lineRule="auto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Blood and lymphatic</w:t>
            </w:r>
          </w:p>
        </w:tc>
        <w:tc>
          <w:tcPr>
            <w:tcW w:w="1534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Febrile neutropenia</w:t>
            </w:r>
          </w:p>
        </w:tc>
        <w:tc>
          <w:tcPr>
            <w:tcW w:w="2239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 xml:space="preserve">G </w:t>
            </w:r>
            <w:r w:rsidRPr="00F27B2D">
              <w:rPr>
                <w:rFonts w:eastAsia="MS Mincho" w:cstheme="minorHAnsi"/>
                <w:sz w:val="18"/>
                <w:szCs w:val="18"/>
              </w:rPr>
              <w:sym w:font="Symbol" w:char="F0B3"/>
            </w:r>
            <w:r w:rsidRPr="00F27B2D">
              <w:rPr>
                <w:rFonts w:eastAsia="MS Mincho" w:cstheme="minorHAnsi"/>
                <w:sz w:val="18"/>
                <w:szCs w:val="18"/>
              </w:rPr>
              <w:t>3 i.e., ANC &lt;1.0 x 10</w:t>
            </w:r>
            <w:r w:rsidRPr="00F27B2D">
              <w:rPr>
                <w:rFonts w:eastAsia="MS Mincho" w:cstheme="minorHAnsi"/>
                <w:sz w:val="18"/>
                <w:szCs w:val="18"/>
                <w:vertAlign w:val="superscript"/>
              </w:rPr>
              <w:t>9</w:t>
            </w:r>
            <w:r w:rsidRPr="00F27B2D">
              <w:rPr>
                <w:rFonts w:eastAsia="MS Mincho" w:cstheme="minorHAnsi"/>
                <w:sz w:val="18"/>
                <w:szCs w:val="18"/>
              </w:rPr>
              <w:t xml:space="preserve">/L, associated w/ single BT &gt;38.3°C or sustained BT </w:t>
            </w:r>
            <w:r w:rsidRPr="00F27B2D">
              <w:rPr>
                <w:rFonts w:eastAsia="MS Mincho" w:cstheme="minorHAnsi"/>
                <w:sz w:val="18"/>
                <w:szCs w:val="18"/>
              </w:rPr>
              <w:sym w:font="Symbol" w:char="F0B3"/>
            </w:r>
            <w:r w:rsidRPr="00F27B2D">
              <w:rPr>
                <w:rFonts w:eastAsia="MS Mincho" w:cstheme="minorHAnsi"/>
                <w:sz w:val="18"/>
                <w:szCs w:val="18"/>
              </w:rPr>
              <w:t>38°C for &gt;1 hr</w:t>
            </w:r>
          </w:p>
        </w:tc>
      </w:tr>
      <w:tr w:rsidR="00676ADB" w:rsidRPr="00F27B2D" w:rsidTr="00C3252F">
        <w:trPr>
          <w:trHeight w:val="20"/>
        </w:trPr>
        <w:tc>
          <w:tcPr>
            <w:tcW w:w="1227" w:type="pct"/>
            <w:vMerge w:val="restart"/>
            <w:vAlign w:val="center"/>
          </w:tcPr>
          <w:p w:rsidR="00676ADB" w:rsidRPr="00F27B2D" w:rsidRDefault="00676ADB" w:rsidP="00C3252F">
            <w:pPr>
              <w:keepLines/>
              <w:tabs>
                <w:tab w:val="left" w:pos="284"/>
              </w:tabs>
              <w:spacing w:before="0" w:after="0" w:line="240" w:lineRule="auto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 xml:space="preserve">Vascular </w:t>
            </w:r>
          </w:p>
        </w:tc>
        <w:tc>
          <w:tcPr>
            <w:tcW w:w="1534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Hypertension</w:t>
            </w:r>
          </w:p>
        </w:tc>
        <w:tc>
          <w:tcPr>
            <w:tcW w:w="2239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 xml:space="preserve">G 3, i.e., BP </w:t>
            </w:r>
            <w:r w:rsidRPr="00F27B2D">
              <w:rPr>
                <w:rFonts w:eastAsia="MS Mincho" w:cstheme="minorHAnsi"/>
                <w:sz w:val="18"/>
                <w:szCs w:val="18"/>
              </w:rPr>
              <w:sym w:font="Symbol" w:char="F0B3"/>
            </w:r>
            <w:r w:rsidRPr="00F27B2D">
              <w:rPr>
                <w:rFonts w:eastAsia="MS Mincho" w:cstheme="minorHAnsi"/>
                <w:sz w:val="18"/>
                <w:szCs w:val="18"/>
              </w:rPr>
              <w:t>160/100 mmHg for &gt;14 consecutive days, despite appropriate anti-hypertensive medication</w:t>
            </w:r>
          </w:p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G 4</w:t>
            </w:r>
          </w:p>
        </w:tc>
      </w:tr>
      <w:tr w:rsidR="00676ADB" w:rsidRPr="00F27B2D" w:rsidTr="00C3252F">
        <w:trPr>
          <w:trHeight w:val="20"/>
        </w:trPr>
        <w:tc>
          <w:tcPr>
            <w:tcW w:w="1227" w:type="pct"/>
            <w:vMerge/>
            <w:vAlign w:val="center"/>
          </w:tcPr>
          <w:p w:rsidR="00676ADB" w:rsidRPr="00F27B2D" w:rsidRDefault="00676ADB" w:rsidP="00C3252F">
            <w:pPr>
              <w:keepLines/>
              <w:tabs>
                <w:tab w:val="left" w:pos="284"/>
              </w:tabs>
              <w:spacing w:before="0" w:after="0" w:line="240" w:lineRule="auto"/>
              <w:rPr>
                <w:rFonts w:eastAsia="MS Mincho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34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 xml:space="preserve">Thromboembolic event </w:t>
            </w:r>
          </w:p>
        </w:tc>
        <w:tc>
          <w:tcPr>
            <w:tcW w:w="2239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G 2, requiring full dose anti-coagulant therapy for &gt;14 consecutive days</w:t>
            </w:r>
          </w:p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 xml:space="preserve">G </w:t>
            </w:r>
            <w:r w:rsidRPr="00F27B2D">
              <w:rPr>
                <w:rFonts w:eastAsia="MS Mincho" w:cstheme="minorHAnsi"/>
                <w:sz w:val="18"/>
                <w:szCs w:val="18"/>
              </w:rPr>
              <w:sym w:font="Symbol" w:char="F0B3"/>
            </w:r>
            <w:r w:rsidRPr="00F27B2D">
              <w:rPr>
                <w:rFonts w:eastAsia="MS Mincho" w:cstheme="minorHAnsi"/>
                <w:sz w:val="18"/>
                <w:szCs w:val="18"/>
              </w:rPr>
              <w:t>3</w:t>
            </w:r>
          </w:p>
        </w:tc>
      </w:tr>
      <w:tr w:rsidR="00676ADB" w:rsidRPr="00F27B2D" w:rsidTr="00C3252F">
        <w:trPr>
          <w:trHeight w:val="20"/>
        </w:trPr>
        <w:tc>
          <w:tcPr>
            <w:tcW w:w="1227" w:type="pct"/>
            <w:vMerge w:val="restart"/>
            <w:vAlign w:val="center"/>
          </w:tcPr>
          <w:p w:rsidR="00676ADB" w:rsidRPr="00F27B2D" w:rsidRDefault="00676ADB" w:rsidP="00C3252F">
            <w:pPr>
              <w:keepLines/>
              <w:tabs>
                <w:tab w:val="left" w:pos="284"/>
              </w:tabs>
              <w:spacing w:before="0" w:after="0" w:line="240" w:lineRule="auto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 xml:space="preserve">Gastrointestinal </w:t>
            </w:r>
          </w:p>
        </w:tc>
        <w:tc>
          <w:tcPr>
            <w:tcW w:w="1534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GI- Perforation</w:t>
            </w:r>
          </w:p>
        </w:tc>
        <w:tc>
          <w:tcPr>
            <w:tcW w:w="2239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 xml:space="preserve">G </w:t>
            </w:r>
            <w:r w:rsidRPr="00F27B2D">
              <w:rPr>
                <w:rFonts w:eastAsia="MS Mincho" w:cstheme="minorHAnsi"/>
                <w:sz w:val="18"/>
                <w:szCs w:val="18"/>
              </w:rPr>
              <w:sym w:font="Symbol" w:char="F0B3"/>
            </w:r>
            <w:r w:rsidRPr="00F27B2D">
              <w:rPr>
                <w:rFonts w:eastAsia="MS Mincho" w:cstheme="minorHAnsi"/>
                <w:sz w:val="18"/>
                <w:szCs w:val="18"/>
              </w:rPr>
              <w:t xml:space="preserve">1 </w:t>
            </w:r>
          </w:p>
        </w:tc>
      </w:tr>
      <w:tr w:rsidR="00676ADB" w:rsidRPr="00F27B2D" w:rsidTr="00C3252F">
        <w:trPr>
          <w:trHeight w:val="20"/>
        </w:trPr>
        <w:tc>
          <w:tcPr>
            <w:tcW w:w="1227" w:type="pct"/>
            <w:vMerge/>
            <w:vAlign w:val="center"/>
          </w:tcPr>
          <w:p w:rsidR="00676ADB" w:rsidRPr="00F27B2D" w:rsidRDefault="00676ADB" w:rsidP="00C3252F">
            <w:pPr>
              <w:keepLines/>
              <w:tabs>
                <w:tab w:val="left" w:pos="284"/>
              </w:tabs>
              <w:spacing w:before="0" w:after="0" w:line="240" w:lineRule="auto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1534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Diarrhea</w:t>
            </w:r>
          </w:p>
        </w:tc>
        <w:tc>
          <w:tcPr>
            <w:tcW w:w="2239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 xml:space="preserve">G </w:t>
            </w:r>
            <w:r w:rsidRPr="00F27B2D">
              <w:rPr>
                <w:rFonts w:eastAsia="MS Mincho" w:cstheme="minorHAnsi"/>
                <w:sz w:val="18"/>
                <w:szCs w:val="18"/>
              </w:rPr>
              <w:sym w:font="Symbol" w:char="F0B3"/>
            </w:r>
            <w:r w:rsidRPr="00F27B2D">
              <w:rPr>
                <w:rFonts w:eastAsia="MS Mincho" w:cstheme="minorHAnsi"/>
                <w:sz w:val="18"/>
                <w:szCs w:val="18"/>
              </w:rPr>
              <w:t xml:space="preserve"> 3 for &gt;48 hrs, despite the use of anti-diarrhea therapy</w:t>
            </w:r>
          </w:p>
        </w:tc>
      </w:tr>
      <w:tr w:rsidR="00676ADB" w:rsidRPr="00F27B2D" w:rsidTr="00C3252F">
        <w:trPr>
          <w:trHeight w:val="20"/>
        </w:trPr>
        <w:tc>
          <w:tcPr>
            <w:tcW w:w="1227" w:type="pct"/>
            <w:vMerge/>
            <w:vAlign w:val="center"/>
          </w:tcPr>
          <w:p w:rsidR="00676ADB" w:rsidRPr="00F27B2D" w:rsidRDefault="00676ADB" w:rsidP="00C3252F">
            <w:pPr>
              <w:keepLines/>
              <w:tabs>
                <w:tab w:val="left" w:pos="284"/>
              </w:tabs>
              <w:spacing w:before="0" w:after="0" w:line="240" w:lineRule="auto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1534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Nausea/ vomiting</w:t>
            </w:r>
          </w:p>
        </w:tc>
        <w:tc>
          <w:tcPr>
            <w:tcW w:w="2239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 xml:space="preserve">G </w:t>
            </w:r>
            <w:r w:rsidRPr="00F27B2D">
              <w:rPr>
                <w:rFonts w:eastAsia="MS Mincho" w:cstheme="minorHAnsi"/>
                <w:sz w:val="18"/>
                <w:szCs w:val="18"/>
              </w:rPr>
              <w:sym w:font="Symbol" w:char="F0B3"/>
            </w:r>
            <w:r w:rsidRPr="00F27B2D">
              <w:rPr>
                <w:rFonts w:eastAsia="MS Mincho" w:cstheme="minorHAnsi"/>
                <w:sz w:val="18"/>
                <w:szCs w:val="18"/>
              </w:rPr>
              <w:t>3 for &gt;48 hrs, despite the use of anti-emetic therapy</w:t>
            </w:r>
          </w:p>
        </w:tc>
      </w:tr>
      <w:tr w:rsidR="00676ADB" w:rsidRPr="00F27B2D" w:rsidTr="00C3252F">
        <w:trPr>
          <w:trHeight w:val="20"/>
        </w:trPr>
        <w:tc>
          <w:tcPr>
            <w:tcW w:w="1227" w:type="pct"/>
            <w:vAlign w:val="center"/>
          </w:tcPr>
          <w:p w:rsidR="00676ADB" w:rsidRPr="00F27B2D" w:rsidRDefault="00676ADB" w:rsidP="00C3252F">
            <w:pPr>
              <w:keepLines/>
              <w:tabs>
                <w:tab w:val="left" w:pos="284"/>
              </w:tabs>
              <w:spacing w:before="0" w:after="0" w:line="240" w:lineRule="auto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Respiratory, thoracic and mediastinal</w:t>
            </w:r>
          </w:p>
        </w:tc>
        <w:tc>
          <w:tcPr>
            <w:tcW w:w="1534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proofErr w:type="spellStart"/>
            <w:r w:rsidRPr="00F27B2D">
              <w:rPr>
                <w:rFonts w:eastAsia="MS Mincho" w:cstheme="minorHAnsi"/>
                <w:sz w:val="18"/>
                <w:szCs w:val="18"/>
              </w:rPr>
              <w:t>Brochopulmonary</w:t>
            </w:r>
            <w:proofErr w:type="spellEnd"/>
            <w:r w:rsidRPr="00F27B2D">
              <w:rPr>
                <w:rFonts w:eastAsia="MS Mincho" w:cstheme="minorHAnsi"/>
                <w:sz w:val="18"/>
                <w:szCs w:val="18"/>
              </w:rPr>
              <w:t xml:space="preserve"> hemorrhage</w:t>
            </w:r>
          </w:p>
        </w:tc>
        <w:tc>
          <w:tcPr>
            <w:tcW w:w="2239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tabs>
                <w:tab w:val="left" w:pos="284"/>
              </w:tabs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G 1 for &gt;14 consecutive days</w:t>
            </w:r>
          </w:p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tabs>
                <w:tab w:val="left" w:pos="284"/>
              </w:tabs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 xml:space="preserve">G </w:t>
            </w:r>
            <w:r w:rsidRPr="00F27B2D">
              <w:rPr>
                <w:rFonts w:eastAsia="MS Mincho" w:cstheme="minorHAnsi"/>
                <w:sz w:val="18"/>
                <w:szCs w:val="18"/>
              </w:rPr>
              <w:sym w:font="Symbol" w:char="F0B3"/>
            </w:r>
            <w:r w:rsidRPr="00F27B2D">
              <w:rPr>
                <w:rFonts w:eastAsia="MS Mincho" w:cstheme="minorHAnsi"/>
                <w:sz w:val="18"/>
                <w:szCs w:val="18"/>
              </w:rPr>
              <w:t>2</w:t>
            </w:r>
          </w:p>
        </w:tc>
      </w:tr>
      <w:tr w:rsidR="00676ADB" w:rsidRPr="00F27B2D" w:rsidTr="00C3252F">
        <w:trPr>
          <w:trHeight w:val="20"/>
        </w:trPr>
        <w:tc>
          <w:tcPr>
            <w:tcW w:w="1227" w:type="pct"/>
            <w:vMerge w:val="restart"/>
            <w:vAlign w:val="center"/>
          </w:tcPr>
          <w:p w:rsidR="00676ADB" w:rsidRPr="00F27B2D" w:rsidRDefault="00676ADB" w:rsidP="00C3252F">
            <w:pPr>
              <w:keepLines/>
              <w:tabs>
                <w:tab w:val="left" w:pos="284"/>
              </w:tabs>
              <w:spacing w:before="0" w:after="0" w:line="240" w:lineRule="auto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Nervous system</w:t>
            </w:r>
          </w:p>
        </w:tc>
        <w:tc>
          <w:tcPr>
            <w:tcW w:w="1534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Intracranial hemorrhage</w:t>
            </w:r>
          </w:p>
        </w:tc>
        <w:tc>
          <w:tcPr>
            <w:tcW w:w="2239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 xml:space="preserve">G </w:t>
            </w:r>
            <w:r w:rsidRPr="00F27B2D">
              <w:rPr>
                <w:rFonts w:eastAsia="MS Mincho" w:cstheme="minorHAnsi"/>
                <w:sz w:val="18"/>
                <w:szCs w:val="18"/>
              </w:rPr>
              <w:sym w:font="Symbol" w:char="F0B3"/>
            </w:r>
            <w:r w:rsidRPr="00F27B2D">
              <w:rPr>
                <w:rFonts w:eastAsia="MS Mincho" w:cstheme="minorHAnsi"/>
                <w:sz w:val="18"/>
                <w:szCs w:val="18"/>
              </w:rPr>
              <w:t>1</w:t>
            </w:r>
          </w:p>
        </w:tc>
      </w:tr>
      <w:tr w:rsidR="00676ADB" w:rsidRPr="00F27B2D" w:rsidTr="00C3252F">
        <w:trPr>
          <w:trHeight w:val="20"/>
        </w:trPr>
        <w:tc>
          <w:tcPr>
            <w:tcW w:w="1227" w:type="pct"/>
            <w:vMerge/>
            <w:vAlign w:val="center"/>
          </w:tcPr>
          <w:p w:rsidR="00676ADB" w:rsidRPr="00F27B2D" w:rsidRDefault="00676ADB" w:rsidP="00C3252F">
            <w:pPr>
              <w:keepLines/>
              <w:tabs>
                <w:tab w:val="left" w:pos="284"/>
              </w:tabs>
              <w:spacing w:before="0" w:after="0" w:line="240" w:lineRule="auto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1534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RPLS</w:t>
            </w:r>
          </w:p>
        </w:tc>
        <w:tc>
          <w:tcPr>
            <w:tcW w:w="2239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 xml:space="preserve">G </w:t>
            </w:r>
            <w:r w:rsidRPr="00F27B2D">
              <w:rPr>
                <w:rFonts w:eastAsia="MS Mincho" w:cstheme="minorHAnsi"/>
                <w:sz w:val="18"/>
                <w:szCs w:val="18"/>
              </w:rPr>
              <w:sym w:font="Symbol" w:char="F0B3"/>
            </w:r>
            <w:r w:rsidRPr="00F27B2D">
              <w:rPr>
                <w:rFonts w:eastAsia="MS Mincho" w:cstheme="minorHAnsi"/>
                <w:sz w:val="18"/>
                <w:szCs w:val="18"/>
              </w:rPr>
              <w:t>1</w:t>
            </w:r>
          </w:p>
        </w:tc>
      </w:tr>
      <w:tr w:rsidR="00676ADB" w:rsidRPr="00F27B2D" w:rsidTr="00C3252F">
        <w:trPr>
          <w:trHeight w:val="20"/>
        </w:trPr>
        <w:tc>
          <w:tcPr>
            <w:tcW w:w="1227" w:type="pct"/>
            <w:vAlign w:val="center"/>
          </w:tcPr>
          <w:p w:rsidR="00676ADB" w:rsidRPr="00F27B2D" w:rsidRDefault="00676ADB" w:rsidP="00C3252F">
            <w:pPr>
              <w:keepLines/>
              <w:tabs>
                <w:tab w:val="left" w:pos="284"/>
              </w:tabs>
              <w:spacing w:before="0" w:after="0" w:line="240" w:lineRule="auto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Renal and urinary</w:t>
            </w:r>
          </w:p>
        </w:tc>
        <w:tc>
          <w:tcPr>
            <w:tcW w:w="1534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proofErr w:type="spellStart"/>
            <w:r w:rsidRPr="00F27B2D">
              <w:rPr>
                <w:rFonts w:eastAsia="MS Mincho" w:cstheme="minorHAnsi"/>
                <w:sz w:val="18"/>
                <w:szCs w:val="18"/>
              </w:rPr>
              <w:t>Proteinuria</w:t>
            </w:r>
            <w:proofErr w:type="spellEnd"/>
          </w:p>
        </w:tc>
        <w:tc>
          <w:tcPr>
            <w:tcW w:w="2239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proofErr w:type="spellStart"/>
            <w:r w:rsidRPr="00F27B2D">
              <w:rPr>
                <w:rFonts w:eastAsia="MS Mincho" w:cstheme="minorHAnsi"/>
                <w:sz w:val="18"/>
                <w:szCs w:val="18"/>
              </w:rPr>
              <w:t>Proteinuria</w:t>
            </w:r>
            <w:proofErr w:type="spellEnd"/>
            <w:r w:rsidRPr="00F27B2D">
              <w:rPr>
                <w:rFonts w:eastAsia="MS Mincho" w:cstheme="minorHAnsi"/>
                <w:sz w:val="18"/>
                <w:szCs w:val="18"/>
              </w:rPr>
              <w:t xml:space="preserve"> </w:t>
            </w:r>
            <w:r w:rsidRPr="00F27B2D">
              <w:rPr>
                <w:rFonts w:eastAsia="MS Mincho" w:cstheme="minorHAnsi"/>
                <w:sz w:val="18"/>
                <w:szCs w:val="18"/>
              </w:rPr>
              <w:sym w:font="Symbol" w:char="F0B3"/>
            </w:r>
            <w:r w:rsidRPr="00F27B2D">
              <w:rPr>
                <w:rFonts w:eastAsia="MS Mincho" w:cstheme="minorHAnsi"/>
                <w:sz w:val="18"/>
                <w:szCs w:val="18"/>
              </w:rPr>
              <w:t xml:space="preserve">2 g/24 hrs for &gt;14 </w:t>
            </w:r>
            <w:proofErr w:type="spellStart"/>
            <w:r w:rsidRPr="00F27B2D">
              <w:rPr>
                <w:rFonts w:eastAsia="MS Mincho" w:cstheme="minorHAnsi"/>
                <w:sz w:val="18"/>
                <w:szCs w:val="18"/>
              </w:rPr>
              <w:t>days</w:t>
            </w:r>
            <w:r w:rsidRPr="00433720">
              <w:rPr>
                <w:rFonts w:eastAsia="MS Mincho" w:cstheme="minorHAnsi"/>
                <w:sz w:val="18"/>
                <w:szCs w:val="18"/>
                <w:vertAlign w:val="superscript"/>
              </w:rPr>
              <w:t>a</w:t>
            </w:r>
            <w:proofErr w:type="spellEnd"/>
          </w:p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 xml:space="preserve">G </w:t>
            </w:r>
            <w:r w:rsidRPr="00F27B2D">
              <w:rPr>
                <w:rFonts w:eastAsia="MS Mincho" w:cstheme="minorHAnsi"/>
                <w:sz w:val="18"/>
                <w:szCs w:val="18"/>
              </w:rPr>
              <w:sym w:font="Symbol" w:char="F0B3"/>
            </w:r>
            <w:r w:rsidRPr="00F27B2D">
              <w:rPr>
                <w:rFonts w:eastAsia="MS Mincho" w:cstheme="minorHAnsi"/>
                <w:sz w:val="18"/>
                <w:szCs w:val="18"/>
              </w:rPr>
              <w:t xml:space="preserve">3 (urinary protein </w:t>
            </w:r>
            <w:r w:rsidRPr="00F27B2D">
              <w:rPr>
                <w:rFonts w:eastAsia="MS Mincho" w:cstheme="minorHAnsi"/>
                <w:sz w:val="18"/>
                <w:szCs w:val="18"/>
              </w:rPr>
              <w:sym w:font="Symbol" w:char="F0B3"/>
            </w:r>
            <w:r w:rsidRPr="00F27B2D">
              <w:rPr>
                <w:rFonts w:eastAsia="MS Mincho" w:cstheme="minorHAnsi"/>
                <w:sz w:val="18"/>
                <w:szCs w:val="18"/>
              </w:rPr>
              <w:t>3.5 g/24 hrs)</w:t>
            </w:r>
          </w:p>
        </w:tc>
      </w:tr>
      <w:tr w:rsidR="00676ADB" w:rsidRPr="00F27B2D" w:rsidTr="00C3252F">
        <w:trPr>
          <w:trHeight w:val="20"/>
        </w:trPr>
        <w:tc>
          <w:tcPr>
            <w:tcW w:w="1227" w:type="pct"/>
            <w:vMerge w:val="restart"/>
            <w:vAlign w:val="center"/>
          </w:tcPr>
          <w:p w:rsidR="00676ADB" w:rsidRPr="00F27B2D" w:rsidRDefault="00676ADB" w:rsidP="00C3252F">
            <w:pPr>
              <w:keepLines/>
              <w:tabs>
                <w:tab w:val="left" w:pos="284"/>
              </w:tabs>
              <w:spacing w:before="0" w:after="0" w:line="240" w:lineRule="auto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Investigations</w:t>
            </w:r>
          </w:p>
        </w:tc>
        <w:tc>
          <w:tcPr>
            <w:tcW w:w="1534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Platelet count decreased (Thrombocytopenia)</w:t>
            </w:r>
          </w:p>
        </w:tc>
        <w:tc>
          <w:tcPr>
            <w:tcW w:w="2239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G 3 for &gt;7 consecutive days and/or with signs of bleeding</w:t>
            </w:r>
          </w:p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G 4</w:t>
            </w:r>
          </w:p>
        </w:tc>
      </w:tr>
      <w:tr w:rsidR="00676ADB" w:rsidRPr="00F27B2D" w:rsidTr="00C3252F">
        <w:trPr>
          <w:trHeight w:val="20"/>
        </w:trPr>
        <w:tc>
          <w:tcPr>
            <w:tcW w:w="1227" w:type="pct"/>
            <w:vMerge/>
            <w:vAlign w:val="center"/>
          </w:tcPr>
          <w:p w:rsidR="00676ADB" w:rsidRPr="00F27B2D" w:rsidRDefault="00676ADB" w:rsidP="00C3252F">
            <w:pPr>
              <w:keepLines/>
              <w:tabs>
                <w:tab w:val="left" w:pos="284"/>
              </w:tabs>
              <w:spacing w:before="0" w:after="0" w:line="240" w:lineRule="auto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1534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Neutrophil count decreased</w:t>
            </w:r>
          </w:p>
        </w:tc>
        <w:tc>
          <w:tcPr>
            <w:tcW w:w="2239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G 4</w:t>
            </w:r>
          </w:p>
        </w:tc>
      </w:tr>
      <w:tr w:rsidR="00676ADB" w:rsidRPr="00F27B2D" w:rsidTr="00C3252F">
        <w:trPr>
          <w:trHeight w:val="20"/>
        </w:trPr>
        <w:tc>
          <w:tcPr>
            <w:tcW w:w="1227" w:type="pct"/>
            <w:vMerge w:val="restart"/>
            <w:vAlign w:val="center"/>
          </w:tcPr>
          <w:p w:rsidR="00676ADB" w:rsidRPr="00F27B2D" w:rsidRDefault="00676ADB" w:rsidP="00C3252F">
            <w:pPr>
              <w:keepLines/>
              <w:tabs>
                <w:tab w:val="left" w:pos="284"/>
              </w:tabs>
              <w:spacing w:before="0" w:after="0" w:line="240" w:lineRule="auto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Other hematologic &amp; non-hematologic disorders</w:t>
            </w:r>
          </w:p>
        </w:tc>
        <w:tc>
          <w:tcPr>
            <w:tcW w:w="1534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Any fistula formation involving an internal organ</w:t>
            </w:r>
          </w:p>
        </w:tc>
        <w:tc>
          <w:tcPr>
            <w:tcW w:w="2239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 xml:space="preserve">G </w:t>
            </w:r>
            <w:r w:rsidRPr="00F27B2D">
              <w:rPr>
                <w:rFonts w:eastAsia="MS Mincho" w:cstheme="minorHAnsi"/>
                <w:sz w:val="18"/>
                <w:szCs w:val="18"/>
              </w:rPr>
              <w:sym w:font="Symbol" w:char="F0B3"/>
            </w:r>
            <w:r w:rsidRPr="00F27B2D">
              <w:rPr>
                <w:rFonts w:eastAsia="MS Mincho" w:cstheme="minorHAnsi"/>
                <w:sz w:val="18"/>
                <w:szCs w:val="18"/>
              </w:rPr>
              <w:t>1</w:t>
            </w:r>
          </w:p>
        </w:tc>
      </w:tr>
      <w:tr w:rsidR="00676ADB" w:rsidRPr="00F27B2D" w:rsidTr="00C3252F">
        <w:trPr>
          <w:trHeight w:val="20"/>
        </w:trPr>
        <w:tc>
          <w:tcPr>
            <w:tcW w:w="1227" w:type="pct"/>
            <w:vMerge/>
            <w:vAlign w:val="center"/>
          </w:tcPr>
          <w:p w:rsidR="00676ADB" w:rsidRPr="00F27B2D" w:rsidRDefault="00676ADB" w:rsidP="00C3252F">
            <w:pPr>
              <w:keepLines/>
              <w:tabs>
                <w:tab w:val="left" w:pos="284"/>
              </w:tabs>
              <w:spacing w:before="0" w:after="0" w:line="240" w:lineRule="auto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1534" w:type="pct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2"/>
              </w:numPr>
              <w:tabs>
                <w:tab w:val="left" w:pos="284"/>
              </w:tabs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Other adverse event</w:t>
            </w:r>
          </w:p>
        </w:tc>
        <w:tc>
          <w:tcPr>
            <w:tcW w:w="2239" w:type="pct"/>
            <w:vAlign w:val="center"/>
          </w:tcPr>
          <w:p w:rsidR="00676ADB" w:rsidRPr="00F27B2D" w:rsidRDefault="00676ADB" w:rsidP="00C3252F">
            <w:pPr>
              <w:keepLines/>
              <w:tabs>
                <w:tab w:val="left" w:pos="34"/>
              </w:tabs>
              <w:spacing w:before="0" w:after="0" w:line="240" w:lineRule="auto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 xml:space="preserve">Any other treatment-related G </w:t>
            </w:r>
            <w:r w:rsidRPr="00F27B2D">
              <w:rPr>
                <w:rFonts w:eastAsia="MS Mincho" w:cstheme="minorHAnsi"/>
                <w:sz w:val="18"/>
                <w:szCs w:val="18"/>
              </w:rPr>
              <w:sym w:font="Symbol" w:char="F0B3"/>
            </w:r>
            <w:r w:rsidRPr="00F27B2D">
              <w:rPr>
                <w:rFonts w:eastAsia="MS Mincho" w:cstheme="minorHAnsi"/>
                <w:sz w:val="18"/>
                <w:szCs w:val="18"/>
              </w:rPr>
              <w:t>3 toxicity except:</w:t>
            </w:r>
          </w:p>
          <w:p w:rsidR="00676ADB" w:rsidRPr="00F27B2D" w:rsidRDefault="00676ADB" w:rsidP="00C3252F">
            <w:pPr>
              <w:keepLines/>
              <w:numPr>
                <w:ilvl w:val="0"/>
                <w:numId w:val="33"/>
              </w:numPr>
              <w:tabs>
                <w:tab w:val="left" w:pos="34"/>
              </w:tabs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 xml:space="preserve">Investigations (e.g., laboratory values and non-fluid associated </w:t>
            </w:r>
            <w:proofErr w:type="spellStart"/>
            <w:r w:rsidRPr="00F27B2D">
              <w:rPr>
                <w:rFonts w:eastAsia="MS Mincho" w:cstheme="minorHAnsi"/>
                <w:sz w:val="18"/>
                <w:szCs w:val="18"/>
              </w:rPr>
              <w:t>netto</w:t>
            </w:r>
            <w:proofErr w:type="spellEnd"/>
            <w:r w:rsidRPr="00F27B2D">
              <w:rPr>
                <w:rFonts w:eastAsia="MS Mincho" w:cstheme="minorHAnsi"/>
                <w:sz w:val="18"/>
                <w:szCs w:val="18"/>
              </w:rPr>
              <w:t xml:space="preserve"> body weight gain) G </w:t>
            </w:r>
            <w:r w:rsidRPr="00F27B2D">
              <w:rPr>
                <w:rFonts w:eastAsia="MS Mincho" w:cstheme="minorHAnsi"/>
                <w:sz w:val="18"/>
                <w:szCs w:val="18"/>
              </w:rPr>
              <w:sym w:font="Symbol" w:char="F0B3"/>
            </w:r>
            <w:r w:rsidRPr="00F27B2D">
              <w:rPr>
                <w:rFonts w:eastAsia="MS Mincho" w:cstheme="minorHAnsi"/>
                <w:sz w:val="18"/>
                <w:szCs w:val="18"/>
              </w:rPr>
              <w:t>3 which are judged not clinically significant by the Investigator</w:t>
            </w:r>
          </w:p>
          <w:p w:rsidR="00676ADB" w:rsidRPr="00F27B2D" w:rsidRDefault="00676ADB" w:rsidP="00C3252F">
            <w:pPr>
              <w:keepLines/>
              <w:numPr>
                <w:ilvl w:val="0"/>
                <w:numId w:val="33"/>
              </w:numPr>
              <w:tabs>
                <w:tab w:val="left" w:pos="34"/>
              </w:tabs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 xml:space="preserve">Skin toxicity G </w:t>
            </w:r>
            <w:r w:rsidRPr="00F27B2D">
              <w:rPr>
                <w:rFonts w:eastAsia="MS Mincho" w:cstheme="minorHAnsi"/>
                <w:sz w:val="18"/>
                <w:szCs w:val="18"/>
              </w:rPr>
              <w:sym w:font="Symbol" w:char="F0B3"/>
            </w:r>
            <w:r w:rsidRPr="00F27B2D">
              <w:rPr>
                <w:rFonts w:eastAsia="MS Mincho" w:cstheme="minorHAnsi"/>
                <w:sz w:val="18"/>
                <w:szCs w:val="18"/>
              </w:rPr>
              <w:t>3 in the absence of adequate supportive care</w:t>
            </w:r>
          </w:p>
          <w:p w:rsidR="00676ADB" w:rsidRPr="00F27B2D" w:rsidRDefault="00676ADB" w:rsidP="00C3252F">
            <w:pPr>
              <w:keepLines/>
              <w:numPr>
                <w:ilvl w:val="0"/>
                <w:numId w:val="33"/>
              </w:numPr>
              <w:tabs>
                <w:tab w:val="left" w:pos="34"/>
              </w:tabs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Infusion-related / hypersensitivity reactions</w:t>
            </w:r>
          </w:p>
          <w:p w:rsidR="00676ADB" w:rsidRPr="00F27B2D" w:rsidRDefault="00676ADB" w:rsidP="00C3252F">
            <w:pPr>
              <w:keepLines/>
              <w:numPr>
                <w:ilvl w:val="0"/>
                <w:numId w:val="33"/>
              </w:numPr>
              <w:tabs>
                <w:tab w:val="left" w:pos="34"/>
              </w:tabs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Alopecia (any grade)</w:t>
            </w:r>
          </w:p>
        </w:tc>
      </w:tr>
      <w:tr w:rsidR="00676ADB" w:rsidRPr="00F27B2D" w:rsidTr="00C3252F">
        <w:trPr>
          <w:trHeight w:val="20"/>
        </w:trPr>
        <w:tc>
          <w:tcPr>
            <w:tcW w:w="1227" w:type="pct"/>
            <w:vAlign w:val="center"/>
          </w:tcPr>
          <w:p w:rsidR="00676ADB" w:rsidRPr="00F27B2D" w:rsidRDefault="00676ADB" w:rsidP="00C3252F">
            <w:pPr>
              <w:keepLines/>
              <w:tabs>
                <w:tab w:val="left" w:pos="284"/>
              </w:tabs>
              <w:spacing w:before="0" w:after="0" w:line="240" w:lineRule="auto"/>
              <w:jc w:val="center"/>
              <w:rPr>
                <w:rFonts w:eastAsia="MS Mincho" w:cstheme="minorHAnsi"/>
                <w:b/>
                <w:sz w:val="18"/>
                <w:szCs w:val="18"/>
              </w:rPr>
            </w:pPr>
            <w:r w:rsidRPr="00F27B2D">
              <w:rPr>
                <w:rFonts w:eastAsia="MS Mincho" w:cstheme="minorHAnsi"/>
                <w:b/>
                <w:sz w:val="18"/>
                <w:szCs w:val="18"/>
              </w:rPr>
              <w:t>Other</w:t>
            </w:r>
          </w:p>
        </w:tc>
        <w:tc>
          <w:tcPr>
            <w:tcW w:w="3773" w:type="pct"/>
            <w:gridSpan w:val="2"/>
            <w:vAlign w:val="center"/>
          </w:tcPr>
          <w:p w:rsidR="00676ADB" w:rsidRPr="00F27B2D" w:rsidRDefault="00676ADB" w:rsidP="00C3252F">
            <w:pPr>
              <w:keepLines/>
              <w:tabs>
                <w:tab w:val="left" w:pos="34"/>
              </w:tabs>
              <w:spacing w:before="0" w:after="0" w:line="240" w:lineRule="auto"/>
              <w:ind w:left="227" w:hanging="227"/>
              <w:jc w:val="center"/>
              <w:rPr>
                <w:rFonts w:eastAsia="MS Mincho" w:cstheme="minorHAnsi"/>
                <w:b/>
                <w:sz w:val="18"/>
                <w:szCs w:val="18"/>
              </w:rPr>
            </w:pPr>
            <w:r w:rsidRPr="00F27B2D">
              <w:rPr>
                <w:rFonts w:eastAsia="MS Mincho" w:cstheme="minorHAnsi"/>
                <w:b/>
                <w:sz w:val="18"/>
                <w:szCs w:val="18"/>
              </w:rPr>
              <w:t>DLT Criteria</w:t>
            </w:r>
          </w:p>
        </w:tc>
      </w:tr>
      <w:tr w:rsidR="00676ADB" w:rsidRPr="00F27B2D" w:rsidTr="00C3252F">
        <w:trPr>
          <w:trHeight w:val="20"/>
        </w:trPr>
        <w:tc>
          <w:tcPr>
            <w:tcW w:w="1227" w:type="pct"/>
            <w:vAlign w:val="center"/>
          </w:tcPr>
          <w:p w:rsidR="00676ADB" w:rsidRPr="00F27B2D" w:rsidRDefault="00676ADB" w:rsidP="00C3252F">
            <w:pPr>
              <w:keepLines/>
              <w:tabs>
                <w:tab w:val="left" w:pos="284"/>
              </w:tabs>
              <w:spacing w:before="0" w:after="0" w:line="240" w:lineRule="auto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 xml:space="preserve">Skipped/delayed dose </w:t>
            </w:r>
          </w:p>
        </w:tc>
        <w:tc>
          <w:tcPr>
            <w:tcW w:w="3773" w:type="pct"/>
            <w:gridSpan w:val="2"/>
            <w:vAlign w:val="center"/>
          </w:tcPr>
          <w:p w:rsidR="00676ADB" w:rsidRPr="00F27B2D" w:rsidRDefault="00676ADB" w:rsidP="00C3252F">
            <w:pPr>
              <w:keepLines/>
              <w:numPr>
                <w:ilvl w:val="0"/>
                <w:numId w:val="33"/>
              </w:numPr>
              <w:tabs>
                <w:tab w:val="left" w:pos="34"/>
              </w:tabs>
              <w:spacing w:before="0" w:after="0" w:line="240" w:lineRule="auto"/>
              <w:ind w:left="227" w:hanging="227"/>
              <w:rPr>
                <w:rFonts w:eastAsia="MS Mincho" w:cstheme="minorHAnsi"/>
                <w:sz w:val="18"/>
                <w:szCs w:val="18"/>
              </w:rPr>
            </w:pPr>
            <w:r w:rsidRPr="00F27B2D">
              <w:rPr>
                <w:rFonts w:eastAsia="MS Mincho" w:cstheme="minorHAnsi"/>
                <w:sz w:val="18"/>
                <w:szCs w:val="18"/>
              </w:rPr>
              <w:t>Delay in 2</w:t>
            </w:r>
            <w:r w:rsidRPr="00F27B2D">
              <w:rPr>
                <w:rFonts w:eastAsia="MS Mincho" w:cstheme="minorHAnsi"/>
                <w:sz w:val="18"/>
                <w:szCs w:val="18"/>
                <w:vertAlign w:val="superscript"/>
              </w:rPr>
              <w:t>nd</w:t>
            </w:r>
            <w:r w:rsidRPr="00F27B2D">
              <w:rPr>
                <w:rFonts w:eastAsia="MS Mincho" w:cstheme="minorHAnsi"/>
                <w:sz w:val="18"/>
                <w:szCs w:val="18"/>
              </w:rPr>
              <w:t xml:space="preserve"> cycle administration of vanucizumab for &gt;14 days due to failure of recovery from study drug related adverse event(s)</w:t>
            </w:r>
          </w:p>
        </w:tc>
      </w:tr>
    </w:tbl>
    <w:p w:rsidR="00676ADB" w:rsidRDefault="00676ADB" w:rsidP="00676ADB">
      <w:pPr>
        <w:pStyle w:val="FigurefootnoteJA"/>
        <w:spacing w:line="360" w:lineRule="auto"/>
      </w:pPr>
      <w:r>
        <w:t xml:space="preserve">Abbreviations: </w:t>
      </w:r>
      <w:r w:rsidRPr="00F27B2D">
        <w:t xml:space="preserve">ANC, absolute neutrophil count; BP, blood pressure; BT, body temperature; </w:t>
      </w:r>
      <w:r>
        <w:t xml:space="preserve">CTCAE, </w:t>
      </w:r>
      <w:r w:rsidRPr="00BC2EDB">
        <w:t>Common Terminol</w:t>
      </w:r>
      <w:r>
        <w:t xml:space="preserve">ogy Criteria for Adverse Events, DLT, dose-limiting toxicity; </w:t>
      </w:r>
      <w:r w:rsidRPr="00F27B2D">
        <w:t xml:space="preserve">G, grade (According to CTCAE version 4.03); GI, gastrointestinal; RPLS, Reversible posterior </w:t>
      </w:r>
      <w:proofErr w:type="spellStart"/>
      <w:r w:rsidRPr="00F27B2D">
        <w:t>leukoencephalopathy</w:t>
      </w:r>
      <w:proofErr w:type="spellEnd"/>
      <w:r w:rsidRPr="00F27B2D">
        <w:t xml:space="preserve"> syndrome</w:t>
      </w:r>
      <w:r>
        <w:t>; SOC, system organ class</w:t>
      </w:r>
      <w:r w:rsidRPr="00F27B2D">
        <w:t>.</w:t>
      </w:r>
    </w:p>
    <w:p w:rsidR="00676ADB" w:rsidRPr="00F27B2D" w:rsidRDefault="00676ADB" w:rsidP="00676ADB">
      <w:pPr>
        <w:pStyle w:val="FigurefootnoteJA"/>
        <w:spacing w:line="360" w:lineRule="auto"/>
      </w:pPr>
      <w:proofErr w:type="spellStart"/>
      <w:proofErr w:type="gramStart"/>
      <w:r w:rsidRPr="00433720">
        <w:rPr>
          <w:vertAlign w:val="superscript"/>
        </w:rPr>
        <w:t>a</w:t>
      </w:r>
      <w:r w:rsidRPr="00F27B2D">
        <w:t>Not</w:t>
      </w:r>
      <w:proofErr w:type="spellEnd"/>
      <w:proofErr w:type="gramEnd"/>
      <w:r w:rsidRPr="00F27B2D">
        <w:t xml:space="preserve"> according to CTCAEv4.03 or later</w:t>
      </w:r>
      <w:r>
        <w:t>.</w:t>
      </w:r>
    </w:p>
    <w:p w:rsidR="00676ADB" w:rsidRPr="00F27B2D" w:rsidRDefault="00676ADB" w:rsidP="00676ADB">
      <w:pPr>
        <w:sectPr w:rsidR="00676ADB" w:rsidRPr="00F27B2D" w:rsidSect="001231BE"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676ADB" w:rsidRPr="00433720" w:rsidRDefault="00676ADB" w:rsidP="00676ADB">
      <w:proofErr w:type="gramStart"/>
      <w:r>
        <w:rPr>
          <w:b/>
        </w:rPr>
        <w:lastRenderedPageBreak/>
        <w:t>Supplementary T</w:t>
      </w:r>
      <w:r w:rsidRPr="00F27B2D">
        <w:rPr>
          <w:b/>
        </w:rPr>
        <w:t xml:space="preserve">able </w:t>
      </w:r>
      <w:r w:rsidR="004C7B07">
        <w:rPr>
          <w:b/>
        </w:rPr>
        <w:t>S</w:t>
      </w:r>
      <w:r w:rsidRPr="00F27B2D">
        <w:rPr>
          <w:b/>
        </w:rPr>
        <w:t>2.</w:t>
      </w:r>
      <w:proofErr w:type="gramEnd"/>
      <w:r w:rsidRPr="00F27B2D">
        <w:rPr>
          <w:b/>
        </w:rPr>
        <w:t xml:space="preserve"> </w:t>
      </w:r>
      <w:proofErr w:type="gramStart"/>
      <w:r w:rsidRPr="00433720">
        <w:t>Plasma pharmacokinetic parameters of vanucizumab on Cycles 1 and 4 following bi-weekly administration of ascending doses of vanucizumab.</w:t>
      </w:r>
      <w:proofErr w:type="gramEnd"/>
    </w:p>
    <w:tbl>
      <w:tblPr>
        <w:tblW w:w="5000" w:type="pct"/>
        <w:tblInd w:w="5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51"/>
        <w:gridCol w:w="521"/>
        <w:gridCol w:w="121"/>
        <w:gridCol w:w="650"/>
        <w:gridCol w:w="123"/>
        <w:gridCol w:w="24"/>
        <w:gridCol w:w="768"/>
        <w:gridCol w:w="891"/>
        <w:gridCol w:w="766"/>
        <w:gridCol w:w="655"/>
        <w:gridCol w:w="12"/>
        <w:gridCol w:w="647"/>
        <w:gridCol w:w="12"/>
        <w:gridCol w:w="900"/>
        <w:gridCol w:w="12"/>
        <w:gridCol w:w="834"/>
        <w:gridCol w:w="12"/>
        <w:gridCol w:w="771"/>
        <w:gridCol w:w="12"/>
      </w:tblGrid>
      <w:tr w:rsidR="00676ADB" w:rsidRPr="001231BE" w:rsidTr="00C3252F">
        <w:trPr>
          <w:cantSplit/>
          <w:trHeight w:val="20"/>
        </w:trPr>
        <w:tc>
          <w:tcPr>
            <w:tcW w:w="15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Dose [mg/kg]</w:t>
            </w:r>
          </w:p>
        </w:tc>
        <w:tc>
          <w:tcPr>
            <w:tcW w:w="4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Cycle1</w:t>
            </w:r>
          </w:p>
        </w:tc>
        <w:tc>
          <w:tcPr>
            <w:tcW w:w="4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Cycle 4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Pr="001231BE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</w:rPr>
              <w:t>max</w:t>
            </w:r>
            <w:proofErr w:type="spellEnd"/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[h]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6ADB" w:rsidRPr="001231BE" w:rsidTr="00C3252F">
        <w:trPr>
          <w:cantSplit/>
          <w:trHeight w:val="20"/>
        </w:trPr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Median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2.00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1.75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2.03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2.0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2.0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2.02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Min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7.5*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2.0</w:t>
            </w:r>
          </w:p>
        </w:tc>
        <w:tc>
          <w:tcPr>
            <w:tcW w:w="10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2.07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1.67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23.9</w:t>
            </w: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1.53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6.0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2.0</w:t>
            </w:r>
            <w:r w:rsidRPr="001231BE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0.5</w:t>
            </w:r>
            <w:r w:rsidRPr="001231BE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2.05; 4.0</w:t>
            </w:r>
            <w:r w:rsidRPr="001231BE">
              <w:rPr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0.67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6.0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2.0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6.5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1231BE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</w:rPr>
              <w:t>max</w:t>
            </w:r>
            <w:proofErr w:type="spellEnd"/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[</w:t>
            </w: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6D"/>
            </w: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g/mL]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6ADB" w:rsidRPr="001231BE" w:rsidTr="00C3252F">
        <w:trPr>
          <w:cantSplit/>
          <w:trHeight w:val="20"/>
        </w:trPr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GM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91.6*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177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258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518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648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143</w:t>
            </w:r>
            <w:r w:rsidRPr="001231BE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175</w:t>
            </w:r>
            <w:r w:rsidRPr="001231BE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363; 464</w:t>
            </w:r>
            <w:r w:rsidRPr="001231BE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676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983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CV% GM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8.50</w:t>
            </w:r>
          </w:p>
        </w:tc>
        <w:tc>
          <w:tcPr>
            <w:tcW w:w="10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22.8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28.0</w:t>
            </w: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29.4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14.0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39.0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AUC</w:t>
            </w:r>
            <w:r w:rsidRPr="001231BE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</w:rPr>
              <w:t>0-</w:t>
            </w:r>
            <w:r w:rsidRPr="001231BE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</w:rPr>
              <w:sym w:font="Symbol" w:char="F074"/>
            </w: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[</w:t>
            </w: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6D"/>
            </w: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g</w:t>
            </w:r>
            <w:r w:rsidRPr="001231BE">
              <w:rPr>
                <w:rFonts w:asciiTheme="minorHAnsi" w:hAnsiTheme="minorHAnsi" w:cstheme="minorHAnsi"/>
                <w:b/>
                <w:position w:val="2"/>
                <w:sz w:val="18"/>
                <w:szCs w:val="18"/>
              </w:rPr>
              <w:sym w:font="Symbol" w:char="F0B7"/>
            </w: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h/mL]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6ADB" w:rsidRPr="001231BE" w:rsidTr="00C3252F">
        <w:trPr>
          <w:cantSplit/>
          <w:trHeight w:val="20"/>
        </w:trPr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GM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12400*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18700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33300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58600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98800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20100</w:t>
            </w:r>
            <w:r w:rsidRPr="001231BE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22700</w:t>
            </w:r>
            <w:r w:rsidRPr="001231BE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61400; 562000</w:t>
            </w:r>
            <w:r w:rsidRPr="001231BE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112000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153000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CV% GM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3.04</w:t>
            </w: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22.9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13.5</w:t>
            </w: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38.2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26.5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35.2</w:t>
            </w:r>
          </w:p>
        </w:tc>
      </w:tr>
      <w:tr w:rsidR="00676ADB" w:rsidRPr="001231BE" w:rsidTr="00C3252F">
        <w:trPr>
          <w:gridAfter w:val="1"/>
          <w:wAfter w:w="13" w:type="dxa"/>
          <w:cantSplit/>
          <w:trHeight w:val="20"/>
        </w:trPr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Pr="001231BE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</w:rPr>
              <w:t>1/2</w:t>
            </w: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[h]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676ADB" w:rsidRPr="001231BE" w:rsidTr="00C3252F">
        <w:trPr>
          <w:gridAfter w:val="1"/>
          <w:wAfter w:w="13" w:type="dxa"/>
          <w:cantSplit/>
          <w:trHeight w:val="20"/>
        </w:trPr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676ADB" w:rsidRPr="001231BE" w:rsidTr="00C3252F">
        <w:trPr>
          <w:gridAfter w:val="1"/>
          <w:wAfter w:w="13" w:type="dxa"/>
          <w:cantSplit/>
          <w:trHeight w:val="20"/>
        </w:trPr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GM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176</w:t>
            </w:r>
            <w:r w:rsidRPr="001231BE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149</w:t>
            </w:r>
            <w:r w:rsidRPr="001231BE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334; 167</w:t>
            </w:r>
            <w:r w:rsidRPr="001231BE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208</w:t>
            </w:r>
          </w:p>
        </w:tc>
      </w:tr>
      <w:tr w:rsidR="00676ADB" w:rsidRPr="001231BE" w:rsidTr="00C3252F">
        <w:trPr>
          <w:gridAfter w:val="1"/>
          <w:wAfter w:w="13" w:type="dxa"/>
          <w:cantSplit/>
          <w:trHeight w:val="20"/>
        </w:trPr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CV% GM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15.8</w:t>
            </w:r>
          </w:p>
        </w:tc>
      </w:tr>
      <w:tr w:rsidR="00676ADB" w:rsidRPr="001231BE" w:rsidTr="00C3252F">
        <w:trPr>
          <w:gridAfter w:val="1"/>
          <w:wAfter w:w="13" w:type="dxa"/>
          <w:cantSplit/>
          <w:trHeight w:val="20"/>
        </w:trPr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CL [mL/h]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6ADB" w:rsidRPr="001231BE" w:rsidTr="00C3252F">
        <w:trPr>
          <w:gridAfter w:val="1"/>
          <w:wAfter w:w="13" w:type="dxa"/>
          <w:cantSplit/>
          <w:trHeight w:val="20"/>
        </w:trPr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676ADB" w:rsidRPr="001231BE" w:rsidTr="00C3252F">
        <w:trPr>
          <w:gridAfter w:val="1"/>
          <w:wAfter w:w="13" w:type="dxa"/>
          <w:cantSplit/>
          <w:trHeight w:val="20"/>
        </w:trPr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GM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10.9</w:t>
            </w:r>
            <w:r w:rsidRPr="001231BE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15.9</w:t>
            </w:r>
            <w:r w:rsidRPr="001231BE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10.2; 18.0</w:t>
            </w:r>
            <w:r w:rsidRPr="001231BE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13.6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14.7</w:t>
            </w:r>
          </w:p>
        </w:tc>
      </w:tr>
      <w:tr w:rsidR="00676ADB" w:rsidRPr="001231BE" w:rsidTr="00C3252F">
        <w:trPr>
          <w:gridAfter w:val="1"/>
          <w:wAfter w:w="13" w:type="dxa"/>
          <w:cantSplit/>
          <w:trHeight w:val="20"/>
        </w:trPr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CV% GM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33.8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14.0</w:t>
            </w:r>
          </w:p>
        </w:tc>
      </w:tr>
      <w:tr w:rsidR="00676ADB" w:rsidRPr="001231BE" w:rsidTr="00C3252F">
        <w:trPr>
          <w:gridAfter w:val="1"/>
          <w:wAfter w:w="13" w:type="dxa"/>
          <w:cantSplit/>
          <w:trHeight w:val="20"/>
        </w:trPr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Vss</w:t>
            </w:r>
            <w:proofErr w:type="spellEnd"/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[mL]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6ADB" w:rsidRPr="001231BE" w:rsidTr="00C3252F">
        <w:trPr>
          <w:gridAfter w:val="1"/>
          <w:wAfter w:w="13" w:type="dxa"/>
          <w:cantSplit/>
          <w:trHeight w:val="20"/>
        </w:trPr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676ADB" w:rsidRPr="001231BE" w:rsidTr="00C3252F">
        <w:trPr>
          <w:gridAfter w:val="1"/>
          <w:wAfter w:w="13" w:type="dxa"/>
          <w:cantSplit/>
          <w:trHeight w:val="20"/>
        </w:trPr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GM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2610</w:t>
            </w:r>
            <w:r w:rsidRPr="001231BE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3170</w:t>
            </w:r>
            <w:r w:rsidRPr="001231BE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4360; 3750</w:t>
            </w:r>
            <w:r w:rsidRPr="001231BE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3960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4040</w:t>
            </w:r>
          </w:p>
        </w:tc>
      </w:tr>
      <w:tr w:rsidR="00676ADB" w:rsidRPr="001231BE" w:rsidTr="00C3252F">
        <w:trPr>
          <w:gridAfter w:val="1"/>
          <w:wAfter w:w="13" w:type="dxa"/>
          <w:cantSplit/>
          <w:trHeight w:val="20"/>
        </w:trPr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CV% GM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35.9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26.8</w:t>
            </w:r>
          </w:p>
        </w:tc>
      </w:tr>
      <w:tr w:rsidR="00676ADB" w:rsidRPr="001231BE" w:rsidTr="00C3252F">
        <w:trPr>
          <w:gridAfter w:val="1"/>
          <w:wAfter w:w="13" w:type="dxa"/>
          <w:cantSplit/>
          <w:trHeight w:val="20"/>
        </w:trPr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1231BE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</w:rPr>
              <w:t>min</w:t>
            </w:r>
            <w:proofErr w:type="spellEnd"/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[</w:t>
            </w: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6D"/>
            </w: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g/mL]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6ADB" w:rsidRPr="001231BE" w:rsidTr="00C3252F">
        <w:trPr>
          <w:gridAfter w:val="1"/>
          <w:wAfter w:w="13" w:type="dxa"/>
          <w:cantSplit/>
          <w:trHeight w:val="20"/>
        </w:trPr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676ADB" w:rsidRPr="001231BE" w:rsidTr="00C3252F">
        <w:trPr>
          <w:gridAfter w:val="1"/>
          <w:wAfter w:w="13" w:type="dxa"/>
          <w:cantSplit/>
          <w:trHeight w:val="20"/>
        </w:trPr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GM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17.2*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21.0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42.2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90.4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132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29.3</w:t>
            </w:r>
            <w:r w:rsidRPr="001231BE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28.8</w:t>
            </w:r>
            <w:r w:rsidRPr="001231BE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117; 70.3</w:t>
            </w:r>
            <w:r w:rsidRPr="001231BE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173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247</w:t>
            </w:r>
          </w:p>
        </w:tc>
      </w:tr>
      <w:tr w:rsidR="00676ADB" w:rsidRPr="001231BE" w:rsidTr="00C3252F">
        <w:trPr>
          <w:gridAfter w:val="1"/>
          <w:wAfter w:w="13" w:type="dxa"/>
          <w:cantSplit/>
          <w:trHeight w:val="20"/>
        </w:trPr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CV% GM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19.5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49.2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10.9</w:t>
            </w: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42.7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37.5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32.8</w:t>
            </w:r>
          </w:p>
        </w:tc>
      </w:tr>
      <w:tr w:rsidR="00676ADB" w:rsidRPr="001231BE" w:rsidTr="00C3252F">
        <w:trPr>
          <w:gridAfter w:val="1"/>
          <w:wAfter w:w="13" w:type="dxa"/>
          <w:cantSplit/>
          <w:trHeight w:val="20"/>
        </w:trPr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Pr="001231BE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</w:rPr>
              <w:t>A</w:t>
            </w: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(AUC) [ </w:t>
            </w: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 ]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6ADB" w:rsidRPr="001231BE" w:rsidTr="00C3252F">
        <w:trPr>
          <w:gridAfter w:val="1"/>
          <w:wAfter w:w="13" w:type="dxa"/>
          <w:cantSplit/>
          <w:trHeight w:val="20"/>
        </w:trPr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676ADB" w:rsidRPr="001231BE" w:rsidTr="00C3252F">
        <w:trPr>
          <w:gridAfter w:val="1"/>
          <w:wAfter w:w="13" w:type="dxa"/>
          <w:cantSplit/>
          <w:trHeight w:val="20"/>
        </w:trPr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GM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1.62</w:t>
            </w:r>
            <w:r w:rsidRPr="001231BE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1.24</w:t>
            </w:r>
            <w:r w:rsidRPr="001231BE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1.64; 1.41</w:t>
            </w:r>
            <w:r w:rsidRPr="001231BE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1.88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1.57</w:t>
            </w:r>
          </w:p>
        </w:tc>
      </w:tr>
      <w:tr w:rsidR="00676ADB" w:rsidRPr="001231BE" w:rsidTr="00C3252F">
        <w:trPr>
          <w:gridAfter w:val="1"/>
          <w:wAfter w:w="13" w:type="dxa"/>
          <w:cantSplit/>
          <w:trHeight w:val="20"/>
        </w:trPr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CV% GM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22.1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</w:tr>
      <w:tr w:rsidR="00676ADB" w:rsidRPr="001231BE" w:rsidTr="00C3252F">
        <w:trPr>
          <w:gridAfter w:val="1"/>
          <w:wAfter w:w="13" w:type="dxa"/>
          <w:cantSplit/>
          <w:trHeight w:val="20"/>
        </w:trPr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Pr="001231BE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</w:rPr>
              <w:t>A</w:t>
            </w: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spellStart"/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1231BE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</w:rPr>
              <w:t>min</w:t>
            </w:r>
            <w:proofErr w:type="spellEnd"/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) [ </w:t>
            </w: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b/>
                <w:sz w:val="18"/>
                <w:szCs w:val="18"/>
              </w:rPr>
              <w:t> ]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6ADB" w:rsidRPr="001231BE" w:rsidTr="00C3252F">
        <w:trPr>
          <w:gridAfter w:val="1"/>
          <w:wAfter w:w="13" w:type="dxa"/>
          <w:cantSplit/>
          <w:trHeight w:val="20"/>
        </w:trPr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676ADB" w:rsidRPr="001231BE" w:rsidTr="00C3252F">
        <w:trPr>
          <w:gridAfter w:val="1"/>
          <w:wAfter w:w="13" w:type="dxa"/>
          <w:cantSplit/>
          <w:trHeight w:val="20"/>
        </w:trPr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GM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1.70</w:t>
            </w:r>
            <w:r w:rsidRPr="001231BE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1.28</w:t>
            </w:r>
            <w:r w:rsidRPr="001231BE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1.90; 1.29</w:t>
            </w:r>
            <w:r w:rsidRPr="001231BE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1.93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1.89</w:t>
            </w:r>
          </w:p>
        </w:tc>
      </w:tr>
      <w:tr w:rsidR="00676ADB" w:rsidRPr="001231BE" w:rsidTr="00C3252F">
        <w:trPr>
          <w:gridAfter w:val="1"/>
          <w:wAfter w:w="13" w:type="dxa"/>
          <w:cantSplit/>
          <w:trHeight w:val="20"/>
        </w:trPr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CV% GM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34.4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31BE">
              <w:rPr>
                <w:rFonts w:asciiTheme="minorHAnsi" w:hAnsiTheme="minorHAnsi" w:cstheme="minorHAnsi"/>
                <w:sz w:val="18"/>
                <w:szCs w:val="18"/>
              </w:rPr>
              <w:t>22.3</w:t>
            </w:r>
          </w:p>
        </w:tc>
      </w:tr>
    </w:tbl>
    <w:p w:rsidR="00676ADB" w:rsidRPr="00F27B2D" w:rsidRDefault="00676ADB" w:rsidP="00676ADB">
      <w:pPr>
        <w:pStyle w:val="FigurefootnoteJA"/>
        <w:spacing w:line="360" w:lineRule="auto"/>
      </w:pPr>
      <w:r>
        <w:t xml:space="preserve">Abbreviations: </w:t>
      </w:r>
      <w:r w:rsidRPr="00F27B2D">
        <w:t>AUC</w:t>
      </w:r>
      <w:r w:rsidRPr="00F27B2D">
        <w:rPr>
          <w:vertAlign w:val="subscript"/>
        </w:rPr>
        <w:t>0-</w:t>
      </w:r>
      <w:r w:rsidRPr="00F27B2D">
        <w:rPr>
          <w:vertAlign w:val="subscript"/>
        </w:rPr>
        <w:sym w:font="Symbol" w:char="F074"/>
      </w:r>
      <w:r w:rsidRPr="00F27B2D">
        <w:t xml:space="preserve"> , area under the concentration-time curve from 0 to </w:t>
      </w:r>
      <w:r w:rsidRPr="00F27B2D">
        <w:sym w:font="Symbol" w:char="F074"/>
      </w:r>
      <w:r w:rsidRPr="00F27B2D">
        <w:t xml:space="preserve"> (336 h); CL, clearance; </w:t>
      </w:r>
      <w:proofErr w:type="spellStart"/>
      <w:r w:rsidRPr="00F27B2D">
        <w:t>C</w:t>
      </w:r>
      <w:r w:rsidRPr="00F27B2D">
        <w:rPr>
          <w:vertAlign w:val="subscript"/>
        </w:rPr>
        <w:t>max</w:t>
      </w:r>
      <w:proofErr w:type="spellEnd"/>
      <w:r w:rsidRPr="00F27B2D">
        <w:t xml:space="preserve">, maximum concentration; </w:t>
      </w:r>
      <w:proofErr w:type="spellStart"/>
      <w:r w:rsidRPr="00F27B2D">
        <w:t>C</w:t>
      </w:r>
      <w:r w:rsidRPr="00F27B2D">
        <w:rPr>
          <w:vertAlign w:val="subscript"/>
        </w:rPr>
        <w:t>min</w:t>
      </w:r>
      <w:proofErr w:type="spellEnd"/>
      <w:r w:rsidRPr="00F27B2D">
        <w:t xml:space="preserve">, minimum concentration; CV, </w:t>
      </w:r>
      <w:r w:rsidRPr="00F27B2D">
        <w:rPr>
          <w:rFonts w:cs="Arial"/>
        </w:rPr>
        <w:t>coefficient of variation; GM</w:t>
      </w:r>
      <w:r w:rsidRPr="00F27B2D">
        <w:t>,</w:t>
      </w:r>
      <w:r w:rsidRPr="00F27B2D">
        <w:rPr>
          <w:rFonts w:cs="Arial"/>
        </w:rPr>
        <w:t> geometric mean; R</w:t>
      </w:r>
      <w:r w:rsidRPr="00F27B2D">
        <w:rPr>
          <w:rFonts w:cs="Arial"/>
          <w:vertAlign w:val="subscript"/>
        </w:rPr>
        <w:t>A</w:t>
      </w:r>
      <w:r w:rsidRPr="00F27B2D">
        <w:t>(AUC), accumulation ratio based on AUC and relative to Cycle 1; R</w:t>
      </w:r>
      <w:r w:rsidRPr="00F27B2D">
        <w:rPr>
          <w:vertAlign w:val="subscript"/>
        </w:rPr>
        <w:t>A</w:t>
      </w:r>
      <w:r w:rsidRPr="00F27B2D">
        <w:t>(</w:t>
      </w:r>
      <w:proofErr w:type="spellStart"/>
      <w:r w:rsidRPr="00F27B2D">
        <w:t>C</w:t>
      </w:r>
      <w:r w:rsidRPr="00F27B2D">
        <w:rPr>
          <w:vertAlign w:val="subscript"/>
        </w:rPr>
        <w:t>min</w:t>
      </w:r>
      <w:proofErr w:type="spellEnd"/>
      <w:r w:rsidRPr="00F27B2D">
        <w:t xml:space="preserve">), accumulation ratio based on </w:t>
      </w:r>
      <w:proofErr w:type="spellStart"/>
      <w:r w:rsidRPr="00F27B2D">
        <w:t>C</w:t>
      </w:r>
      <w:r w:rsidRPr="00F27B2D">
        <w:rPr>
          <w:vertAlign w:val="subscript"/>
        </w:rPr>
        <w:t>min</w:t>
      </w:r>
      <w:proofErr w:type="spellEnd"/>
      <w:r w:rsidRPr="00F27B2D">
        <w:t xml:space="preserve"> and relative to Cycle 1; </w:t>
      </w:r>
      <w:r>
        <w:t>t</w:t>
      </w:r>
      <w:r w:rsidRPr="00170CB9">
        <w:rPr>
          <w:vertAlign w:val="subscript"/>
        </w:rPr>
        <w:t>1/2</w:t>
      </w:r>
      <w:r>
        <w:t xml:space="preserve">, half-life; </w:t>
      </w:r>
      <w:proofErr w:type="spellStart"/>
      <w:r w:rsidRPr="00F27B2D">
        <w:t>T</w:t>
      </w:r>
      <w:r w:rsidRPr="00F27B2D">
        <w:rPr>
          <w:vertAlign w:val="subscript"/>
        </w:rPr>
        <w:t>max</w:t>
      </w:r>
      <w:proofErr w:type="spellEnd"/>
      <w:r w:rsidRPr="00F27B2D">
        <w:t xml:space="preserve">, time to peak concentration; </w:t>
      </w:r>
      <w:proofErr w:type="spellStart"/>
      <w:r w:rsidRPr="00F27B2D">
        <w:t>V</w:t>
      </w:r>
      <w:r w:rsidRPr="00F27B2D">
        <w:rPr>
          <w:vertAlign w:val="subscript"/>
        </w:rPr>
        <w:t>ss</w:t>
      </w:r>
      <w:proofErr w:type="spellEnd"/>
      <w:r w:rsidRPr="00F27B2D">
        <w:rPr>
          <w:rFonts w:cs="Arial"/>
        </w:rPr>
        <w:t>, volume of distribution at steady state</w:t>
      </w:r>
      <w:r w:rsidRPr="00F27B2D">
        <w:t>.</w:t>
      </w:r>
    </w:p>
    <w:p w:rsidR="00676ADB" w:rsidRPr="00F27B2D" w:rsidRDefault="00676ADB" w:rsidP="00676ADB">
      <w:pPr>
        <w:pStyle w:val="FigurefootnoteJA"/>
        <w:spacing w:line="360" w:lineRule="auto"/>
      </w:pPr>
      <w:proofErr w:type="spellStart"/>
      <w:proofErr w:type="gramStart"/>
      <w:r w:rsidRPr="00433720">
        <w:rPr>
          <w:vertAlign w:val="superscript"/>
        </w:rPr>
        <w:t>a</w:t>
      </w:r>
      <w:r w:rsidRPr="00F27B2D">
        <w:t>Individual</w:t>
      </w:r>
      <w:proofErr w:type="spellEnd"/>
      <w:proofErr w:type="gramEnd"/>
      <w:r w:rsidRPr="00F27B2D">
        <w:t xml:space="preserve"> value is reported. </w:t>
      </w:r>
    </w:p>
    <w:p w:rsidR="00676ADB" w:rsidRPr="00F27B2D" w:rsidRDefault="00676ADB" w:rsidP="00676ADB">
      <w:pPr>
        <w:spacing w:before="0" w:after="200" w:line="24" w:lineRule="auto"/>
        <w:rPr>
          <w:sz w:val="16"/>
          <w:szCs w:val="16"/>
        </w:rPr>
      </w:pPr>
      <w:r w:rsidRPr="00F27B2D">
        <w:rPr>
          <w:sz w:val="16"/>
          <w:szCs w:val="16"/>
        </w:rPr>
        <w:br w:type="page"/>
      </w:r>
    </w:p>
    <w:p w:rsidR="00676ADB" w:rsidRPr="009C5CB9" w:rsidRDefault="00676ADB" w:rsidP="00676ADB">
      <w:proofErr w:type="gramStart"/>
      <w:r>
        <w:rPr>
          <w:b/>
        </w:rPr>
        <w:lastRenderedPageBreak/>
        <w:t>Supplementary T</w:t>
      </w:r>
      <w:r w:rsidRPr="00F27B2D">
        <w:rPr>
          <w:b/>
        </w:rPr>
        <w:t xml:space="preserve">able </w:t>
      </w:r>
      <w:r w:rsidR="004C7B07">
        <w:rPr>
          <w:b/>
        </w:rPr>
        <w:t>S</w:t>
      </w:r>
      <w:r w:rsidRPr="00F27B2D">
        <w:rPr>
          <w:b/>
        </w:rPr>
        <w:t>3.</w:t>
      </w:r>
      <w:proofErr w:type="gramEnd"/>
      <w:r w:rsidRPr="00F27B2D">
        <w:rPr>
          <w:b/>
        </w:rPr>
        <w:t xml:space="preserve"> </w:t>
      </w:r>
      <w:proofErr w:type="gramStart"/>
      <w:r w:rsidRPr="009C5CB9">
        <w:t>Plasma pharmacokinetic parameters of vanucizumab on Cycles 1 and 4 following weekly administration of ascending doses of vanucizumab.</w:t>
      </w:r>
      <w:proofErr w:type="gramEnd"/>
    </w:p>
    <w:tbl>
      <w:tblPr>
        <w:tblW w:w="5000" w:type="pct"/>
        <w:tblInd w:w="5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72"/>
        <w:gridCol w:w="1285"/>
        <w:gridCol w:w="1285"/>
        <w:gridCol w:w="1285"/>
        <w:gridCol w:w="1285"/>
        <w:gridCol w:w="1285"/>
        <w:gridCol w:w="1285"/>
      </w:tblGrid>
      <w:tr w:rsidR="00676ADB" w:rsidRPr="001231BE" w:rsidTr="00C3252F">
        <w:trPr>
          <w:cantSplit/>
          <w:trHeight w:val="20"/>
        </w:trPr>
        <w:tc>
          <w:tcPr>
            <w:tcW w:w="15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b/>
                <w:szCs w:val="20"/>
              </w:rPr>
              <w:t>Dose [mg/kg]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b/>
                <w:szCs w:val="20"/>
              </w:rPr>
              <w:t>Cycle1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b/>
                <w:szCs w:val="20"/>
              </w:rPr>
              <w:t>Cycle 4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1231BE">
              <w:rPr>
                <w:rFonts w:asciiTheme="minorHAnsi" w:hAnsiTheme="minorHAnsi" w:cstheme="minorHAnsi"/>
                <w:b/>
                <w:szCs w:val="20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1231BE">
              <w:rPr>
                <w:rFonts w:asciiTheme="minorHAnsi" w:hAnsiTheme="minorHAnsi" w:cstheme="minorHAnsi"/>
                <w:b/>
                <w:szCs w:val="20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1231BE">
              <w:rPr>
                <w:rFonts w:asciiTheme="minorHAnsi" w:hAnsiTheme="minorHAnsi" w:cstheme="minorHAnsi"/>
                <w:b/>
                <w:szCs w:val="20"/>
              </w:rPr>
              <w:t>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1231BE">
              <w:rPr>
                <w:rFonts w:asciiTheme="minorHAnsi" w:hAnsiTheme="minorHAnsi" w:cstheme="minorHAnsi"/>
                <w:b/>
                <w:szCs w:val="20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1231BE">
              <w:rPr>
                <w:rFonts w:asciiTheme="minorHAnsi" w:hAnsiTheme="minorHAnsi" w:cstheme="minorHAnsi"/>
                <w:b/>
                <w:szCs w:val="20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1231BE">
              <w:rPr>
                <w:rFonts w:asciiTheme="minorHAnsi" w:hAnsiTheme="minorHAnsi" w:cstheme="minorHAnsi"/>
                <w:b/>
                <w:szCs w:val="20"/>
              </w:rPr>
              <w:t>30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231BE">
              <w:rPr>
                <w:rFonts w:asciiTheme="minorHAnsi" w:hAnsiTheme="minorHAnsi" w:cstheme="minorHAnsi"/>
                <w:b/>
                <w:szCs w:val="20"/>
              </w:rPr>
              <w:t>t</w:t>
            </w:r>
            <w:r w:rsidRPr="001231BE">
              <w:rPr>
                <w:rFonts w:asciiTheme="minorHAnsi" w:hAnsiTheme="minorHAnsi" w:cstheme="minorHAnsi"/>
                <w:b/>
                <w:szCs w:val="20"/>
                <w:vertAlign w:val="subscript"/>
              </w:rPr>
              <w:t>max</w:t>
            </w:r>
            <w:proofErr w:type="spellEnd"/>
            <w:r w:rsidRPr="001231BE">
              <w:rPr>
                <w:rFonts w:asciiTheme="minorHAnsi" w:hAnsiTheme="minorHAnsi" w:cstheme="minorHAnsi"/>
                <w:b/>
                <w:szCs w:val="20"/>
              </w:rPr>
              <w:t xml:space="preserve"> [h]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Cs w:val="20"/>
              </w:rPr>
            </w:pP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4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12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szCs w:val="20"/>
              </w:rPr>
              <w:t>10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t>Median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3.0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6.0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2.0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1.38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4.75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2.0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t>Min</w:t>
            </w: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szCs w:val="20"/>
              </w:rPr>
              <w:t>Max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2.0</w:t>
            </w: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sym w:font="Symbol" w:char="F02D"/>
            </w: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6.0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2.0</w:t>
            </w: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sym w:font="Symbol" w:char="F02D"/>
            </w: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6.0</w:t>
            </w:r>
          </w:p>
        </w:tc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1.5</w:t>
            </w: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sym w:font="Symbol" w:char="F02D"/>
            </w: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4.0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0.55</w:t>
            </w: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sym w:font="Symbol" w:char="F02D"/>
            </w: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6.0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2.0</w:t>
            </w: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sym w:font="Symbol" w:char="F02D"/>
            </w: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6.0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0.5</w:t>
            </w: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sym w:font="Symbol" w:char="F02D"/>
            </w: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6.05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231BE">
              <w:rPr>
                <w:rFonts w:asciiTheme="minorHAnsi" w:hAnsiTheme="minorHAnsi" w:cstheme="minorHAnsi"/>
                <w:b/>
                <w:szCs w:val="20"/>
              </w:rPr>
              <w:t>C</w:t>
            </w:r>
            <w:r w:rsidRPr="001231BE">
              <w:rPr>
                <w:rFonts w:asciiTheme="minorHAnsi" w:hAnsiTheme="minorHAnsi" w:cstheme="minorHAnsi"/>
                <w:b/>
                <w:szCs w:val="20"/>
                <w:vertAlign w:val="subscript"/>
              </w:rPr>
              <w:t>max</w:t>
            </w:r>
            <w:proofErr w:type="spellEnd"/>
            <w:r w:rsidRPr="001231BE">
              <w:rPr>
                <w:rFonts w:asciiTheme="minorHAnsi" w:hAnsiTheme="minorHAnsi" w:cstheme="minorHAnsi"/>
                <w:b/>
                <w:szCs w:val="20"/>
              </w:rPr>
              <w:t xml:space="preserve"> [</w:t>
            </w:r>
            <w:r w:rsidRPr="001231BE">
              <w:rPr>
                <w:rFonts w:asciiTheme="minorHAnsi" w:hAnsiTheme="minorHAnsi" w:cstheme="minorHAnsi"/>
                <w:b/>
                <w:szCs w:val="20"/>
              </w:rPr>
              <w:sym w:font="Symbol" w:char="F06D"/>
            </w:r>
            <w:r w:rsidRPr="001231BE">
              <w:rPr>
                <w:rFonts w:asciiTheme="minorHAnsi" w:hAnsiTheme="minorHAnsi" w:cstheme="minorHAnsi"/>
                <w:b/>
                <w:szCs w:val="20"/>
              </w:rPr>
              <w:t>g/mL]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4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12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10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t>GM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283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451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649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488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854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1160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t>CV% GM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26.6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27.5</w:t>
            </w:r>
          </w:p>
        </w:tc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17.6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44.5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18.5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27.3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b/>
                <w:szCs w:val="20"/>
              </w:rPr>
              <w:t>AUC</w:t>
            </w:r>
            <w:r w:rsidRPr="001231BE">
              <w:rPr>
                <w:rFonts w:asciiTheme="minorHAnsi" w:hAnsiTheme="minorHAnsi" w:cstheme="minorHAnsi"/>
                <w:b/>
                <w:szCs w:val="20"/>
                <w:vertAlign w:val="subscript"/>
              </w:rPr>
              <w:t>0-</w:t>
            </w:r>
            <w:r w:rsidRPr="001231BE">
              <w:rPr>
                <w:rFonts w:asciiTheme="minorHAnsi" w:hAnsiTheme="minorHAnsi" w:cstheme="minorHAnsi"/>
                <w:b/>
                <w:szCs w:val="20"/>
                <w:vertAlign w:val="subscript"/>
              </w:rPr>
              <w:sym w:font="Symbol" w:char="F074"/>
            </w:r>
            <w:r w:rsidRPr="001231BE">
              <w:rPr>
                <w:rFonts w:asciiTheme="minorHAnsi" w:hAnsiTheme="minorHAnsi" w:cstheme="minorHAnsi"/>
                <w:b/>
                <w:szCs w:val="20"/>
              </w:rPr>
              <w:t xml:space="preserve"> [</w:t>
            </w:r>
            <w:r w:rsidRPr="001231BE">
              <w:rPr>
                <w:rFonts w:asciiTheme="minorHAnsi" w:hAnsiTheme="minorHAnsi" w:cstheme="minorHAnsi"/>
                <w:b/>
                <w:szCs w:val="20"/>
              </w:rPr>
              <w:sym w:font="Symbol" w:char="F06D"/>
            </w:r>
            <w:r w:rsidRPr="001231BE">
              <w:rPr>
                <w:rFonts w:asciiTheme="minorHAnsi" w:hAnsiTheme="minorHAnsi" w:cstheme="minorHAnsi"/>
                <w:b/>
                <w:szCs w:val="20"/>
              </w:rPr>
              <w:t>g</w:t>
            </w:r>
            <w:r w:rsidRPr="001231BE">
              <w:rPr>
                <w:rFonts w:asciiTheme="minorHAnsi" w:hAnsiTheme="minorHAnsi" w:cstheme="minorHAnsi"/>
                <w:b/>
                <w:position w:val="2"/>
                <w:szCs w:val="20"/>
              </w:rPr>
              <w:sym w:font="Symbol" w:char="F0B7"/>
            </w:r>
            <w:r w:rsidRPr="001231BE">
              <w:rPr>
                <w:rFonts w:asciiTheme="minorHAnsi" w:hAnsiTheme="minorHAnsi" w:cstheme="minorHAnsi"/>
                <w:b/>
                <w:szCs w:val="20"/>
              </w:rPr>
              <w:t>h/mL]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4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12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9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t>GM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27200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39900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58800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43200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85800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131000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t>CV% GM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45.1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21.9</w:t>
            </w:r>
          </w:p>
        </w:tc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25.7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60.2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7.86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40.7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b/>
                <w:szCs w:val="20"/>
              </w:rPr>
              <w:t>t</w:t>
            </w:r>
            <w:r w:rsidRPr="001231BE">
              <w:rPr>
                <w:rFonts w:asciiTheme="minorHAnsi" w:hAnsiTheme="minorHAnsi" w:cstheme="minorHAnsi"/>
                <w:b/>
                <w:szCs w:val="20"/>
                <w:vertAlign w:val="subscript"/>
              </w:rPr>
              <w:t>1/2</w:t>
            </w:r>
            <w:r w:rsidRPr="001231BE">
              <w:rPr>
                <w:rFonts w:asciiTheme="minorHAnsi" w:hAnsiTheme="minorHAnsi" w:cstheme="minorHAnsi"/>
                <w:b/>
                <w:szCs w:val="20"/>
              </w:rPr>
              <w:t xml:space="preserve"> [h]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8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t>GM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151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170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174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t>CV% GM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150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15.4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31.0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1231BE">
              <w:rPr>
                <w:rFonts w:asciiTheme="minorHAnsi" w:hAnsiTheme="minorHAnsi" w:cstheme="minorHAnsi"/>
                <w:b/>
                <w:szCs w:val="20"/>
              </w:rPr>
              <w:t>CL [mL/h]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8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t>GM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20.1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14.4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15.3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t>CV% GM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68.0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14.9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34.2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231BE">
              <w:rPr>
                <w:rFonts w:asciiTheme="minorHAnsi" w:hAnsiTheme="minorHAnsi" w:cstheme="minorHAnsi"/>
                <w:b/>
                <w:szCs w:val="20"/>
              </w:rPr>
              <w:t>Vss</w:t>
            </w:r>
            <w:proofErr w:type="spellEnd"/>
            <w:r w:rsidRPr="001231BE">
              <w:rPr>
                <w:rFonts w:asciiTheme="minorHAnsi" w:hAnsiTheme="minorHAnsi" w:cstheme="minorHAnsi"/>
                <w:b/>
                <w:szCs w:val="20"/>
              </w:rPr>
              <w:t xml:space="preserve"> [mL]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8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t>GM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3910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3290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3660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t>CV% GM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79.1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33.4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21.7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231BE">
              <w:rPr>
                <w:rFonts w:asciiTheme="minorHAnsi" w:hAnsiTheme="minorHAnsi" w:cstheme="minorHAnsi"/>
                <w:b/>
                <w:szCs w:val="20"/>
              </w:rPr>
              <w:t>C</w:t>
            </w:r>
            <w:r w:rsidRPr="001231BE">
              <w:rPr>
                <w:rFonts w:asciiTheme="minorHAnsi" w:hAnsiTheme="minorHAnsi" w:cstheme="minorHAnsi"/>
                <w:b/>
                <w:szCs w:val="20"/>
                <w:vertAlign w:val="subscript"/>
              </w:rPr>
              <w:t>min</w:t>
            </w:r>
            <w:proofErr w:type="spellEnd"/>
            <w:r w:rsidRPr="001231BE">
              <w:rPr>
                <w:rFonts w:asciiTheme="minorHAnsi" w:hAnsiTheme="minorHAnsi" w:cstheme="minorHAnsi"/>
                <w:b/>
                <w:szCs w:val="20"/>
              </w:rPr>
              <w:t xml:space="preserve"> [</w:t>
            </w:r>
            <w:proofErr w:type="spellStart"/>
            <w:r w:rsidRPr="001231BE">
              <w:rPr>
                <w:rFonts w:asciiTheme="minorHAnsi" w:hAnsiTheme="minorHAnsi" w:cstheme="minorHAnsi"/>
                <w:b/>
                <w:szCs w:val="20"/>
              </w:rPr>
              <w:t>ug</w:t>
            </w:r>
            <w:proofErr w:type="spellEnd"/>
            <w:r w:rsidRPr="001231BE">
              <w:rPr>
                <w:rFonts w:asciiTheme="minorHAnsi" w:hAnsiTheme="minorHAnsi" w:cstheme="minorHAnsi"/>
                <w:b/>
                <w:szCs w:val="20"/>
              </w:rPr>
              <w:t>/mL]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4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12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10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t>GM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66.8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129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220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135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374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484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t>CV% GM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44.2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35.9</w:t>
            </w:r>
          </w:p>
        </w:tc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32.1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128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13.5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53.3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b/>
                <w:szCs w:val="20"/>
              </w:rPr>
              <w:t>R</w:t>
            </w:r>
            <w:r w:rsidRPr="001231BE">
              <w:rPr>
                <w:rFonts w:asciiTheme="minorHAnsi" w:hAnsiTheme="minorHAnsi" w:cstheme="minorHAnsi"/>
                <w:b/>
                <w:szCs w:val="20"/>
                <w:vertAlign w:val="subscript"/>
              </w:rPr>
              <w:t>A</w:t>
            </w:r>
            <w:r w:rsidRPr="001231BE">
              <w:rPr>
                <w:rFonts w:asciiTheme="minorHAnsi" w:hAnsiTheme="minorHAnsi" w:cstheme="minorHAnsi"/>
                <w:b/>
                <w:szCs w:val="20"/>
              </w:rPr>
              <w:t>(AUC) [</w:t>
            </w:r>
            <w:r w:rsidRPr="001231BE">
              <w:rPr>
                <w:rFonts w:asciiTheme="minorHAnsi" w:hAnsiTheme="minorHAnsi" w:cstheme="minorHAnsi"/>
                <w:b/>
                <w:szCs w:val="20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b/>
                <w:szCs w:val="20"/>
              </w:rPr>
              <w:t>]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9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t>GM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1.33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2.38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2.23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t>CV% GM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41.7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2.16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21.3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b/>
                <w:szCs w:val="20"/>
              </w:rPr>
              <w:t>R</w:t>
            </w:r>
            <w:r w:rsidRPr="001231BE">
              <w:rPr>
                <w:rFonts w:asciiTheme="minorHAnsi" w:hAnsiTheme="minorHAnsi" w:cstheme="minorHAnsi"/>
                <w:b/>
                <w:szCs w:val="20"/>
                <w:vertAlign w:val="subscript"/>
              </w:rPr>
              <w:t>A</w:t>
            </w:r>
            <w:r w:rsidRPr="001231BE">
              <w:rPr>
                <w:rFonts w:asciiTheme="minorHAnsi" w:hAnsiTheme="minorHAnsi" w:cstheme="minorHAnsi"/>
                <w:b/>
                <w:szCs w:val="20"/>
              </w:rPr>
              <w:t>(</w:t>
            </w:r>
            <w:proofErr w:type="spellStart"/>
            <w:r w:rsidRPr="001231BE">
              <w:rPr>
                <w:rFonts w:asciiTheme="minorHAnsi" w:hAnsiTheme="minorHAnsi" w:cstheme="minorHAnsi"/>
                <w:b/>
                <w:szCs w:val="20"/>
              </w:rPr>
              <w:t>C</w:t>
            </w:r>
            <w:r w:rsidRPr="001231BE">
              <w:rPr>
                <w:rFonts w:asciiTheme="minorHAnsi" w:hAnsiTheme="minorHAnsi" w:cstheme="minorHAnsi"/>
                <w:b/>
                <w:szCs w:val="20"/>
                <w:vertAlign w:val="subscript"/>
              </w:rPr>
              <w:t>min</w:t>
            </w:r>
            <w:proofErr w:type="spellEnd"/>
            <w:r w:rsidRPr="001231BE">
              <w:rPr>
                <w:rFonts w:asciiTheme="minorHAnsi" w:hAnsiTheme="minorHAnsi" w:cstheme="minorHAnsi"/>
                <w:b/>
                <w:szCs w:val="20"/>
              </w:rPr>
              <w:t>) [</w:t>
            </w:r>
            <w:r w:rsidRPr="001231BE">
              <w:rPr>
                <w:rFonts w:asciiTheme="minorHAnsi" w:hAnsiTheme="minorHAnsi" w:cstheme="minorHAnsi"/>
                <w:b/>
                <w:szCs w:val="20"/>
              </w:rPr>
              <w:sym w:font="Symbol" w:char="F02D"/>
            </w:r>
            <w:r w:rsidRPr="001231BE">
              <w:rPr>
                <w:rFonts w:asciiTheme="minorHAnsi" w:hAnsiTheme="minorHAnsi" w:cstheme="minorHAnsi"/>
                <w:b/>
                <w:szCs w:val="20"/>
              </w:rPr>
              <w:t>]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</w:pP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10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t>GM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2.02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2.89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2.24</w:t>
            </w:r>
          </w:p>
        </w:tc>
      </w:tr>
      <w:tr w:rsidR="00676ADB" w:rsidRPr="001231BE" w:rsidTr="00C3252F">
        <w:trPr>
          <w:cantSplit/>
          <w:trHeight w:val="20"/>
        </w:trPr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Left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t>CV% GM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hAnsiTheme="minorHAnsi" w:cstheme="minorHAnsi"/>
                <w:szCs w:val="20"/>
              </w:rPr>
              <w:sym w:font="Symbol" w:char="F02D"/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118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30.7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DB" w:rsidRPr="001231BE" w:rsidRDefault="00676ADB" w:rsidP="00C3252F">
            <w:pPr>
              <w:pStyle w:val="TableCell10Center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231BE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33.4</w:t>
            </w:r>
          </w:p>
        </w:tc>
      </w:tr>
    </w:tbl>
    <w:p w:rsidR="00676ADB" w:rsidRPr="00F27B2D" w:rsidRDefault="00676ADB" w:rsidP="00676ADB">
      <w:pPr>
        <w:pStyle w:val="FigurefootnoteJA"/>
        <w:rPr>
          <w:sz w:val="16"/>
          <w:szCs w:val="16"/>
        </w:rPr>
      </w:pPr>
      <w:r>
        <w:t xml:space="preserve">Abbreviations: </w:t>
      </w:r>
      <w:r w:rsidRPr="00F27B2D">
        <w:t>AUC</w:t>
      </w:r>
      <w:r w:rsidRPr="00F27B2D">
        <w:rPr>
          <w:vertAlign w:val="subscript"/>
        </w:rPr>
        <w:t>0-</w:t>
      </w:r>
      <w:r w:rsidRPr="00F27B2D">
        <w:rPr>
          <w:vertAlign w:val="subscript"/>
        </w:rPr>
        <w:sym w:font="Symbol" w:char="F074"/>
      </w:r>
      <w:r w:rsidRPr="00F27B2D">
        <w:t xml:space="preserve"> , area under the concentration-time curve from 0 to </w:t>
      </w:r>
      <w:r w:rsidRPr="00F27B2D">
        <w:sym w:font="Symbol" w:char="F074"/>
      </w:r>
      <w:r w:rsidRPr="00F27B2D">
        <w:t xml:space="preserve"> (336 h); CL, clearance; </w:t>
      </w:r>
      <w:proofErr w:type="spellStart"/>
      <w:r w:rsidRPr="00F27B2D">
        <w:t>C</w:t>
      </w:r>
      <w:r w:rsidRPr="00F27B2D">
        <w:rPr>
          <w:vertAlign w:val="subscript"/>
        </w:rPr>
        <w:t>max</w:t>
      </w:r>
      <w:proofErr w:type="spellEnd"/>
      <w:r w:rsidRPr="00F27B2D">
        <w:t xml:space="preserve">, maximum concentration; </w:t>
      </w:r>
      <w:proofErr w:type="spellStart"/>
      <w:r w:rsidRPr="00F27B2D">
        <w:t>C</w:t>
      </w:r>
      <w:r w:rsidRPr="00F27B2D">
        <w:rPr>
          <w:vertAlign w:val="subscript"/>
        </w:rPr>
        <w:t>min</w:t>
      </w:r>
      <w:proofErr w:type="spellEnd"/>
      <w:r w:rsidRPr="00F27B2D">
        <w:t xml:space="preserve">, minimum concentration; CV, </w:t>
      </w:r>
      <w:r w:rsidRPr="00F27B2D">
        <w:rPr>
          <w:rFonts w:cs="Arial"/>
        </w:rPr>
        <w:t>coefficient of variation; GM</w:t>
      </w:r>
      <w:r w:rsidRPr="00F27B2D">
        <w:t>,</w:t>
      </w:r>
      <w:r w:rsidRPr="00F27B2D">
        <w:rPr>
          <w:rFonts w:cs="Arial"/>
        </w:rPr>
        <w:t> geometric mean; R</w:t>
      </w:r>
      <w:r w:rsidRPr="00F27B2D">
        <w:rPr>
          <w:rFonts w:cs="Arial"/>
          <w:vertAlign w:val="subscript"/>
        </w:rPr>
        <w:t>A</w:t>
      </w:r>
      <w:r w:rsidRPr="00F27B2D">
        <w:t>(AUC), accumulation ratio based on AUC and relative to Cycle 1; R</w:t>
      </w:r>
      <w:r w:rsidRPr="00F27B2D">
        <w:rPr>
          <w:vertAlign w:val="subscript"/>
        </w:rPr>
        <w:t>A</w:t>
      </w:r>
      <w:r w:rsidRPr="00F27B2D">
        <w:t>(</w:t>
      </w:r>
      <w:proofErr w:type="spellStart"/>
      <w:r w:rsidRPr="00F27B2D">
        <w:t>C</w:t>
      </w:r>
      <w:r w:rsidRPr="00F27B2D">
        <w:rPr>
          <w:vertAlign w:val="subscript"/>
        </w:rPr>
        <w:t>min</w:t>
      </w:r>
      <w:proofErr w:type="spellEnd"/>
      <w:r w:rsidRPr="00F27B2D">
        <w:t xml:space="preserve">), accumulation ratio based on </w:t>
      </w:r>
      <w:proofErr w:type="spellStart"/>
      <w:r w:rsidRPr="00F27B2D">
        <w:t>C</w:t>
      </w:r>
      <w:r w:rsidRPr="00F27B2D">
        <w:rPr>
          <w:vertAlign w:val="subscript"/>
        </w:rPr>
        <w:t>min</w:t>
      </w:r>
      <w:proofErr w:type="spellEnd"/>
      <w:r w:rsidRPr="00F27B2D">
        <w:t xml:space="preserve"> and relative to Cycle 1; </w:t>
      </w:r>
      <w:r>
        <w:t>t</w:t>
      </w:r>
      <w:r w:rsidRPr="00170CB9">
        <w:rPr>
          <w:vertAlign w:val="subscript"/>
        </w:rPr>
        <w:t>1/2</w:t>
      </w:r>
      <w:r>
        <w:t xml:space="preserve">, half-life; </w:t>
      </w:r>
      <w:proofErr w:type="spellStart"/>
      <w:r w:rsidRPr="00F27B2D">
        <w:t>T</w:t>
      </w:r>
      <w:r w:rsidRPr="00F27B2D">
        <w:rPr>
          <w:vertAlign w:val="subscript"/>
        </w:rPr>
        <w:t>max</w:t>
      </w:r>
      <w:proofErr w:type="spellEnd"/>
      <w:r w:rsidRPr="00F27B2D">
        <w:t xml:space="preserve">, time to peak concentration; </w:t>
      </w:r>
      <w:proofErr w:type="spellStart"/>
      <w:r w:rsidRPr="00F27B2D">
        <w:t>V</w:t>
      </w:r>
      <w:r w:rsidRPr="00F27B2D">
        <w:rPr>
          <w:vertAlign w:val="subscript"/>
        </w:rPr>
        <w:t>ss</w:t>
      </w:r>
      <w:proofErr w:type="spellEnd"/>
      <w:r w:rsidRPr="00F27B2D">
        <w:rPr>
          <w:rFonts w:cs="Arial"/>
        </w:rPr>
        <w:t>, volume of distribution at steady state</w:t>
      </w:r>
      <w:r w:rsidRPr="00F27B2D">
        <w:t>.</w:t>
      </w:r>
      <w:r w:rsidRPr="00F27B2D">
        <w:rPr>
          <w:sz w:val="16"/>
          <w:szCs w:val="16"/>
        </w:rPr>
        <w:br w:type="page"/>
      </w:r>
    </w:p>
    <w:p w:rsidR="00676ADB" w:rsidRPr="009C5CB9" w:rsidRDefault="00676ADB" w:rsidP="00676ADB">
      <w:r>
        <w:rPr>
          <w:b/>
        </w:rPr>
        <w:lastRenderedPageBreak/>
        <w:t>Supplementary F</w:t>
      </w:r>
      <w:r w:rsidRPr="00F27B2D">
        <w:rPr>
          <w:b/>
        </w:rPr>
        <w:t xml:space="preserve">igure </w:t>
      </w:r>
      <w:r w:rsidR="004C7B07">
        <w:rPr>
          <w:b/>
        </w:rPr>
        <w:t>S</w:t>
      </w:r>
      <w:r w:rsidRPr="00F27B2D">
        <w:rPr>
          <w:b/>
        </w:rPr>
        <w:t xml:space="preserve">1. </w:t>
      </w:r>
      <w:r w:rsidRPr="009C5CB9">
        <w:t>Parametric K</w:t>
      </w:r>
      <w:r w:rsidRPr="009C5CB9">
        <w:rPr>
          <w:vertAlign w:val="superscript"/>
        </w:rPr>
        <w:t>TRANS</w:t>
      </w:r>
      <w:r w:rsidRPr="009C5CB9">
        <w:t xml:space="preserve"> map for a patient with colorectal carcinoma treated with 30 mg/kg vanucizumab </w:t>
      </w:r>
      <w:r>
        <w:t>bi-weekly</w:t>
      </w:r>
      <w:r w:rsidRPr="009C5CB9">
        <w:t>.</w:t>
      </w:r>
    </w:p>
    <w:p w:rsidR="00676ADB" w:rsidRPr="00F27B2D" w:rsidRDefault="00676ADB" w:rsidP="00676ADB">
      <w:r w:rsidRPr="00F27B2D">
        <w:rPr>
          <w:noProof/>
          <w:lang w:val="en-GB" w:eastAsia="en-GB"/>
        </w:rPr>
        <w:drawing>
          <wp:inline distT="0" distB="0" distL="0" distR="0">
            <wp:extent cx="5943600" cy="2834640"/>
            <wp:effectExtent l="0" t="0" r="0" b="381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453" w:rsidRPr="005C6849" w:rsidRDefault="00857453" w:rsidP="00857453"/>
    <w:sectPr w:rsidR="00857453" w:rsidRPr="005C6849" w:rsidSect="002A4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Light">
    <w:altName w:val="Imag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96F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AE4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644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A6011E"/>
    <w:lvl w:ilvl="0">
      <w:start w:val="1"/>
      <w:numFmt w:val="lowerLetter"/>
      <w:pStyle w:val="ListNumber2"/>
      <w:lvlText w:val="%1."/>
      <w:lvlJc w:val="left"/>
      <w:pPr>
        <w:ind w:left="724" w:hanging="360"/>
      </w:pPr>
    </w:lvl>
  </w:abstractNum>
  <w:abstractNum w:abstractNumId="4">
    <w:nsid w:val="FFFFFF80"/>
    <w:multiLevelType w:val="singleLevel"/>
    <w:tmpl w:val="4F305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DC64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C00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5CDF06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941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E4D3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203B4"/>
    <w:multiLevelType w:val="hybridMultilevel"/>
    <w:tmpl w:val="6A3CEDBA"/>
    <w:lvl w:ilvl="0" w:tplc="14CE68A6">
      <w:start w:val="1"/>
      <w:numFmt w:val="decimal"/>
      <w:pStyle w:val="TableTitle"/>
      <w:lvlText w:val="Table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C77614"/>
    <w:multiLevelType w:val="multilevel"/>
    <w:tmpl w:val="A7726792"/>
    <w:numStyleLink w:val="MultiNumberedList"/>
  </w:abstractNum>
  <w:abstractNum w:abstractNumId="12">
    <w:nsid w:val="06884205"/>
    <w:multiLevelType w:val="hybridMultilevel"/>
    <w:tmpl w:val="27960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17203A"/>
    <w:multiLevelType w:val="hybridMultilevel"/>
    <w:tmpl w:val="165E98B4"/>
    <w:lvl w:ilvl="0" w:tplc="9626B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4A8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AD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EF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23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C6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C7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EC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6B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4815909"/>
    <w:multiLevelType w:val="hybridMultilevel"/>
    <w:tmpl w:val="ED3CBD0A"/>
    <w:lvl w:ilvl="0" w:tplc="6068005A">
      <w:numFmt w:val="bullet"/>
      <w:lvlText w:val=""/>
      <w:lvlJc w:val="left"/>
      <w:pPr>
        <w:ind w:left="68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5">
    <w:nsid w:val="14F40225"/>
    <w:multiLevelType w:val="multilevel"/>
    <w:tmpl w:val="A7726792"/>
    <w:styleLink w:val="MultiNumberedList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8AD4E28"/>
    <w:multiLevelType w:val="multilevel"/>
    <w:tmpl w:val="A7726792"/>
    <w:numStyleLink w:val="MultiNumberedList"/>
  </w:abstractNum>
  <w:abstractNum w:abstractNumId="17">
    <w:nsid w:val="198F403B"/>
    <w:multiLevelType w:val="hybridMultilevel"/>
    <w:tmpl w:val="BBD8C794"/>
    <w:lvl w:ilvl="0" w:tplc="0FEAE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AF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04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E8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CD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67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E9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8C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C2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0076A26"/>
    <w:multiLevelType w:val="hybridMultilevel"/>
    <w:tmpl w:val="21647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B4CF9"/>
    <w:multiLevelType w:val="multilevel"/>
    <w:tmpl w:val="A7726792"/>
    <w:numStyleLink w:val="MultiNumberedList"/>
  </w:abstractNum>
  <w:abstractNum w:abstractNumId="20">
    <w:nsid w:val="23582A8E"/>
    <w:multiLevelType w:val="multilevel"/>
    <w:tmpl w:val="A7726792"/>
    <w:numStyleLink w:val="MultiNumberedList"/>
  </w:abstractNum>
  <w:abstractNum w:abstractNumId="21">
    <w:nsid w:val="29776967"/>
    <w:multiLevelType w:val="multilevel"/>
    <w:tmpl w:val="DBE8F7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EA814F5"/>
    <w:multiLevelType w:val="hybridMultilevel"/>
    <w:tmpl w:val="63E26F4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F783841"/>
    <w:multiLevelType w:val="hybridMultilevel"/>
    <w:tmpl w:val="C7E8C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F914F1"/>
    <w:multiLevelType w:val="hybridMultilevel"/>
    <w:tmpl w:val="1C86845E"/>
    <w:lvl w:ilvl="0" w:tplc="B00C4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44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03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68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2B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EB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63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87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C5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7D17F43"/>
    <w:multiLevelType w:val="multilevel"/>
    <w:tmpl w:val="A7726792"/>
    <w:numStyleLink w:val="MultiNumberedList"/>
  </w:abstractNum>
  <w:abstractNum w:abstractNumId="26">
    <w:nsid w:val="37D357D8"/>
    <w:multiLevelType w:val="hybridMultilevel"/>
    <w:tmpl w:val="8AFC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451A35"/>
    <w:multiLevelType w:val="hybridMultilevel"/>
    <w:tmpl w:val="ADEA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4B0589"/>
    <w:multiLevelType w:val="hybridMultilevel"/>
    <w:tmpl w:val="FD7E57A2"/>
    <w:lvl w:ilvl="0" w:tplc="0407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19629A"/>
    <w:multiLevelType w:val="multilevel"/>
    <w:tmpl w:val="A7726792"/>
    <w:numStyleLink w:val="MultiNumberedList"/>
  </w:abstractNum>
  <w:abstractNum w:abstractNumId="30">
    <w:nsid w:val="40DD18F3"/>
    <w:multiLevelType w:val="hybridMultilevel"/>
    <w:tmpl w:val="92A2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170BEB"/>
    <w:multiLevelType w:val="hybridMultilevel"/>
    <w:tmpl w:val="B1D6D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AA56EB"/>
    <w:multiLevelType w:val="multilevel"/>
    <w:tmpl w:val="8AB27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4F193B25"/>
    <w:multiLevelType w:val="hybridMultilevel"/>
    <w:tmpl w:val="6F2AF748"/>
    <w:lvl w:ilvl="0" w:tplc="0D0CC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CE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AE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43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E8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20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07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00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04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F4133BF"/>
    <w:multiLevelType w:val="hybridMultilevel"/>
    <w:tmpl w:val="E47E7A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0422D88"/>
    <w:multiLevelType w:val="hybridMultilevel"/>
    <w:tmpl w:val="DC6E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6274B8"/>
    <w:multiLevelType w:val="multilevel"/>
    <w:tmpl w:val="A7726792"/>
    <w:numStyleLink w:val="MultiNumberedList"/>
  </w:abstractNum>
  <w:abstractNum w:abstractNumId="37">
    <w:nsid w:val="5F883D59"/>
    <w:multiLevelType w:val="hybridMultilevel"/>
    <w:tmpl w:val="F70E94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100D06"/>
    <w:multiLevelType w:val="hybridMultilevel"/>
    <w:tmpl w:val="BC82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462AE8"/>
    <w:multiLevelType w:val="multilevel"/>
    <w:tmpl w:val="A7726792"/>
    <w:numStyleLink w:val="MultiNumberedList"/>
  </w:abstractNum>
  <w:abstractNum w:abstractNumId="40">
    <w:nsid w:val="67CD79A6"/>
    <w:multiLevelType w:val="multilevel"/>
    <w:tmpl w:val="80CC70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6C8F7188"/>
    <w:multiLevelType w:val="hybridMultilevel"/>
    <w:tmpl w:val="98B8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1622CE"/>
    <w:multiLevelType w:val="multilevel"/>
    <w:tmpl w:val="DBE8F7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6E3772CC"/>
    <w:multiLevelType w:val="multilevel"/>
    <w:tmpl w:val="A7726792"/>
    <w:numStyleLink w:val="MultiNumberedList"/>
  </w:abstractNum>
  <w:abstractNum w:abstractNumId="44">
    <w:nsid w:val="718B3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24F0EFB"/>
    <w:multiLevelType w:val="hybridMultilevel"/>
    <w:tmpl w:val="DEC60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6A7821"/>
    <w:multiLevelType w:val="multilevel"/>
    <w:tmpl w:val="A7726792"/>
    <w:numStyleLink w:val="MultiNumberedList"/>
  </w:abstractNum>
  <w:abstractNum w:abstractNumId="47">
    <w:nsid w:val="77CA4F02"/>
    <w:multiLevelType w:val="hybridMultilevel"/>
    <w:tmpl w:val="E3F60B82"/>
    <w:lvl w:ilvl="0" w:tplc="0407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1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-29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</w:abstractNum>
  <w:abstractNum w:abstractNumId="48">
    <w:nsid w:val="7BD8644A"/>
    <w:multiLevelType w:val="hybridMultilevel"/>
    <w:tmpl w:val="48E4DE84"/>
    <w:lvl w:ilvl="0" w:tplc="F2763442">
      <w:start w:val="1"/>
      <w:numFmt w:val="upperLetter"/>
      <w:lvlText w:val="(%1)"/>
      <w:lvlJc w:val="left"/>
      <w:pPr>
        <w:ind w:left="750" w:hanging="39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287A83"/>
    <w:multiLevelType w:val="hybridMultilevel"/>
    <w:tmpl w:val="B59A6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4"/>
  </w:num>
  <w:num w:numId="12">
    <w:abstractNumId w:val="42"/>
  </w:num>
  <w:num w:numId="13">
    <w:abstractNumId w:val="21"/>
  </w:num>
  <w:num w:numId="14">
    <w:abstractNumId w:val="40"/>
  </w:num>
  <w:num w:numId="15">
    <w:abstractNumId w:val="32"/>
  </w:num>
  <w:num w:numId="16">
    <w:abstractNumId w:val="15"/>
  </w:num>
  <w:num w:numId="17">
    <w:abstractNumId w:val="46"/>
  </w:num>
  <w:num w:numId="18">
    <w:abstractNumId w:val="43"/>
  </w:num>
  <w:num w:numId="19">
    <w:abstractNumId w:val="36"/>
  </w:num>
  <w:num w:numId="20">
    <w:abstractNumId w:val="16"/>
  </w:num>
  <w:num w:numId="21">
    <w:abstractNumId w:val="11"/>
  </w:num>
  <w:num w:numId="22">
    <w:abstractNumId w:val="39"/>
  </w:num>
  <w:num w:numId="23">
    <w:abstractNumId w:val="29"/>
  </w:num>
  <w:num w:numId="24">
    <w:abstractNumId w:val="19"/>
  </w:num>
  <w:num w:numId="25">
    <w:abstractNumId w:val="25"/>
  </w:num>
  <w:num w:numId="26">
    <w:abstractNumId w:val="20"/>
  </w:num>
  <w:num w:numId="27">
    <w:abstractNumId w:val="49"/>
  </w:num>
  <w:num w:numId="28">
    <w:abstractNumId w:val="18"/>
  </w:num>
  <w:num w:numId="29">
    <w:abstractNumId w:val="12"/>
  </w:num>
  <w:num w:numId="30">
    <w:abstractNumId w:val="14"/>
  </w:num>
  <w:num w:numId="31">
    <w:abstractNumId w:val="26"/>
  </w:num>
  <w:num w:numId="32">
    <w:abstractNumId w:val="28"/>
  </w:num>
  <w:num w:numId="33">
    <w:abstractNumId w:val="47"/>
  </w:num>
  <w:num w:numId="34">
    <w:abstractNumId w:val="10"/>
  </w:num>
  <w:num w:numId="35">
    <w:abstractNumId w:val="23"/>
  </w:num>
  <w:num w:numId="36">
    <w:abstractNumId w:val="38"/>
  </w:num>
  <w:num w:numId="37">
    <w:abstractNumId w:val="13"/>
  </w:num>
  <w:num w:numId="38">
    <w:abstractNumId w:val="33"/>
  </w:num>
  <w:num w:numId="39">
    <w:abstractNumId w:val="17"/>
  </w:num>
  <w:num w:numId="40">
    <w:abstractNumId w:val="24"/>
  </w:num>
  <w:num w:numId="41">
    <w:abstractNumId w:val="22"/>
  </w:num>
  <w:num w:numId="42">
    <w:abstractNumId w:val="34"/>
  </w:num>
  <w:num w:numId="43">
    <w:abstractNumId w:val="41"/>
  </w:num>
  <w:num w:numId="44">
    <w:abstractNumId w:val="2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45"/>
  </w:num>
  <w:num w:numId="48">
    <w:abstractNumId w:val="35"/>
  </w:num>
  <w:num w:numId="49">
    <w:abstractNumId w:val="30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stylePaneFormatFilter w:val="1021"/>
  <w:revisionView w:inkAnnotations="0"/>
  <w:defaultTabStop w:val="720"/>
  <w:characterSpacingControl w:val="doNotCompress"/>
  <w:compat/>
  <w:rsids>
    <w:rsidRoot w:val="00676ADB"/>
    <w:rsid w:val="0001169B"/>
    <w:rsid w:val="00017195"/>
    <w:rsid w:val="000577B7"/>
    <w:rsid w:val="0006202E"/>
    <w:rsid w:val="000820D9"/>
    <w:rsid w:val="000834FE"/>
    <w:rsid w:val="000B05FC"/>
    <w:rsid w:val="000F601D"/>
    <w:rsid w:val="0014646C"/>
    <w:rsid w:val="0016516A"/>
    <w:rsid w:val="00182758"/>
    <w:rsid w:val="00197B54"/>
    <w:rsid w:val="001C2D35"/>
    <w:rsid w:val="001F1DF6"/>
    <w:rsid w:val="001F5C1F"/>
    <w:rsid w:val="00206A7A"/>
    <w:rsid w:val="00210DC3"/>
    <w:rsid w:val="00217BE8"/>
    <w:rsid w:val="00250B2C"/>
    <w:rsid w:val="002837FD"/>
    <w:rsid w:val="002A497D"/>
    <w:rsid w:val="002D1976"/>
    <w:rsid w:val="002F2B20"/>
    <w:rsid w:val="0030146B"/>
    <w:rsid w:val="003048F3"/>
    <w:rsid w:val="00352EBE"/>
    <w:rsid w:val="003734C2"/>
    <w:rsid w:val="003773CF"/>
    <w:rsid w:val="00391F24"/>
    <w:rsid w:val="003E0D65"/>
    <w:rsid w:val="00413DD6"/>
    <w:rsid w:val="00422453"/>
    <w:rsid w:val="00425E60"/>
    <w:rsid w:val="00444069"/>
    <w:rsid w:val="004A0017"/>
    <w:rsid w:val="004A1E90"/>
    <w:rsid w:val="004C7B07"/>
    <w:rsid w:val="004D3959"/>
    <w:rsid w:val="005164F7"/>
    <w:rsid w:val="005223A2"/>
    <w:rsid w:val="005561E4"/>
    <w:rsid w:val="005C6849"/>
    <w:rsid w:val="005F3F3C"/>
    <w:rsid w:val="006035AE"/>
    <w:rsid w:val="00620B6A"/>
    <w:rsid w:val="006309AE"/>
    <w:rsid w:val="00676ADB"/>
    <w:rsid w:val="006B3EFC"/>
    <w:rsid w:val="006E7346"/>
    <w:rsid w:val="00726203"/>
    <w:rsid w:val="0075548E"/>
    <w:rsid w:val="00771173"/>
    <w:rsid w:val="007A4B48"/>
    <w:rsid w:val="007E0CC6"/>
    <w:rsid w:val="007F5ECA"/>
    <w:rsid w:val="00836FF3"/>
    <w:rsid w:val="00852CA3"/>
    <w:rsid w:val="00857453"/>
    <w:rsid w:val="008F008A"/>
    <w:rsid w:val="00924425"/>
    <w:rsid w:val="009700BA"/>
    <w:rsid w:val="00A2250D"/>
    <w:rsid w:val="00A371F0"/>
    <w:rsid w:val="00A5708E"/>
    <w:rsid w:val="00A94BB8"/>
    <w:rsid w:val="00AE3B6A"/>
    <w:rsid w:val="00AF1CE6"/>
    <w:rsid w:val="00B25984"/>
    <w:rsid w:val="00B35173"/>
    <w:rsid w:val="00B42082"/>
    <w:rsid w:val="00B60324"/>
    <w:rsid w:val="00B9407F"/>
    <w:rsid w:val="00BD3E09"/>
    <w:rsid w:val="00C466F3"/>
    <w:rsid w:val="00C6023A"/>
    <w:rsid w:val="00C7337C"/>
    <w:rsid w:val="00C8724C"/>
    <w:rsid w:val="00CE254C"/>
    <w:rsid w:val="00D22F24"/>
    <w:rsid w:val="00D64B12"/>
    <w:rsid w:val="00D66D53"/>
    <w:rsid w:val="00D75505"/>
    <w:rsid w:val="00D945FC"/>
    <w:rsid w:val="00DC01ED"/>
    <w:rsid w:val="00DC28FE"/>
    <w:rsid w:val="00DD32D3"/>
    <w:rsid w:val="00DF23EC"/>
    <w:rsid w:val="00DF647E"/>
    <w:rsid w:val="00E1506A"/>
    <w:rsid w:val="00E26359"/>
    <w:rsid w:val="00E41D03"/>
    <w:rsid w:val="00E702C1"/>
    <w:rsid w:val="00E73E01"/>
    <w:rsid w:val="00E84539"/>
    <w:rsid w:val="00E90E3F"/>
    <w:rsid w:val="00E94FBB"/>
    <w:rsid w:val="00EF2468"/>
    <w:rsid w:val="00EF7EA6"/>
    <w:rsid w:val="00F03D73"/>
    <w:rsid w:val="00F17911"/>
    <w:rsid w:val="00F326C7"/>
    <w:rsid w:val="00F52538"/>
    <w:rsid w:val="00F67E04"/>
    <w:rsid w:val="00F834DC"/>
    <w:rsid w:val="00F92E4F"/>
    <w:rsid w:val="00F95A08"/>
    <w:rsid w:val="00FC3556"/>
    <w:rsid w:val="00FD66BF"/>
    <w:rsid w:val="00FE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List Bullet" w:semiHidden="0" w:unhideWhenUsed="0" w:qFormat="1"/>
    <w:lsdException w:name="List Number" w:semiHidden="0" w:unhideWhenUsed="0"/>
    <w:lsdException w:name="List Bullet 2" w:semiHidden="0" w:uiPriority="0" w:unhideWhenUsed="0"/>
    <w:lsdException w:name="List Bullet 3" w:semiHidden="0" w:unhideWhenUsed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DB"/>
    <w:pPr>
      <w:spacing w:before="60" w:after="180" w:line="480" w:lineRule="auto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849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684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7195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C6849"/>
    <w:pPr>
      <w:keepNext/>
      <w:keepLines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8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6849"/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NoSpacing">
    <w:name w:val="No Spacing"/>
    <w:uiPriority w:val="1"/>
    <w:semiHidden/>
    <w:rsid w:val="0006202E"/>
    <w:pPr>
      <w:spacing w:after="0" w:line="240" w:lineRule="auto"/>
    </w:pPr>
    <w:rPr>
      <w:rFonts w:ascii="Arial" w:hAnsi="Arial"/>
    </w:rPr>
  </w:style>
  <w:style w:type="paragraph" w:styleId="ListBullet">
    <w:name w:val="List Bullet"/>
    <w:basedOn w:val="Normal"/>
    <w:uiPriority w:val="99"/>
    <w:qFormat/>
    <w:rsid w:val="00A5708E"/>
    <w:pPr>
      <w:numPr>
        <w:numId w:val="1"/>
      </w:numPr>
      <w:tabs>
        <w:tab w:val="clear" w:pos="360"/>
        <w:tab w:val="num" w:pos="364"/>
      </w:tabs>
      <w:spacing w:before="0"/>
      <w:ind w:left="362" w:hanging="249"/>
      <w:contextualSpacing/>
    </w:pPr>
  </w:style>
  <w:style w:type="paragraph" w:styleId="ListBullet2">
    <w:name w:val="List Bullet 2"/>
    <w:basedOn w:val="Normal"/>
    <w:rsid w:val="00F03D73"/>
    <w:pPr>
      <w:numPr>
        <w:numId w:val="2"/>
      </w:numPr>
      <w:tabs>
        <w:tab w:val="clear" w:pos="643"/>
        <w:tab w:val="num" w:pos="644"/>
      </w:tabs>
      <w:ind w:left="644" w:hanging="281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1719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C6849"/>
    <w:rPr>
      <w:rFonts w:asciiTheme="majorHAnsi" w:eastAsiaTheme="majorEastAsia" w:hAnsiTheme="majorHAnsi" w:cstheme="majorBidi"/>
      <w:bCs/>
      <w:i/>
      <w:iCs/>
    </w:rPr>
  </w:style>
  <w:style w:type="paragraph" w:styleId="ListNumber">
    <w:name w:val="List Number"/>
    <w:basedOn w:val="Normal"/>
    <w:uiPriority w:val="99"/>
    <w:rsid w:val="00D22F24"/>
    <w:pPr>
      <w:numPr>
        <w:numId w:val="6"/>
      </w:numPr>
      <w:contextualSpacing/>
    </w:pPr>
  </w:style>
  <w:style w:type="table" w:customStyle="1" w:styleId="PrismDataTable">
    <w:name w:val="Prism Data Table"/>
    <w:basedOn w:val="TableNormal"/>
    <w:uiPriority w:val="99"/>
    <w:rsid w:val="00D22F24"/>
    <w:pPr>
      <w:spacing w:after="0" w:line="240" w:lineRule="auto"/>
      <w:jc w:val="center"/>
    </w:pPr>
    <w:rPr>
      <w:rFonts w:ascii="Arial" w:hAnsi="Arial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firstCol">
      <w:pPr>
        <w:jc w:val="left"/>
      </w:pPr>
    </w:tblStylePr>
  </w:style>
  <w:style w:type="table" w:customStyle="1" w:styleId="PrismTextTable">
    <w:name w:val="Prism Text Table"/>
    <w:basedOn w:val="TableGrid"/>
    <w:uiPriority w:val="99"/>
    <w:rsid w:val="00C466F3"/>
    <w:rPr>
      <w:rFonts w:ascii="Arial" w:hAnsi="Arial"/>
      <w:sz w:val="20"/>
      <w:szCs w:val="20"/>
      <w:lang w:val="en-US" w:eastAsia="en-GB"/>
    </w:rPr>
    <w:tblPr>
      <w:tblInd w:w="0" w:type="dxa"/>
      <w:tblBorders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ListBullet3">
    <w:name w:val="List Bullet 3"/>
    <w:basedOn w:val="ListBullet2"/>
    <w:uiPriority w:val="99"/>
    <w:rsid w:val="00E84539"/>
    <w:pPr>
      <w:tabs>
        <w:tab w:val="clear" w:pos="644"/>
        <w:tab w:val="num" w:pos="910"/>
      </w:tabs>
      <w:ind w:left="924" w:hanging="280"/>
    </w:pPr>
  </w:style>
  <w:style w:type="table" w:styleId="TableGrid">
    <w:name w:val="Table Grid"/>
    <w:basedOn w:val="TableNormal"/>
    <w:rsid w:val="00D22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466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466F3"/>
    <w:pPr>
      <w:spacing w:after="0" w:line="240" w:lineRule="auto"/>
    </w:pPr>
    <w:rPr>
      <w:color w:val="17365D" w:themeColor="accent1" w:themeShade="BF"/>
    </w:rPr>
    <w:tblPr>
      <w:tblStyleRowBandSize w:val="1"/>
      <w:tblStyleColBandSize w:val="1"/>
      <w:tblInd w:w="0" w:type="dxa"/>
      <w:tblBorders>
        <w:top w:val="single" w:sz="8" w:space="0" w:color="1F497D" w:themeColor="accent1"/>
        <w:bottom w:val="single" w:sz="8" w:space="0" w:color="1F497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1"/>
          <w:left w:val="nil"/>
          <w:bottom w:val="single" w:sz="8" w:space="0" w:color="1F4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1"/>
          <w:left w:val="nil"/>
          <w:bottom w:val="single" w:sz="8" w:space="0" w:color="1F4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466F3"/>
    <w:pPr>
      <w:spacing w:after="0" w:line="240" w:lineRule="auto"/>
    </w:pPr>
    <w:rPr>
      <w:color w:val="365F91" w:themeColor="accent2" w:themeShade="BF"/>
    </w:rPr>
    <w:tblPr>
      <w:tblStyleRowBandSize w:val="1"/>
      <w:tblStyleColBandSize w:val="1"/>
      <w:tblInd w:w="0" w:type="dxa"/>
      <w:tblBorders>
        <w:top w:val="single" w:sz="8" w:space="0" w:color="4F81BD" w:themeColor="accent2"/>
        <w:bottom w:val="single" w:sz="8" w:space="0" w:color="4F81B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2"/>
          <w:left w:val="nil"/>
          <w:bottom w:val="single" w:sz="8" w:space="0" w:color="4F81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2"/>
          <w:left w:val="nil"/>
          <w:bottom w:val="single" w:sz="8" w:space="0" w:color="4F81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466F3"/>
    <w:pPr>
      <w:spacing w:after="0" w:line="240" w:lineRule="auto"/>
    </w:pPr>
    <w:rPr>
      <w:color w:val="31849B" w:themeColor="accent3" w:themeShade="BF"/>
    </w:rPr>
    <w:tblPr>
      <w:tblStyleRowBandSize w:val="1"/>
      <w:tblStyleColBandSize w:val="1"/>
      <w:tblInd w:w="0" w:type="dxa"/>
      <w:tblBorders>
        <w:top w:val="single" w:sz="8" w:space="0" w:color="4BACC6" w:themeColor="accent3"/>
        <w:bottom w:val="single" w:sz="8" w:space="0" w:color="4BACC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3"/>
          <w:left w:val="nil"/>
          <w:bottom w:val="single" w:sz="8" w:space="0" w:color="4BAC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3"/>
          <w:left w:val="nil"/>
          <w:bottom w:val="single" w:sz="8" w:space="0" w:color="4BAC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3" w:themeFillTint="3F"/>
      </w:tcPr>
    </w:tblStylePr>
  </w:style>
  <w:style w:type="paragraph" w:styleId="ListNumber2">
    <w:name w:val="List Number 2"/>
    <w:basedOn w:val="Normal"/>
    <w:uiPriority w:val="99"/>
    <w:rsid w:val="00DC28FE"/>
    <w:pPr>
      <w:numPr>
        <w:numId w:val="7"/>
      </w:numPr>
      <w:contextualSpacing/>
    </w:pPr>
  </w:style>
  <w:style w:type="numbering" w:customStyle="1" w:styleId="MultiNumberedList">
    <w:name w:val="Multi Numbered List"/>
    <w:basedOn w:val="NoList"/>
    <w:uiPriority w:val="99"/>
    <w:rsid w:val="002D1976"/>
    <w:pPr>
      <w:numPr>
        <w:numId w:val="1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F1791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2D1976"/>
  </w:style>
  <w:style w:type="character" w:styleId="FollowedHyperlink">
    <w:name w:val="FollowedHyperlink"/>
    <w:basedOn w:val="DefaultParagraphFont"/>
    <w:uiPriority w:val="99"/>
    <w:semiHidden/>
    <w:unhideWhenUsed/>
    <w:rsid w:val="00413DD6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C2D35"/>
    <w:pPr>
      <w:keepNext/>
      <w:spacing w:before="0" w:after="200"/>
    </w:pPr>
    <w:rPr>
      <w:b/>
      <w:bCs/>
      <w:color w:val="000000" w:themeColor="text1"/>
      <w:szCs w:val="18"/>
    </w:rPr>
  </w:style>
  <w:style w:type="paragraph" w:styleId="MacroText">
    <w:name w:val="macro"/>
    <w:link w:val="MacroTextChar"/>
    <w:rsid w:val="007A4B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  <w:jc w:val="both"/>
    </w:pPr>
    <w:rPr>
      <w:rFonts w:ascii="Consolas" w:eastAsia="Times New Roman" w:hAnsi="Consolas" w:cs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rsid w:val="007A4B48"/>
    <w:rPr>
      <w:rFonts w:ascii="Consolas" w:eastAsia="Times New Roman" w:hAnsi="Consolas" w:cs="Consola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DB"/>
    <w:rPr>
      <w:rFonts w:ascii="Tahoma" w:hAnsi="Tahoma" w:cs="Tahoma"/>
      <w:sz w:val="16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6ADB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6ADB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76A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6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AD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ADB"/>
    <w:rPr>
      <w:b/>
      <w:bCs/>
    </w:rPr>
  </w:style>
  <w:style w:type="paragraph" w:customStyle="1" w:styleId="FigurefootnoteJA">
    <w:name w:val="Figure footnote (JA)"/>
    <w:basedOn w:val="Normal"/>
    <w:qFormat/>
    <w:rsid w:val="00676ADB"/>
    <w:rPr>
      <w:sz w:val="20"/>
    </w:rPr>
  </w:style>
  <w:style w:type="paragraph" w:styleId="Revision">
    <w:name w:val="Revision"/>
    <w:hidden/>
    <w:uiPriority w:val="99"/>
    <w:semiHidden/>
    <w:rsid w:val="00676A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6ADB"/>
    <w:rPr>
      <w:color w:val="0000FF" w:themeColor="hyperlink"/>
      <w:u w:val="single"/>
    </w:rPr>
  </w:style>
  <w:style w:type="paragraph" w:customStyle="1" w:styleId="Titlepageheader">
    <w:name w:val="Title page header"/>
    <w:basedOn w:val="Normal"/>
    <w:qFormat/>
    <w:rsid w:val="00676ADB"/>
    <w:pPr>
      <w:spacing w:after="60" w:line="360" w:lineRule="auto"/>
    </w:pPr>
    <w:rPr>
      <w:b/>
    </w:rPr>
  </w:style>
  <w:style w:type="paragraph" w:customStyle="1" w:styleId="Authortabletext">
    <w:name w:val="Author table text"/>
    <w:basedOn w:val="Normal"/>
    <w:qFormat/>
    <w:rsid w:val="00676ADB"/>
    <w:pPr>
      <w:spacing w:before="40" w:after="40" w:line="25" w:lineRule="atLeast"/>
    </w:pPr>
    <w:rPr>
      <w:rFonts w:cstheme="minorHAns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AD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ADB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6AD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ADB"/>
    <w:rPr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76ADB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6A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6ADB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76ADB"/>
    <w:pPr>
      <w:autoSpaceDE w:val="0"/>
      <w:autoSpaceDN w:val="0"/>
      <w:adjustRightInd w:val="0"/>
      <w:spacing w:after="0" w:line="240" w:lineRule="auto"/>
    </w:pPr>
    <w:rPr>
      <w:rFonts w:ascii="Imago Light" w:hAnsi="Imago Light" w:cs="Imago Light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76ADB"/>
    <w:rPr>
      <w:i/>
      <w:iCs/>
    </w:rPr>
  </w:style>
  <w:style w:type="paragraph" w:customStyle="1" w:styleId="Paragraph">
    <w:name w:val="Paragraph"/>
    <w:basedOn w:val="Normal"/>
    <w:link w:val="ParagraphChar"/>
    <w:rsid w:val="00676ADB"/>
    <w:pPr>
      <w:spacing w:before="0" w:after="250" w:line="300" w:lineRule="atLeast"/>
    </w:pPr>
    <w:rPr>
      <w:rFonts w:ascii="Arial" w:eastAsia="SimSun" w:hAnsi="Arial" w:cs="Times New Roman"/>
      <w:sz w:val="22"/>
      <w:szCs w:val="24"/>
      <w:lang w:eastAsia="zh-CN"/>
    </w:rPr>
  </w:style>
  <w:style w:type="character" w:customStyle="1" w:styleId="ParagraphChar">
    <w:name w:val="Paragraph Char"/>
    <w:link w:val="Paragraph"/>
    <w:rsid w:val="00676ADB"/>
    <w:rPr>
      <w:rFonts w:ascii="Arial" w:eastAsia="SimSun" w:hAnsi="Arial" w:cs="Times New Roman"/>
      <w:szCs w:val="24"/>
      <w:lang w:val="en-US" w:eastAsia="zh-CN"/>
    </w:rPr>
  </w:style>
  <w:style w:type="paragraph" w:customStyle="1" w:styleId="TableTitle">
    <w:name w:val="Table Title"/>
    <w:basedOn w:val="Normal"/>
    <w:next w:val="Paragraph"/>
    <w:link w:val="TableTitleChar"/>
    <w:rsid w:val="00676ADB"/>
    <w:pPr>
      <w:keepNext/>
      <w:keepLines/>
      <w:numPr>
        <w:numId w:val="34"/>
      </w:numPr>
      <w:tabs>
        <w:tab w:val="left" w:pos="1152"/>
      </w:tabs>
      <w:spacing w:before="40" w:after="160" w:line="280" w:lineRule="exact"/>
    </w:pPr>
    <w:rPr>
      <w:rFonts w:ascii="Arial" w:eastAsia="SimSun" w:hAnsi="Arial" w:cs="Times New Roman"/>
      <w:b/>
      <w:sz w:val="22"/>
      <w:szCs w:val="24"/>
      <w:lang w:eastAsia="zh-CN"/>
    </w:rPr>
  </w:style>
  <w:style w:type="character" w:customStyle="1" w:styleId="TableTitleChar">
    <w:name w:val="Table Title Char"/>
    <w:link w:val="TableTitle"/>
    <w:rsid w:val="00676ADB"/>
    <w:rPr>
      <w:rFonts w:ascii="Arial" w:eastAsia="SimSun" w:hAnsi="Arial" w:cs="Times New Roman"/>
      <w:b/>
      <w:szCs w:val="24"/>
      <w:lang w:val="en-US" w:eastAsia="zh-CN"/>
    </w:rPr>
  </w:style>
  <w:style w:type="paragraph" w:customStyle="1" w:styleId="TableCell10Center">
    <w:name w:val="Table Cell 10 Center"/>
    <w:basedOn w:val="Normal"/>
    <w:rsid w:val="00676ADB"/>
    <w:pPr>
      <w:keepNext/>
      <w:keepLines/>
      <w:spacing w:before="50" w:after="50" w:line="240" w:lineRule="exact"/>
      <w:jc w:val="center"/>
    </w:pPr>
    <w:rPr>
      <w:rFonts w:ascii="Arial" w:eastAsia="SimSun" w:hAnsi="Arial" w:cs="Times New Roman"/>
      <w:sz w:val="20"/>
      <w:szCs w:val="24"/>
      <w:lang w:eastAsia="zh-CN"/>
    </w:rPr>
  </w:style>
  <w:style w:type="paragraph" w:customStyle="1" w:styleId="TabFigNote">
    <w:name w:val="TabFig Note"/>
    <w:basedOn w:val="Normal"/>
    <w:rsid w:val="00676ADB"/>
    <w:pPr>
      <w:keepNext/>
      <w:keepLines/>
      <w:spacing w:before="40" w:after="0" w:line="240" w:lineRule="exact"/>
      <w:ind w:left="29"/>
    </w:pPr>
    <w:rPr>
      <w:rFonts w:ascii="Arial" w:eastAsia="SimSun" w:hAnsi="Arial" w:cs="Times New Roman"/>
      <w:sz w:val="20"/>
      <w:szCs w:val="24"/>
      <w:lang w:eastAsia="zh-CN"/>
    </w:rPr>
  </w:style>
  <w:style w:type="paragraph" w:customStyle="1" w:styleId="TabFigFooter">
    <w:name w:val="TabFig Footer"/>
    <w:basedOn w:val="TabFigNote"/>
    <w:rsid w:val="00676ADB"/>
    <w:pPr>
      <w:ind w:left="245" w:hanging="216"/>
    </w:pPr>
  </w:style>
  <w:style w:type="paragraph" w:customStyle="1" w:styleId="TableCell10Left">
    <w:name w:val="Table Cell 10 Left"/>
    <w:basedOn w:val="Normal"/>
    <w:link w:val="TableCell10LeftChar"/>
    <w:rsid w:val="00676ADB"/>
    <w:pPr>
      <w:keepNext/>
      <w:keepLines/>
      <w:spacing w:before="50" w:after="50" w:line="240" w:lineRule="exact"/>
    </w:pPr>
    <w:rPr>
      <w:rFonts w:ascii="Arial" w:eastAsia="SimSun" w:hAnsi="Arial" w:cs="Times New Roman"/>
      <w:sz w:val="20"/>
      <w:szCs w:val="24"/>
      <w:lang w:eastAsia="zh-CN"/>
    </w:rPr>
  </w:style>
  <w:style w:type="character" w:customStyle="1" w:styleId="TableCell10LeftChar">
    <w:name w:val="Table Cell 10 Left Char"/>
    <w:link w:val="TableCell10Left"/>
    <w:rsid w:val="00676ADB"/>
    <w:rPr>
      <w:rFonts w:ascii="Arial" w:eastAsia="SimSun" w:hAnsi="Arial" w:cs="Times New Roman"/>
      <w:sz w:val="20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sid w:val="00676ADB"/>
    <w:rPr>
      <w:i/>
      <w:iCs/>
    </w:rPr>
  </w:style>
  <w:style w:type="character" w:styleId="Strong">
    <w:name w:val="Strong"/>
    <w:basedOn w:val="DefaultParagraphFont"/>
    <w:uiPriority w:val="22"/>
    <w:qFormat/>
    <w:rsid w:val="00676A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customStyle="1" w:styleId="highlight">
    <w:name w:val="highlight"/>
    <w:basedOn w:val="DefaultParagraphFont"/>
    <w:rsid w:val="00676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Prism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4F81BD"/>
      </a:accent2>
      <a:accent3>
        <a:srgbClr val="4BACC6"/>
      </a:accent3>
      <a:accent4>
        <a:srgbClr val="F79646"/>
      </a:accent4>
      <a:accent5>
        <a:srgbClr val="C0504D"/>
      </a:accent5>
      <a:accent6>
        <a:srgbClr val="00B050"/>
      </a:accent6>
      <a:hlink>
        <a:srgbClr val="0000FF"/>
      </a:hlink>
      <a:folHlink>
        <a:srgbClr val="76923C"/>
      </a:folHlink>
    </a:clrScheme>
    <a:fontScheme name="Pris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DB85C-46B1-463F-9134-07CB31F3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1410</Words>
  <Characters>8039</Characters>
  <Application>Microsoft Office Word</Application>
  <DocSecurity>0</DocSecurity>
  <Lines>66</Lines>
  <Paragraphs>18</Paragraphs>
  <ScaleCrop>false</ScaleCrop>
  <Company>Microsoft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Ashman</dc:creator>
  <cp:lastModifiedBy>Jamie Ashman</cp:lastModifiedBy>
  <cp:revision>2</cp:revision>
  <dcterms:created xsi:type="dcterms:W3CDTF">2017-06-01T16:01:00Z</dcterms:created>
  <dcterms:modified xsi:type="dcterms:W3CDTF">2017-06-01T16:08:00Z</dcterms:modified>
</cp:coreProperties>
</file>