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3B5F" w14:textId="5B04E05C" w:rsidR="00DD0379" w:rsidRDefault="00382F3C" w:rsidP="004869C6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Supplemental Material</w:t>
      </w:r>
    </w:p>
    <w:p w14:paraId="3AA4B01B" w14:textId="6520207B" w:rsidR="00382F3C" w:rsidRDefault="00382F3C" w:rsidP="004869C6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Supplementary Methods</w:t>
      </w:r>
    </w:p>
    <w:p w14:paraId="2234DE97" w14:textId="77777777" w:rsidR="00E63D10" w:rsidRPr="009227E7" w:rsidRDefault="00E63D10" w:rsidP="00E63D10">
      <w:pPr>
        <w:spacing w:line="480" w:lineRule="auto"/>
        <w:jc w:val="both"/>
        <w:rPr>
          <w:rFonts w:ascii="Cambria" w:eastAsia="Times New Roman" w:hAnsi="Cambria" w:cs="Times New Roman"/>
          <w:b/>
          <w:color w:val="000000" w:themeColor="text1"/>
          <w:lang w:val="en-US" w:eastAsia="en-US"/>
        </w:rPr>
      </w:pPr>
      <w:r w:rsidRPr="009227E7">
        <w:rPr>
          <w:rFonts w:ascii="Cambria" w:eastAsia="Times New Roman" w:hAnsi="Cambria" w:cs="Times New Roman"/>
          <w:b/>
          <w:color w:val="000000" w:themeColor="text1"/>
          <w:lang w:val="en-US" w:eastAsia="en-US"/>
        </w:rPr>
        <w:t>Cell lines</w:t>
      </w:r>
    </w:p>
    <w:p w14:paraId="614C07E4" w14:textId="14797AD5" w:rsidR="00E63D10" w:rsidRDefault="00E63D10" w:rsidP="00E63D10">
      <w:pPr>
        <w:spacing w:line="480" w:lineRule="auto"/>
        <w:jc w:val="both"/>
        <w:rPr>
          <w:rFonts w:ascii="Cambria" w:eastAsia="Arial" w:hAnsi="Cambria" w:cs="Times New Roman"/>
          <w:lang w:val="en-US"/>
        </w:rPr>
      </w:pPr>
      <w:r w:rsidRPr="00DE33BE">
        <w:rPr>
          <w:rFonts w:ascii="Cambria" w:eastAsia="Arial" w:hAnsi="Cambria" w:cs="Times New Roman"/>
          <w:lang w:val="en-US"/>
        </w:rPr>
        <w:t xml:space="preserve">Ba/F3 murine pro-B-cell line was a kind gift from Nikolas von Bubnoff and were cultured with 10% Wehi-3b-conditioned media </w:t>
      </w:r>
      <w:r w:rsidRPr="00F14F36">
        <w:rPr>
          <w:rFonts w:ascii="Cambria" w:eastAsia="Arial" w:hAnsi="Cambria" w:cs="Times New Roman"/>
          <w:lang w:val="en-US"/>
        </w:rPr>
        <w:t xml:space="preserve">in the parental state (+IL-3) or without (-IL-3) after successful transduction with </w:t>
      </w:r>
      <w:r w:rsidRPr="00F1792F">
        <w:rPr>
          <w:rFonts w:ascii="Cambria" w:eastAsia="Arial" w:hAnsi="Cambria" w:cs="Times New Roman"/>
          <w:i/>
          <w:lang w:val="en-US"/>
        </w:rPr>
        <w:t>KIF5B-</w:t>
      </w:r>
      <w:r w:rsidRPr="00F14F36">
        <w:rPr>
          <w:rFonts w:ascii="Cambria" w:eastAsia="Arial" w:hAnsi="Cambria" w:cs="Times New Roman"/>
          <w:lang w:val="en-US"/>
        </w:rPr>
        <w:t xml:space="preserve"> or </w:t>
      </w:r>
      <w:r w:rsidRPr="00F1792F">
        <w:rPr>
          <w:rFonts w:ascii="Cambria" w:eastAsia="Arial" w:hAnsi="Cambria" w:cs="Times New Roman"/>
          <w:i/>
          <w:lang w:val="en-US"/>
        </w:rPr>
        <w:t>STARD3NL-MET</w:t>
      </w:r>
      <w:r w:rsidRPr="00F14F36">
        <w:rPr>
          <w:rFonts w:ascii="Cambria" w:eastAsia="Arial" w:hAnsi="Cambria" w:cs="Times New Roman"/>
          <w:lang w:val="en-US"/>
        </w:rPr>
        <w:t>. NIH-3T3 murine fibroblast cell line was purchased from DSMZ</w:t>
      </w:r>
      <w:r w:rsidR="00321E36">
        <w:rPr>
          <w:rFonts w:ascii="Cambria" w:eastAsia="Arial" w:hAnsi="Cambria" w:cs="Times New Roman"/>
          <w:lang w:val="en-US"/>
        </w:rPr>
        <w:t xml:space="preserve"> in 8/2014 and instantly expanded and frozen at passage 1 for further experiments</w:t>
      </w:r>
      <w:r w:rsidR="00673227">
        <w:rPr>
          <w:rFonts w:ascii="Cambria" w:eastAsia="Arial" w:hAnsi="Cambria" w:cs="Times New Roman"/>
          <w:lang w:val="en-US"/>
        </w:rPr>
        <w:t xml:space="preserve"> (p.2 – p.15)</w:t>
      </w:r>
      <w:r w:rsidRPr="00F14F36">
        <w:rPr>
          <w:rFonts w:ascii="Cambria" w:eastAsia="Arial" w:hAnsi="Cambria" w:cs="Times New Roman"/>
          <w:lang w:val="en-US"/>
        </w:rPr>
        <w:t>. All cell lines were grown in a humidified incubator at 37°C and 5% CO</w:t>
      </w:r>
      <w:r w:rsidRPr="0008545F">
        <w:rPr>
          <w:rFonts w:ascii="Cambria" w:eastAsia="Arial" w:hAnsi="Cambria" w:cs="Times New Roman"/>
          <w:vertAlign w:val="subscript"/>
          <w:lang w:val="en-US"/>
        </w:rPr>
        <w:t>2</w:t>
      </w:r>
      <w:r w:rsidRPr="00761541">
        <w:rPr>
          <w:rFonts w:ascii="Cambria" w:eastAsia="Arial" w:hAnsi="Cambria" w:cs="Times New Roman"/>
          <w:lang w:val="en-US"/>
        </w:rPr>
        <w:t xml:space="preserve"> in the corresponding recommended media supplemented with antibiotics and fetal calf serum</w:t>
      </w:r>
      <w:r w:rsidR="008D2F6C">
        <w:rPr>
          <w:rFonts w:ascii="Cambria" w:eastAsia="Arial" w:hAnsi="Cambria" w:cs="Times New Roman"/>
          <w:lang w:val="en-US"/>
        </w:rPr>
        <w:t>. STR analysis was performed on regular basis.</w:t>
      </w:r>
      <w:r w:rsidR="00321E36">
        <w:rPr>
          <w:rFonts w:ascii="Cambria" w:eastAsia="Arial" w:hAnsi="Cambria" w:cs="Times New Roman"/>
          <w:lang w:val="en-US"/>
        </w:rPr>
        <w:t xml:space="preserve"> and </w:t>
      </w:r>
      <w:r w:rsidR="008D2F6C">
        <w:rPr>
          <w:rFonts w:ascii="Cambria" w:eastAsia="Arial" w:hAnsi="Cambria" w:cs="Times New Roman"/>
          <w:lang w:val="en-US"/>
        </w:rPr>
        <w:t xml:space="preserve">cell lines </w:t>
      </w:r>
      <w:r w:rsidR="00321E36">
        <w:rPr>
          <w:rFonts w:ascii="Cambria" w:eastAsia="Arial" w:hAnsi="Cambria" w:cs="Times New Roman"/>
          <w:lang w:val="en-US"/>
        </w:rPr>
        <w:t>were tested regularly</w:t>
      </w:r>
      <w:r w:rsidR="00B469BF">
        <w:rPr>
          <w:rFonts w:ascii="Cambria" w:eastAsia="Arial" w:hAnsi="Cambria" w:cs="Times New Roman"/>
          <w:lang w:val="en-US"/>
        </w:rPr>
        <w:t xml:space="preserve"> against mycoplasma contamination (MycoAlert, Lonza)</w:t>
      </w:r>
      <w:r w:rsidRPr="00761541">
        <w:rPr>
          <w:rFonts w:ascii="Cambria" w:eastAsia="Arial" w:hAnsi="Cambria" w:cs="Times New Roman"/>
          <w:lang w:val="en-US"/>
        </w:rPr>
        <w:t>.</w:t>
      </w:r>
    </w:p>
    <w:p w14:paraId="34615679" w14:textId="77777777" w:rsidR="00E63D10" w:rsidRPr="009D115C" w:rsidRDefault="00E63D10" w:rsidP="00E63D10">
      <w:pPr>
        <w:spacing w:line="480" w:lineRule="auto"/>
        <w:jc w:val="both"/>
        <w:rPr>
          <w:rFonts w:ascii="Cambria" w:hAnsi="Cambria" w:cs="Arial"/>
          <w:b/>
          <w:color w:val="000000" w:themeColor="text1"/>
          <w:lang w:val="en-US"/>
        </w:rPr>
      </w:pPr>
      <w:r w:rsidRPr="009D115C">
        <w:rPr>
          <w:rFonts w:ascii="Cambria" w:hAnsi="Cambria" w:cs="Arial"/>
          <w:b/>
          <w:color w:val="000000" w:themeColor="text1"/>
          <w:lang w:val="en-US"/>
        </w:rPr>
        <w:t>Molecular cloning</w:t>
      </w:r>
      <w:r w:rsidRPr="009D115C">
        <w:rPr>
          <w:rFonts w:ascii="Cambria" w:eastAsia="Times New Roman" w:hAnsi="Cambria" w:cs="Times New Roman"/>
          <w:b/>
          <w:color w:val="000000" w:themeColor="text1"/>
          <w:lang w:val="en-US" w:eastAsia="en-US"/>
        </w:rPr>
        <w:t xml:space="preserve"> and viral transduction</w:t>
      </w:r>
    </w:p>
    <w:p w14:paraId="153F306F" w14:textId="2E0FB028" w:rsidR="00E63D10" w:rsidRPr="009227E7" w:rsidRDefault="00E63D10" w:rsidP="00E63D10">
      <w:pPr>
        <w:spacing w:line="480" w:lineRule="auto"/>
        <w:jc w:val="both"/>
        <w:rPr>
          <w:rFonts w:ascii="Cambria" w:eastAsia="Times New Roman" w:hAnsi="Cambria" w:cs="Times New Roman"/>
          <w:color w:val="000000" w:themeColor="text1"/>
          <w:lang w:val="en-US" w:eastAsia="en-US"/>
        </w:rPr>
      </w:pPr>
      <w:r w:rsidRPr="009D115C">
        <w:rPr>
          <w:rFonts w:ascii="Cambria" w:hAnsi="Cambria" w:cs="Arial"/>
          <w:color w:val="000000" w:themeColor="text1"/>
          <w:lang w:val="en-US"/>
        </w:rPr>
        <w:t xml:space="preserve">Cloning of constructs was performed via Gibson assembly using 2x NEBuilder HiFi DNA assembly mix (NEB, Catalog No. #E5520). Inserts were introduced into a modified pLenti6-EF1a-IRES-blasticidine backbone (LifeTechnologies) and were amplified using phusion polymerase (NEB, Catalog No. #M0530 or Q5 polymerase (NEB, Catalog No. #M0491 using the following primer. </w:t>
      </w:r>
      <w:r w:rsidRPr="009D115C">
        <w:rPr>
          <w:rFonts w:ascii="Cambria" w:hAnsi="Cambria" w:cs="Arial"/>
          <w:i/>
          <w:color w:val="000000" w:themeColor="text1"/>
          <w:lang w:val="en-US"/>
        </w:rPr>
        <w:t>KIF5B-MET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(</w:t>
      </w:r>
      <w:r w:rsidRPr="009D115C">
        <w:rPr>
          <w:rFonts w:ascii="Cambria" w:hAnsi="Cambria" w:cs="Arial"/>
          <w:i/>
          <w:color w:val="000000" w:themeColor="text1"/>
          <w:lang w:val="en-US"/>
        </w:rPr>
        <w:t>KIF5B</w:t>
      </w:r>
      <w:r w:rsidR="00382F3C">
        <w:rPr>
          <w:rFonts w:ascii="Cambria" w:hAnsi="Cambria" w:cs="Arial"/>
          <w:color w:val="000000" w:themeColor="text1"/>
          <w:lang w:val="en-US"/>
        </w:rPr>
        <w:t xml:space="preserve"> template cDNA: H2081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): forward: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tcaagcttcgaattctgcagtcgacatggcggacctggccgag</w:t>
      </w:r>
      <w:r w:rsidRPr="009D115C">
        <w:rPr>
          <w:rFonts w:ascii="Cambria" w:hAnsi="Cambria" w:cs="Arial"/>
          <w:color w:val="000000" w:themeColor="text1"/>
          <w:lang w:val="en-US"/>
        </w:rPr>
        <w:t>, reverse:</w:t>
      </w:r>
      <w:r w:rsidRPr="009D115C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cgttctgagatgaattaggaaactgatcaatctgtgcagaatgccctct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(</w:t>
      </w:r>
      <w:r w:rsidRPr="009D115C">
        <w:rPr>
          <w:rFonts w:ascii="Cambria" w:hAnsi="Cambria" w:cs="Arial"/>
          <w:i/>
          <w:color w:val="000000" w:themeColor="text1"/>
          <w:lang w:val="en-US"/>
        </w:rPr>
        <w:t>MET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template: pBabe-puro-MET) forward:</w:t>
      </w:r>
      <w:r w:rsidRPr="009D115C">
        <w:rPr>
          <w:rFonts w:ascii="Cambria" w:eastAsia="Times New Roman" w:hAnsi="Cambria" w:cs="Times New Roman"/>
          <w:color w:val="000000"/>
          <w:lang w:val="en-US" w:eastAsia="en-US"/>
        </w:rPr>
        <w:t>agagggcattctgcacagattgatcagtttcctaattcatctcagaacg</w:t>
      </w:r>
      <w:r w:rsidRPr="009D115C">
        <w:rPr>
          <w:rFonts w:ascii="Cambria" w:hAnsi="Cambria" w:cs="Arial"/>
          <w:color w:val="000000" w:themeColor="text1"/>
          <w:lang w:val="en-US"/>
        </w:rPr>
        <w:t>, reverse:</w:t>
      </w:r>
      <w:r w:rsidRPr="009D115C">
        <w:rPr>
          <w:rFonts w:ascii="Cambria" w:eastAsia="Times New Roman" w:hAnsi="Cambria" w:cs="Times New Roman"/>
          <w:color w:val="6D6E71"/>
          <w:lang w:val="en-US"/>
        </w:rPr>
        <w:t xml:space="preserve">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agggagaggggcggatccgcggccgctatgatgtctcccagaag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. </w:t>
      </w:r>
      <w:r w:rsidRPr="009D115C">
        <w:rPr>
          <w:rFonts w:ascii="Cambria" w:hAnsi="Cambria" w:cs="Arial"/>
          <w:i/>
          <w:color w:val="000000" w:themeColor="text1"/>
          <w:lang w:val="en-US"/>
        </w:rPr>
        <w:t>STARD3NL-MET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(</w:t>
      </w:r>
      <w:r w:rsidRPr="009D115C">
        <w:rPr>
          <w:rFonts w:ascii="Cambria" w:hAnsi="Cambria" w:cs="Arial"/>
          <w:i/>
          <w:color w:val="000000" w:themeColor="text1"/>
          <w:lang w:val="en-US"/>
        </w:rPr>
        <w:t>STARD3NL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template cDNA Calu3): forward:</w:t>
      </w:r>
      <w:r w:rsidRPr="009D115C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tcaagcttcgaattctgcagtcgacatgaaccacctgccagaagac</w:t>
      </w:r>
      <w:r w:rsidRPr="009D115C">
        <w:rPr>
          <w:rFonts w:ascii="Cambria" w:hAnsi="Cambria" w:cs="Arial"/>
          <w:color w:val="000000" w:themeColor="text1"/>
          <w:lang w:val="en-US"/>
        </w:rPr>
        <w:t>, reverse:</w:t>
      </w:r>
      <w:r w:rsidRPr="009D115C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lastRenderedPageBreak/>
        <w:t xml:space="preserve">cgttctgagatgaattaggaaactgattgttttcttcttctgcttcttgaggt </w:t>
      </w:r>
      <w:r w:rsidRPr="009D115C">
        <w:rPr>
          <w:rFonts w:ascii="Cambria" w:hAnsi="Cambria" w:cs="Arial"/>
          <w:color w:val="000000" w:themeColor="text1"/>
          <w:lang w:val="en-US"/>
        </w:rPr>
        <w:t>(</w:t>
      </w:r>
      <w:r w:rsidRPr="009D115C">
        <w:rPr>
          <w:rFonts w:ascii="Cambria" w:hAnsi="Cambria" w:cs="Arial"/>
          <w:i/>
          <w:color w:val="000000" w:themeColor="text1"/>
          <w:lang w:val="en-US"/>
        </w:rPr>
        <w:t>MET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template: pBabe-puro-MET) forward: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acctcaagaagcagaagaagaaaacaatcagtttcctaattcatctcagaacg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, reverse: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ctgacacacattccacagggtcgactatgatgtctcccagaag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. </w:t>
      </w:r>
      <w:r w:rsidRPr="009D115C">
        <w:rPr>
          <w:rFonts w:ascii="Cambria" w:hAnsi="Cambria" w:cs="Arial"/>
          <w:i/>
          <w:color w:val="000000" w:themeColor="text1"/>
          <w:lang w:val="en-US"/>
        </w:rPr>
        <w:t>MET-KDD</w:t>
      </w:r>
      <w:r w:rsidRPr="009D115C">
        <w:rPr>
          <w:rFonts w:ascii="Cambria" w:hAnsi="Cambria" w:cs="Arial"/>
          <w:color w:val="000000" w:themeColor="text1"/>
          <w:lang w:val="en-US"/>
        </w:rPr>
        <w:t xml:space="preserve"> was cloned using a pBabe-puro-MET plasmid as template using the following primers: forward1:</w:t>
      </w:r>
      <w:r w:rsidRPr="009D115C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D115C">
        <w:rPr>
          <w:rFonts w:ascii="Cambria" w:eastAsia="Times New Roman" w:hAnsi="Cambria" w:cs="Times New Roman"/>
          <w:color w:val="000000" w:themeColor="text1"/>
          <w:lang w:val="en-US" w:eastAsia="en-US"/>
        </w:rPr>
        <w:t>tcaagcttcgaattctgcagtcgacatgaaggcccccgctgtg, reverse1:</w:t>
      </w:r>
      <w:r w:rsidRPr="009D115C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04978">
        <w:rPr>
          <w:rFonts w:ascii="Cambria" w:hAnsi="Cambria" w:cs="Helvetica Neue"/>
          <w:color w:val="000000"/>
          <w:lang w:val="en-US"/>
        </w:rPr>
        <w:t>atcctgtaacttctaaagataatggagctgatgacaacagagaaggata</w:t>
      </w:r>
      <w:r w:rsidRPr="009227E7">
        <w:rPr>
          <w:rFonts w:ascii="Cambria" w:eastAsia="Times New Roman" w:hAnsi="Cambria" w:cs="Times New Roman"/>
          <w:color w:val="000000" w:themeColor="text1"/>
          <w:lang w:val="en-US" w:eastAsia="en-US"/>
        </w:rPr>
        <w:t>, forward2:</w:t>
      </w:r>
      <w:r w:rsidRPr="009227E7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227E7">
        <w:rPr>
          <w:rFonts w:ascii="Cambria" w:eastAsia="Times New Roman" w:hAnsi="Cambria" w:cs="Times New Roman"/>
          <w:color w:val="000000"/>
          <w:lang w:val="en-US" w:eastAsia="en-US"/>
        </w:rPr>
        <w:t>ctccattatctttagaagttacaggatatcagtttcctaattcatctcagaac</w:t>
      </w:r>
      <w:r w:rsidRPr="009227E7">
        <w:rPr>
          <w:rFonts w:ascii="Cambria" w:eastAsia="Times New Roman" w:hAnsi="Cambria" w:cs="Times New Roman"/>
          <w:color w:val="000000" w:themeColor="text1"/>
          <w:lang w:val="en-US" w:eastAsia="en-US"/>
        </w:rPr>
        <w:t>, reverse2:</w:t>
      </w:r>
      <w:r w:rsidRPr="009227E7">
        <w:rPr>
          <w:rFonts w:ascii="Cambria" w:eastAsia="Times New Roman" w:hAnsi="Cambria" w:cs="Times New Roman"/>
          <w:color w:val="000000" w:themeColor="text1"/>
          <w:lang w:val="en-US"/>
        </w:rPr>
        <w:t xml:space="preserve"> </w:t>
      </w:r>
      <w:r w:rsidRPr="009227E7">
        <w:rPr>
          <w:rFonts w:ascii="Cambria" w:eastAsia="Times New Roman" w:hAnsi="Cambria" w:cs="Times New Roman"/>
          <w:color w:val="000000" w:themeColor="text1"/>
          <w:lang w:val="en-US" w:eastAsia="en-US"/>
        </w:rPr>
        <w:t xml:space="preserve">agggagaggggcggatccgcggccgctatgatgtctcccagaag. All inserts were fully sequenced via dideoxy sequencing. </w:t>
      </w:r>
      <w:r w:rsidRPr="009227E7">
        <w:rPr>
          <w:rFonts w:ascii="Cambria" w:eastAsia="Arial" w:hAnsi="Cambria" w:cs="Times New Roman"/>
          <w:lang w:val="en-US"/>
        </w:rPr>
        <w:t>pLenti vectors were co-transfected with corresponding helper plasmids with TransIT-LT1 (Mirus) using standard procedures in HEK-293T cells. Blasticidine (Life Technologies) was used at a concentration of 5</w:t>
      </w:r>
      <w:r w:rsidR="000F7DAA">
        <w:rPr>
          <w:rFonts w:ascii="Cambria" w:eastAsia="Arial" w:hAnsi="Cambria" w:cs="Times New Roman"/>
          <w:lang w:val="en-US"/>
        </w:rPr>
        <w:t xml:space="preserve"> </w:t>
      </w:r>
      <w:r w:rsidRPr="009227E7">
        <w:rPr>
          <w:rFonts w:ascii="Cambria" w:eastAsia="Arial" w:hAnsi="Cambria" w:cs="Times New Roman"/>
          <w:lang w:val="en-US"/>
        </w:rPr>
        <w:t>µg/ml for selection.</w:t>
      </w:r>
    </w:p>
    <w:p w14:paraId="3CD7A925" w14:textId="77777777" w:rsidR="00E63D10" w:rsidRPr="00F14F36" w:rsidRDefault="00E63D10" w:rsidP="00E63D10">
      <w:pPr>
        <w:spacing w:line="480" w:lineRule="auto"/>
        <w:jc w:val="both"/>
        <w:rPr>
          <w:rFonts w:ascii="Cambria" w:hAnsi="Cambria" w:cs="Times New Roman"/>
          <w:b/>
          <w:lang w:val="en-US"/>
        </w:rPr>
      </w:pPr>
      <w:r w:rsidRPr="00F14F36">
        <w:rPr>
          <w:rFonts w:ascii="Cambria" w:eastAsia="Arial" w:hAnsi="Cambria" w:cs="Times New Roman"/>
          <w:b/>
          <w:bCs/>
          <w:lang w:val="en-US"/>
        </w:rPr>
        <w:t>Viability and Colony formation assays</w:t>
      </w:r>
    </w:p>
    <w:p w14:paraId="3880B8D3" w14:textId="1A5E3B40" w:rsidR="00E63D10" w:rsidRPr="00F14F36" w:rsidRDefault="00E63D10" w:rsidP="00E63D10">
      <w:pPr>
        <w:spacing w:line="480" w:lineRule="auto"/>
        <w:jc w:val="both"/>
        <w:rPr>
          <w:rFonts w:ascii="Cambria" w:hAnsi="Cambria" w:cs="Times New Roman"/>
          <w:lang w:val="en-US"/>
        </w:rPr>
      </w:pPr>
      <w:r w:rsidRPr="00F14F36">
        <w:rPr>
          <w:rFonts w:ascii="Cambria" w:eastAsia="Arial" w:hAnsi="Cambria" w:cs="Times New Roman"/>
          <w:lang w:val="en-US"/>
        </w:rPr>
        <w:t>7</w:t>
      </w:r>
      <w:r w:rsidR="00EA0BAD">
        <w:rPr>
          <w:rFonts w:ascii="Cambria" w:eastAsia="Arial" w:hAnsi="Cambria" w:cs="Times New Roman"/>
          <w:lang w:val="en-US"/>
        </w:rPr>
        <w:t>,</w:t>
      </w:r>
      <w:r w:rsidRPr="00F14F36">
        <w:rPr>
          <w:rFonts w:ascii="Cambria" w:eastAsia="Arial" w:hAnsi="Cambria" w:cs="Times New Roman"/>
          <w:lang w:val="en-US"/>
        </w:rPr>
        <w:t>000 cells were used for viability assays in 96-well plates. Cells were seeded in white-bottom 96-well plates and treated with the inhibitors for 72 hours. Viability was assessed using CellTiter-Glo using the standard manufacturers protocol. Fitted curves were determined using GraphPad Prism 6.0h.</w:t>
      </w:r>
    </w:p>
    <w:p w14:paraId="3D3F3BF6" w14:textId="1E5C3367" w:rsidR="00E63D10" w:rsidRDefault="00E63D10" w:rsidP="00E63D10">
      <w:pPr>
        <w:spacing w:line="480" w:lineRule="auto"/>
        <w:jc w:val="both"/>
        <w:rPr>
          <w:rFonts w:ascii="Cambria" w:eastAsia="Arial" w:hAnsi="Cambria" w:cs="Times New Roman"/>
          <w:lang w:val="en-US"/>
        </w:rPr>
      </w:pPr>
      <w:r w:rsidRPr="00F14F36">
        <w:rPr>
          <w:rFonts w:ascii="Cambria" w:eastAsia="Arial" w:hAnsi="Cambria" w:cs="Times New Roman"/>
          <w:lang w:val="en-US"/>
        </w:rPr>
        <w:t>For the colony formation assay 10</w:t>
      </w:r>
      <w:r w:rsidR="00EA0BAD">
        <w:rPr>
          <w:rFonts w:ascii="Cambria" w:eastAsia="Arial" w:hAnsi="Cambria" w:cs="Times New Roman"/>
          <w:lang w:val="en-US"/>
        </w:rPr>
        <w:t>,</w:t>
      </w:r>
      <w:r w:rsidRPr="00F14F36">
        <w:rPr>
          <w:rFonts w:ascii="Cambria" w:eastAsia="Arial" w:hAnsi="Cambria" w:cs="Times New Roman"/>
          <w:lang w:val="en-US"/>
        </w:rPr>
        <w:t>000 NIH-3T3 cells/well in 24-well plates were embedded in 0.6% top-agar (1:1 low melting agarose and 2x DMEM + CS) on a layer of 1% bottom agar. The next day equal volumes of media supplemented with inhibitor were layered on the agar. After 10 days pictures were taken with a Zeiss Axiovert 40 CFL microscope at 100x magnification.</w:t>
      </w:r>
    </w:p>
    <w:p w14:paraId="32127B6E" w14:textId="77777777" w:rsidR="00E63D10" w:rsidRPr="009227E7" w:rsidRDefault="00E63D10" w:rsidP="00E63D10">
      <w:pPr>
        <w:spacing w:line="480" w:lineRule="auto"/>
        <w:jc w:val="both"/>
        <w:rPr>
          <w:rFonts w:ascii="Cambria" w:hAnsi="Cambria" w:cs="Arial"/>
          <w:b/>
          <w:color w:val="000000" w:themeColor="text1"/>
          <w:lang w:val="en-US"/>
        </w:rPr>
      </w:pPr>
      <w:r w:rsidRPr="009227E7">
        <w:rPr>
          <w:rFonts w:ascii="Cambria" w:hAnsi="Cambria" w:cs="Arial"/>
          <w:b/>
          <w:color w:val="000000" w:themeColor="text1"/>
          <w:lang w:val="en-US"/>
        </w:rPr>
        <w:t>Immunoblotting</w:t>
      </w:r>
    </w:p>
    <w:p w14:paraId="0A1603E8" w14:textId="2213B076" w:rsidR="00E63D10" w:rsidRPr="009227E7" w:rsidRDefault="00E63D10" w:rsidP="00E63D10">
      <w:pPr>
        <w:spacing w:line="480" w:lineRule="auto"/>
        <w:jc w:val="both"/>
        <w:rPr>
          <w:rFonts w:ascii="Cambria" w:eastAsia="Arial" w:hAnsi="Cambria" w:cs="Times New Roman"/>
          <w:lang w:val="en-US"/>
        </w:rPr>
      </w:pPr>
      <w:r w:rsidRPr="009227E7">
        <w:rPr>
          <w:rFonts w:ascii="Cambria" w:hAnsi="Cambria" w:cs="Arial"/>
          <w:lang w:val="en-US"/>
        </w:rPr>
        <w:t>Immunoblotting was performed using standard protocols.</w:t>
      </w:r>
      <w:r w:rsidR="00EF41B0">
        <w:rPr>
          <w:rFonts w:ascii="Cambria" w:hAnsi="Cambria" w:cs="Arial"/>
          <w:lang w:val="en-US"/>
        </w:rPr>
        <w:t xml:space="preserve"> </w:t>
      </w:r>
      <w:r w:rsidRPr="009227E7">
        <w:rPr>
          <w:rFonts w:ascii="Cambria" w:hAnsi="Cambria" w:cs="Arial"/>
          <w:lang w:val="en-US"/>
        </w:rPr>
        <w:t>PVDF membranes were blocked in 4% skim milk/TBST for 1</w:t>
      </w:r>
      <w:r w:rsidR="00EA0BAD">
        <w:rPr>
          <w:rFonts w:ascii="Cambria" w:hAnsi="Cambria" w:cs="Arial"/>
          <w:lang w:val="en-US"/>
        </w:rPr>
        <w:t xml:space="preserve"> </w:t>
      </w:r>
      <w:r w:rsidRPr="009227E7">
        <w:rPr>
          <w:rFonts w:ascii="Cambria" w:hAnsi="Cambria" w:cs="Arial"/>
          <w:lang w:val="en-US"/>
        </w:rPr>
        <w:t xml:space="preserve">h. Immunoblots were analyzed on a LI-COR Odyssey CLx system. </w:t>
      </w:r>
      <w:r w:rsidRPr="009227E7">
        <w:rPr>
          <w:rFonts w:ascii="Cambria" w:eastAsia="Arial" w:hAnsi="Cambria" w:cs="Times New Roman"/>
          <w:lang w:val="en-US"/>
        </w:rPr>
        <w:t>Antibodies were obtained from Cell Signaling: AKT (Catalog No. #2920), phospho-AKT Ser473 (Catalog No. #4060), ERK 1/2 (Catalog No. #4696), phospho-ERK1/2 Thr202/Tyr204 (Catalog No. #4370), MET (Catalog No. #3148), phospho-MET (Catalog No. #3077), HSP90 (Catalog No. #4877) and phospho-ALK (Catalog No. #3341). Total ALK antibody was purchased from LifeTechnologies (Catalog No. #35-4306)</w:t>
      </w:r>
      <w:r w:rsidR="00EF41B0">
        <w:rPr>
          <w:rFonts w:ascii="Cambria" w:eastAsia="Arial" w:hAnsi="Cambria" w:cs="Times New Roman"/>
          <w:lang w:val="en-US"/>
        </w:rPr>
        <w:t>.</w:t>
      </w:r>
      <w:bookmarkStart w:id="0" w:name="_GoBack"/>
      <w:bookmarkEnd w:id="0"/>
      <w:r w:rsidRPr="009227E7">
        <w:rPr>
          <w:rFonts w:ascii="Cambria" w:eastAsia="Arial" w:hAnsi="Cambria" w:cs="Times New Roman"/>
          <w:lang w:val="en-US"/>
        </w:rPr>
        <w:t xml:space="preserve"> The antibody directed against actin was purchased from Santa Cruz Biotechnology (Catalog No. #sc47778).</w:t>
      </w:r>
    </w:p>
    <w:p w14:paraId="09A07FB3" w14:textId="132F8BD2" w:rsidR="00E63D10" w:rsidRPr="009227E7" w:rsidRDefault="00E63D10" w:rsidP="00E63D10">
      <w:pPr>
        <w:spacing w:line="480" w:lineRule="auto"/>
        <w:jc w:val="both"/>
        <w:rPr>
          <w:rFonts w:ascii="Cambria" w:eastAsia="Arial" w:hAnsi="Cambria" w:cs="Times New Roman"/>
          <w:lang w:val="en-US"/>
        </w:rPr>
      </w:pPr>
      <w:r w:rsidRPr="009227E7">
        <w:rPr>
          <w:rFonts w:ascii="Cambria" w:eastAsia="Arial" w:hAnsi="Cambria" w:cs="Times New Roman"/>
          <w:lang w:val="en-US"/>
        </w:rPr>
        <w:t>Secondary antibodies for 800</w:t>
      </w:r>
      <w:r w:rsidR="00EF41B0">
        <w:rPr>
          <w:rFonts w:ascii="Cambria" w:eastAsia="Arial" w:hAnsi="Cambria" w:cs="Times New Roman"/>
          <w:lang w:val="en-US"/>
        </w:rPr>
        <w:t xml:space="preserve"> </w:t>
      </w:r>
      <w:r w:rsidRPr="009227E7">
        <w:rPr>
          <w:rFonts w:ascii="Cambria" w:eastAsia="Arial" w:hAnsi="Cambria" w:cs="Times New Roman"/>
          <w:lang w:val="en-US"/>
        </w:rPr>
        <w:t>nm channel were purchased from Cell Signaling (anti-mouse: Catalog No. #5257, anti-rabbit (Catalog No.#5151). Secondaray antibodies for the 680</w:t>
      </w:r>
      <w:r w:rsidR="00EF41B0">
        <w:rPr>
          <w:rFonts w:ascii="Cambria" w:eastAsia="Arial" w:hAnsi="Cambria" w:cs="Times New Roman"/>
          <w:lang w:val="en-US"/>
        </w:rPr>
        <w:t xml:space="preserve"> </w:t>
      </w:r>
      <w:r w:rsidRPr="009227E7">
        <w:rPr>
          <w:rFonts w:ascii="Cambria" w:eastAsia="Arial" w:hAnsi="Cambria" w:cs="Times New Roman"/>
          <w:lang w:val="en-US"/>
        </w:rPr>
        <w:t>nm channel were purchased from LI-COR (anti-mouse: Catalog No.#926-68022), anti-rabbit: Catalog No.#926-68023).</w:t>
      </w:r>
    </w:p>
    <w:p w14:paraId="0926BF11" w14:textId="77777777" w:rsidR="00E63D10" w:rsidRPr="00761541" w:rsidRDefault="00E63D10" w:rsidP="00E63D10">
      <w:pPr>
        <w:spacing w:line="480" w:lineRule="auto"/>
        <w:jc w:val="both"/>
        <w:rPr>
          <w:rFonts w:ascii="Cambria" w:eastAsia="Arial" w:hAnsi="Cambria" w:cs="Times New Roman"/>
          <w:b/>
          <w:bCs/>
          <w:lang w:val="en-US"/>
        </w:rPr>
      </w:pPr>
      <w:r w:rsidRPr="00761541">
        <w:rPr>
          <w:rFonts w:ascii="Cambria" w:eastAsia="Arial" w:hAnsi="Cambria" w:cs="Times New Roman"/>
          <w:b/>
          <w:bCs/>
          <w:lang w:val="en-US"/>
        </w:rPr>
        <w:t>Pan-TCGA copy number analysis</w:t>
      </w:r>
    </w:p>
    <w:p w14:paraId="2E7C97F1" w14:textId="0B5E8B08" w:rsidR="00E63D10" w:rsidRDefault="00E63D10" w:rsidP="00E63D10">
      <w:pPr>
        <w:pStyle w:val="HTMLPreformatted"/>
        <w:spacing w:line="480" w:lineRule="auto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B54E01">
        <w:rPr>
          <w:rFonts w:ascii="Cambria" w:eastAsia="Arial" w:hAnsi="Cambria" w:cs="Times New Roman"/>
          <w:bCs/>
          <w:sz w:val="24"/>
          <w:szCs w:val="24"/>
          <w:lang w:val="en-US"/>
        </w:rPr>
        <w:t xml:space="preserve">Pan-TCGA SNP array data were used to plot copy number alterations (CNA) of EGFR or MET. As requirement </w:t>
      </w:r>
      <w:r w:rsidRPr="000D587E">
        <w:rPr>
          <w:rFonts w:ascii="Cambria" w:eastAsia="Arial" w:hAnsi="Cambria" w:cs="Times New Roman"/>
          <w:bCs/>
          <w:sz w:val="24"/>
          <w:szCs w:val="24"/>
          <w:lang w:val="en-US"/>
        </w:rPr>
        <w:t>only the cases were plott</w:t>
      </w:r>
      <w:r w:rsidRPr="009B3799">
        <w:rPr>
          <w:rFonts w:ascii="Cambria" w:eastAsia="Arial" w:hAnsi="Cambria" w:cs="Times New Roman"/>
          <w:bCs/>
          <w:sz w:val="24"/>
          <w:szCs w:val="24"/>
          <w:lang w:val="en-US"/>
        </w:rPr>
        <w:t xml:space="preserve">ed that show a CNA in the marked regions </w:t>
      </w:r>
      <w:r w:rsidRPr="00492A5D">
        <w:rPr>
          <w:rFonts w:ascii="Cambria" w:hAnsi="Cambria"/>
          <w:sz w:val="24"/>
          <w:szCs w:val="24"/>
          <w:lang w:val="en-US"/>
        </w:rPr>
        <w:t>± 10</w:t>
      </w:r>
      <w:r w:rsidR="00EA0BAD">
        <w:rPr>
          <w:rFonts w:ascii="Cambria" w:hAnsi="Cambria"/>
          <w:sz w:val="24"/>
          <w:szCs w:val="24"/>
          <w:lang w:val="en-US"/>
        </w:rPr>
        <w:t xml:space="preserve"> </w:t>
      </w:r>
      <w:r w:rsidRPr="00492A5D">
        <w:rPr>
          <w:rFonts w:ascii="Cambria" w:hAnsi="Cambria"/>
          <w:sz w:val="24"/>
          <w:szCs w:val="24"/>
          <w:lang w:val="en-US"/>
        </w:rPr>
        <w:t>kb</w:t>
      </w:r>
      <w:r w:rsidRPr="009B3799">
        <w:rPr>
          <w:rFonts w:ascii="Cambria" w:eastAsia="Arial" w:hAnsi="Cambria" w:cs="Times New Roman"/>
          <w:bCs/>
          <w:sz w:val="24"/>
          <w:szCs w:val="24"/>
          <w:lang w:val="en-US"/>
        </w:rPr>
        <w:t xml:space="preserve"> (mainly kinase domain) </w:t>
      </w:r>
      <w:r w:rsidRPr="008D5898">
        <w:rPr>
          <w:rFonts w:ascii="Cambria" w:eastAsia="Arial" w:hAnsi="Cambria" w:cs="Times New Roman"/>
          <w:bCs/>
          <w:sz w:val="24"/>
          <w:szCs w:val="24"/>
          <w:lang w:val="en-US"/>
        </w:rPr>
        <w:t xml:space="preserve">of a </w:t>
      </w:r>
      <w:r w:rsidRPr="00FA2B4D">
        <w:rPr>
          <w:rFonts w:ascii="Cambria" w:eastAsia="Arial" w:hAnsi="Cambria" w:cs="Times New Roman"/>
          <w:bCs/>
          <w:sz w:val="24"/>
          <w:szCs w:val="24"/>
          <w:lang w:val="en-US"/>
        </w:rPr>
        <w:t>segment length &gt;50%</w:t>
      </w:r>
      <w:r w:rsidRPr="00DE33BE">
        <w:rPr>
          <w:rFonts w:ascii="Cambria" w:eastAsia="Arial" w:hAnsi="Cambria" w:cs="Times New Roman"/>
          <w:bCs/>
          <w:sz w:val="24"/>
          <w:szCs w:val="24"/>
          <w:lang w:val="en-US"/>
        </w:rPr>
        <w:t xml:space="preserve">. The following hg19 coordinates for chromosome 7 were used: EGFR start </w:t>
      </w:r>
      <w:r w:rsidRPr="00492A5D">
        <w:rPr>
          <w:rFonts w:ascii="Cambria" w:eastAsia="Times New Roman" w:hAnsi="Cambria" w:cs="Times New Roman"/>
          <w:sz w:val="24"/>
          <w:szCs w:val="24"/>
          <w:lang w:val="en-US"/>
        </w:rPr>
        <w:t>55086725, EGFR end 55275031, EGFR exon 17 end: 55240817, EGFR exon 25 end: 55269048. MET start 116312459, MET end 116438440, MET exon 14 end 116412043, MET exon 21 end 116438440.</w:t>
      </w:r>
    </w:p>
    <w:p w14:paraId="3E7722A7" w14:textId="06654990" w:rsidR="006B4B6E" w:rsidRDefault="006B4B6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7B793B07" w14:textId="7BAF074D" w:rsidR="004869C6" w:rsidRDefault="00382F3C" w:rsidP="004869C6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Supplementary Figures</w:t>
      </w:r>
    </w:p>
    <w:p w14:paraId="4C1BB8B8" w14:textId="4DA4828B" w:rsidR="00EA2450" w:rsidRDefault="00EA2450" w:rsidP="00005746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b/>
          <w:noProof/>
          <w:lang w:val="en-US" w:eastAsia="en-US"/>
        </w:rPr>
        <w:drawing>
          <wp:inline distT="0" distB="0" distL="0" distR="0" wp14:anchorId="6B929E64" wp14:editId="72D35EB5">
            <wp:extent cx="5269230" cy="7451090"/>
            <wp:effectExtent l="0" t="0" r="0" b="0"/>
            <wp:docPr id="1" name="Picture 1" descr="Fig_S1_sm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_S1_small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746">
        <w:rPr>
          <w:rFonts w:ascii="Cambria" w:hAnsi="Cambria"/>
          <w:b/>
          <w:lang w:val="en-US"/>
        </w:rPr>
        <w:t xml:space="preserve">Supplementary </w:t>
      </w:r>
      <w:r w:rsidR="00005746" w:rsidRPr="00DE33BE">
        <w:rPr>
          <w:rFonts w:ascii="Cambria" w:hAnsi="Cambria"/>
          <w:b/>
          <w:lang w:val="en-US"/>
        </w:rPr>
        <w:t xml:space="preserve">Figure </w:t>
      </w:r>
      <w:r w:rsidR="00005746">
        <w:rPr>
          <w:rFonts w:ascii="Cambria" w:hAnsi="Cambria"/>
          <w:b/>
          <w:lang w:val="en-US"/>
        </w:rPr>
        <w:t>S1.</w:t>
      </w:r>
      <w:r w:rsidR="00005746" w:rsidRPr="00DE33BE">
        <w:rPr>
          <w:rFonts w:ascii="Cambria" w:hAnsi="Cambria"/>
          <w:lang w:val="en-US"/>
        </w:rPr>
        <w:t xml:space="preserve"> </w:t>
      </w:r>
      <w:r w:rsidR="00005746" w:rsidRPr="00005746">
        <w:rPr>
          <w:rFonts w:ascii="Cambria" w:hAnsi="Cambria"/>
          <w:lang w:val="en-US"/>
        </w:rPr>
        <w:t xml:space="preserve">Characterization of </w:t>
      </w:r>
      <w:r w:rsidR="00005746" w:rsidRPr="00005746">
        <w:rPr>
          <w:rFonts w:ascii="Cambria" w:hAnsi="Cambria"/>
          <w:i/>
          <w:lang w:val="en-US"/>
        </w:rPr>
        <w:t>KIF5B-</w:t>
      </w:r>
      <w:r w:rsidR="00005746" w:rsidRPr="00005746">
        <w:rPr>
          <w:rFonts w:ascii="Cambria" w:hAnsi="Cambria"/>
          <w:lang w:val="en-US"/>
        </w:rPr>
        <w:t xml:space="preserve"> and S</w:t>
      </w:r>
      <w:r w:rsidR="00005746" w:rsidRPr="00005746">
        <w:rPr>
          <w:rFonts w:ascii="Cambria" w:hAnsi="Cambria"/>
          <w:i/>
          <w:lang w:val="en-US"/>
        </w:rPr>
        <w:t>TARD3NL-MET</w:t>
      </w:r>
      <w:r w:rsidR="00005746" w:rsidRPr="00005746">
        <w:rPr>
          <w:rFonts w:ascii="Cambria" w:hAnsi="Cambria"/>
          <w:lang w:val="en-US"/>
        </w:rPr>
        <w:t xml:space="preserve"> rearrangements.</w:t>
      </w:r>
      <w:r w:rsidR="00005746">
        <w:rPr>
          <w:rFonts w:ascii="Cambria" w:hAnsi="Cambria"/>
          <w:lang w:val="en-US"/>
        </w:rPr>
        <w:t xml:space="preserve"> </w:t>
      </w:r>
      <w:r w:rsidR="00005746" w:rsidRPr="00DE33BE">
        <w:rPr>
          <w:rFonts w:ascii="Cambria" w:hAnsi="Cambria"/>
          <w:b/>
          <w:lang w:val="en-US"/>
        </w:rPr>
        <w:t>A)</w:t>
      </w:r>
      <w:r w:rsidR="00005746" w:rsidRPr="00DE33BE">
        <w:rPr>
          <w:rFonts w:ascii="Cambria" w:hAnsi="Cambria"/>
          <w:lang w:val="en-US"/>
        </w:rPr>
        <w:t xml:space="preserve"> IGV </w:t>
      </w:r>
      <w:r w:rsidR="00005746">
        <w:rPr>
          <w:rFonts w:ascii="Cambria" w:hAnsi="Cambria"/>
          <w:lang w:val="en-US"/>
        </w:rPr>
        <w:t>screenshots</w:t>
      </w:r>
      <w:r w:rsidR="00005746" w:rsidRPr="00DE33BE">
        <w:rPr>
          <w:rFonts w:ascii="Cambria" w:hAnsi="Cambria"/>
          <w:lang w:val="en-US"/>
        </w:rPr>
        <w:t xml:space="preserve"> of next-generation sequencing reads from breakpoint regions of </w:t>
      </w:r>
      <w:r w:rsidR="00005746" w:rsidRPr="00DE33BE">
        <w:rPr>
          <w:rFonts w:ascii="Cambria" w:hAnsi="Cambria"/>
          <w:i/>
          <w:lang w:val="en-US"/>
        </w:rPr>
        <w:t>KIF5B-</w:t>
      </w:r>
      <w:r w:rsidR="00005746" w:rsidRPr="00DE33BE">
        <w:rPr>
          <w:rFonts w:ascii="Cambria" w:hAnsi="Cambria"/>
          <w:lang w:val="en-US"/>
        </w:rPr>
        <w:t xml:space="preserve"> </w:t>
      </w:r>
      <w:r w:rsidR="00005746">
        <w:rPr>
          <w:rFonts w:ascii="Cambria" w:hAnsi="Cambria"/>
          <w:lang w:val="en-US"/>
        </w:rPr>
        <w:t xml:space="preserve">and </w:t>
      </w:r>
      <w:r w:rsidR="00005746" w:rsidRPr="00DE33BE">
        <w:rPr>
          <w:rFonts w:ascii="Cambria" w:hAnsi="Cambria"/>
          <w:i/>
          <w:lang w:val="en-US"/>
        </w:rPr>
        <w:t>STARD3NL-MET</w:t>
      </w:r>
      <w:r w:rsidR="00005746" w:rsidRPr="00DE33BE">
        <w:rPr>
          <w:rFonts w:ascii="Cambria" w:hAnsi="Cambria"/>
          <w:lang w:val="en-US"/>
        </w:rPr>
        <w:t xml:space="preserve"> </w:t>
      </w:r>
      <w:r w:rsidR="00005746">
        <w:rPr>
          <w:rFonts w:ascii="Cambria" w:hAnsi="Cambria"/>
          <w:lang w:val="en-US"/>
        </w:rPr>
        <w:t xml:space="preserve">positive </w:t>
      </w:r>
      <w:r w:rsidR="00005746" w:rsidRPr="00DE33BE">
        <w:rPr>
          <w:rFonts w:ascii="Cambria" w:hAnsi="Cambria"/>
          <w:lang w:val="en-US"/>
        </w:rPr>
        <w:t xml:space="preserve">patient tissue. Due to homology in both regions the breakpoint region is marked with a red bar. The spanning read indicates the genomic sequence of the rearrangement. </w:t>
      </w:r>
      <w:r w:rsidR="00005746" w:rsidRPr="00DE33BE">
        <w:rPr>
          <w:rFonts w:ascii="Cambria" w:hAnsi="Cambria"/>
          <w:b/>
          <w:lang w:val="en-US"/>
        </w:rPr>
        <w:t>B)</w:t>
      </w:r>
      <w:r w:rsidR="00005746" w:rsidRPr="00DE33BE">
        <w:rPr>
          <w:rFonts w:ascii="Cambria" w:hAnsi="Cambria"/>
          <w:lang w:val="en-US"/>
        </w:rPr>
        <w:t xml:space="preserve"> Dideoxy sequencing of exonic breakpoint regions of patient cDNA extracted from FFPE cuts for </w:t>
      </w:r>
      <w:r w:rsidR="00005746" w:rsidRPr="00DE33BE">
        <w:rPr>
          <w:rFonts w:ascii="Cambria" w:hAnsi="Cambria"/>
          <w:i/>
          <w:lang w:val="en-US"/>
        </w:rPr>
        <w:t>KIF5</w:t>
      </w:r>
      <w:r w:rsidR="00005746">
        <w:rPr>
          <w:rFonts w:ascii="Cambria" w:hAnsi="Cambria"/>
          <w:i/>
          <w:lang w:val="en-US"/>
        </w:rPr>
        <w:t>B</w:t>
      </w:r>
      <w:r w:rsidR="00005746" w:rsidRPr="00DE33BE">
        <w:rPr>
          <w:rFonts w:ascii="Cambria" w:hAnsi="Cambria"/>
          <w:i/>
          <w:lang w:val="en-US"/>
        </w:rPr>
        <w:t>-</w:t>
      </w:r>
      <w:r w:rsidR="00005746" w:rsidRPr="00DE33BE">
        <w:rPr>
          <w:rFonts w:ascii="Cambria" w:hAnsi="Cambria"/>
          <w:lang w:val="en-US"/>
        </w:rPr>
        <w:t xml:space="preserve"> and </w:t>
      </w:r>
      <w:r w:rsidR="00005746" w:rsidRPr="00DE33BE">
        <w:rPr>
          <w:rFonts w:ascii="Cambria" w:hAnsi="Cambria"/>
          <w:i/>
          <w:lang w:val="en-US"/>
        </w:rPr>
        <w:t xml:space="preserve">STARD3NL-MET. </w:t>
      </w:r>
      <w:r w:rsidR="0030174E">
        <w:rPr>
          <w:rFonts w:ascii="Cambria" w:hAnsi="Cambria"/>
          <w:b/>
          <w:lang w:val="en-US"/>
        </w:rPr>
        <w:t>C</w:t>
      </w:r>
      <w:r w:rsidR="00005746" w:rsidRPr="00DE33BE">
        <w:rPr>
          <w:rFonts w:ascii="Cambria" w:hAnsi="Cambria"/>
          <w:b/>
          <w:lang w:val="en-US"/>
        </w:rPr>
        <w:t>)</w:t>
      </w:r>
      <w:r w:rsidR="00005746" w:rsidRPr="00DE33BE">
        <w:rPr>
          <w:rFonts w:ascii="Cambria" w:hAnsi="Cambria"/>
          <w:lang w:val="en-US"/>
        </w:rPr>
        <w:t xml:space="preserve"> PET/CT scans of </w:t>
      </w:r>
      <w:r w:rsidR="00005746" w:rsidRPr="00DE33BE">
        <w:rPr>
          <w:rFonts w:ascii="Cambria" w:hAnsi="Cambria"/>
          <w:i/>
          <w:lang w:val="en-US"/>
        </w:rPr>
        <w:t>KIF5B-MET</w:t>
      </w:r>
      <w:r w:rsidR="00005746" w:rsidRPr="00DE33BE">
        <w:rPr>
          <w:rFonts w:ascii="Cambria" w:hAnsi="Cambria"/>
          <w:lang w:val="en-US"/>
        </w:rPr>
        <w:t xml:space="preserve"> patient. Numbers below indicate </w:t>
      </w:r>
      <w:r w:rsidR="00005746">
        <w:rPr>
          <w:rFonts w:ascii="Cambria" w:hAnsi="Cambria"/>
          <w:lang w:val="en-US"/>
        </w:rPr>
        <w:t>reduction of SUV</w:t>
      </w:r>
      <w:r w:rsidR="00005746" w:rsidRPr="00773C1D">
        <w:rPr>
          <w:rFonts w:ascii="Cambria" w:hAnsi="Cambria"/>
          <w:vertAlign w:val="subscript"/>
          <w:lang w:val="en-US"/>
        </w:rPr>
        <w:t>max</w:t>
      </w:r>
      <w:r w:rsidR="00005746" w:rsidRPr="00DE33BE">
        <w:rPr>
          <w:rFonts w:ascii="Cambria" w:hAnsi="Cambria"/>
          <w:lang w:val="en-US"/>
        </w:rPr>
        <w:t xml:space="preserve"> under crizotinib therapy. </w:t>
      </w:r>
      <w:r w:rsidR="0030174E">
        <w:rPr>
          <w:rFonts w:ascii="Cambria" w:hAnsi="Cambria"/>
          <w:b/>
          <w:lang w:val="en-US"/>
        </w:rPr>
        <w:t>D</w:t>
      </w:r>
      <w:r w:rsidR="00005746" w:rsidRPr="00DE33BE">
        <w:rPr>
          <w:rFonts w:ascii="Cambria" w:hAnsi="Cambria"/>
          <w:b/>
          <w:lang w:val="en-US"/>
        </w:rPr>
        <w:t>)</w:t>
      </w:r>
      <w:r w:rsidR="00005746" w:rsidRPr="00DE33BE">
        <w:rPr>
          <w:rFonts w:ascii="Cambria" w:hAnsi="Cambria"/>
          <w:lang w:val="en-US"/>
        </w:rPr>
        <w:t xml:space="preserve"> Immunoblots of NIH-3T3 cells transduced with KIF5B-MET (upper panel) and STARD3NL-M</w:t>
      </w:r>
      <w:r w:rsidR="00005746">
        <w:rPr>
          <w:rFonts w:ascii="Cambria" w:hAnsi="Cambria"/>
          <w:lang w:val="en-US"/>
        </w:rPr>
        <w:t>ET (lower panel) treated with 1</w:t>
      </w:r>
      <w:r w:rsidR="00EA0BAD">
        <w:rPr>
          <w:rFonts w:ascii="Cambria" w:hAnsi="Cambria"/>
          <w:lang w:val="en-US"/>
        </w:rPr>
        <w:t xml:space="preserve"> </w:t>
      </w:r>
      <w:r w:rsidR="00005746" w:rsidRPr="00DE33BE">
        <w:rPr>
          <w:rFonts w:ascii="Cambria" w:hAnsi="Cambria"/>
          <w:lang w:val="en-US"/>
        </w:rPr>
        <w:t xml:space="preserve">µM crizotinib or tepotinib over time. HSP90 serves as loading control. </w:t>
      </w:r>
      <w:r>
        <w:rPr>
          <w:rFonts w:ascii="Cambria" w:hAnsi="Cambria"/>
          <w:lang w:val="en-US"/>
        </w:rPr>
        <w:t xml:space="preserve">A representative blot from n=3 independent experiments is shown. </w:t>
      </w:r>
      <w:r w:rsidR="0030174E">
        <w:rPr>
          <w:rFonts w:ascii="Cambria" w:hAnsi="Cambria"/>
          <w:b/>
          <w:lang w:val="en-US"/>
        </w:rPr>
        <w:t>E</w:t>
      </w:r>
      <w:r w:rsidR="00005746" w:rsidRPr="00DE33BE">
        <w:rPr>
          <w:rFonts w:ascii="Cambria" w:hAnsi="Cambria"/>
          <w:b/>
          <w:lang w:val="en-US"/>
        </w:rPr>
        <w:t>)</w:t>
      </w:r>
      <w:r w:rsidR="00005746" w:rsidRPr="00DE33BE">
        <w:rPr>
          <w:rFonts w:ascii="Cambria" w:hAnsi="Cambria"/>
          <w:lang w:val="en-US"/>
        </w:rPr>
        <w:t xml:space="preserve"> Dose-response curves </w:t>
      </w:r>
      <w:r w:rsidR="00005746">
        <w:rPr>
          <w:rFonts w:ascii="Cambria" w:hAnsi="Cambria"/>
          <w:lang w:val="en-US"/>
        </w:rPr>
        <w:t>(72</w:t>
      </w:r>
      <w:r w:rsidR="00EA0BAD">
        <w:rPr>
          <w:rFonts w:ascii="Cambria" w:hAnsi="Cambria"/>
          <w:lang w:val="en-US"/>
        </w:rPr>
        <w:t xml:space="preserve"> </w:t>
      </w:r>
      <w:r w:rsidR="00005746" w:rsidRPr="00DE33BE">
        <w:rPr>
          <w:rFonts w:ascii="Cambria" w:hAnsi="Cambria"/>
          <w:lang w:val="en-US"/>
        </w:rPr>
        <w:t xml:space="preserve">h) of Ba/F3 cells stably transduced with </w:t>
      </w:r>
      <w:r w:rsidR="00005746" w:rsidRPr="00DE33BE">
        <w:rPr>
          <w:rFonts w:ascii="Cambria" w:hAnsi="Cambria"/>
          <w:i/>
          <w:lang w:val="en-US"/>
        </w:rPr>
        <w:t>KIF5</w:t>
      </w:r>
      <w:r w:rsidR="00005746">
        <w:rPr>
          <w:rFonts w:ascii="Cambria" w:hAnsi="Cambria"/>
          <w:i/>
          <w:lang w:val="en-US"/>
        </w:rPr>
        <w:t>B</w:t>
      </w:r>
      <w:r w:rsidR="00005746" w:rsidRPr="00DE33BE">
        <w:rPr>
          <w:rFonts w:ascii="Cambria" w:hAnsi="Cambria"/>
          <w:i/>
          <w:lang w:val="en-US"/>
        </w:rPr>
        <w:t>-MET</w:t>
      </w:r>
      <w:r w:rsidR="00005746" w:rsidRPr="00DE33BE">
        <w:rPr>
          <w:rFonts w:ascii="Cambria" w:hAnsi="Cambria"/>
          <w:lang w:val="en-US"/>
        </w:rPr>
        <w:t xml:space="preserve"> or </w:t>
      </w:r>
      <w:r w:rsidR="00005746" w:rsidRPr="00DE33BE">
        <w:rPr>
          <w:rFonts w:ascii="Cambria" w:hAnsi="Cambria"/>
          <w:i/>
          <w:lang w:val="en-US"/>
        </w:rPr>
        <w:t>STARD3NL-MET</w:t>
      </w:r>
      <w:r w:rsidR="00005746" w:rsidRPr="00DE33BE">
        <w:rPr>
          <w:rFonts w:ascii="Cambria" w:hAnsi="Cambria"/>
          <w:lang w:val="en-US"/>
        </w:rPr>
        <w:t xml:space="preserve"> supplemented with IL-3 (10% conditioned Wehi-3b media) and treated with crizotinib, tepotinib and erlotinib (as control compound).</w:t>
      </w:r>
      <w:r>
        <w:rPr>
          <w:rFonts w:ascii="Cambria" w:hAnsi="Cambria"/>
          <w:lang w:val="en-US"/>
        </w:rPr>
        <w:t xml:space="preserve"> (n=3)</w:t>
      </w:r>
    </w:p>
    <w:p w14:paraId="40FC394E" w14:textId="210C474F" w:rsidR="00005746" w:rsidRDefault="00EA2450" w:rsidP="00EA245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br w:type="page"/>
      </w:r>
    </w:p>
    <w:p w14:paraId="5E8A517E" w14:textId="6F1859AB" w:rsidR="00005746" w:rsidRDefault="00EA2450" w:rsidP="00005746">
      <w:pPr>
        <w:widowControl w:val="0"/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  <w:lang w:val="en-US" w:eastAsia="en-US"/>
        </w:rPr>
        <w:drawing>
          <wp:inline distT="0" distB="0" distL="0" distR="0" wp14:anchorId="1434E943" wp14:editId="4CE577CC">
            <wp:extent cx="5269230" cy="7451090"/>
            <wp:effectExtent l="0" t="0" r="0" b="0"/>
            <wp:docPr id="2" name="Picture 2" descr="Macintosh HD:Users:Dennis:sciebo:MET_own:Submission_JCI:Fig_S2_smal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nnis:sciebo:MET_own:Submission_JCI:Fig_S2_small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62A74" w14:textId="7FF694D9" w:rsidR="00EA2450" w:rsidRDefault="00005746" w:rsidP="00EA2450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>
        <w:rPr>
          <w:rFonts w:ascii="Cambria" w:hAnsi="Cambria"/>
          <w:b/>
          <w:lang w:val="en-US"/>
        </w:rPr>
        <w:t>Supplementary Figure S</w:t>
      </w:r>
      <w:r w:rsidRPr="00DE33BE">
        <w:rPr>
          <w:rFonts w:ascii="Cambria" w:hAnsi="Cambria"/>
          <w:b/>
          <w:lang w:val="en-US"/>
        </w:rPr>
        <w:t>2</w:t>
      </w:r>
      <w:r>
        <w:rPr>
          <w:rFonts w:ascii="Cambria" w:hAnsi="Cambria"/>
          <w:b/>
          <w:lang w:val="en-US"/>
        </w:rPr>
        <w:t>.</w:t>
      </w:r>
      <w:r w:rsidRPr="006B4B6E">
        <w:rPr>
          <w:rFonts w:ascii="Cambria" w:hAnsi="Cambria"/>
          <w:b/>
          <w:lang w:val="en-US"/>
        </w:rPr>
        <w:t xml:space="preserve"> </w:t>
      </w:r>
      <w:r w:rsidRPr="00005746">
        <w:rPr>
          <w:rFonts w:ascii="Cambria" w:hAnsi="Cambria"/>
          <w:lang w:val="en-US"/>
        </w:rPr>
        <w:t>Characterization of MET KDD rearrangement</w:t>
      </w:r>
      <w:r>
        <w:rPr>
          <w:rFonts w:ascii="Cambria" w:hAnsi="Cambria"/>
          <w:lang w:val="en-US"/>
        </w:rPr>
        <w:t xml:space="preserve">. </w:t>
      </w:r>
      <w:r>
        <w:rPr>
          <w:rFonts w:ascii="Cambria" w:hAnsi="Cambria"/>
          <w:b/>
          <w:lang w:val="en-US"/>
        </w:rPr>
        <w:t>A</w:t>
      </w:r>
      <w:r w:rsidRPr="00DE33BE">
        <w:rPr>
          <w:rFonts w:ascii="Cambria" w:hAnsi="Cambria"/>
          <w:b/>
          <w:lang w:val="en-US"/>
        </w:rPr>
        <w:t>)</w:t>
      </w:r>
      <w:r w:rsidRPr="00DE33BE">
        <w:rPr>
          <w:rFonts w:ascii="Cambria" w:hAnsi="Cambria"/>
          <w:lang w:val="en-US"/>
        </w:rPr>
        <w:t xml:space="preserve"> IGV pictures of MET KDD patient for intronic region </w:t>
      </w:r>
      <w:r>
        <w:rPr>
          <w:rFonts w:ascii="Cambria" w:hAnsi="Cambria"/>
          <w:lang w:val="en-US"/>
        </w:rPr>
        <w:t>between</w:t>
      </w:r>
      <w:r w:rsidRPr="00DE33BE">
        <w:rPr>
          <w:rFonts w:ascii="Cambria" w:hAnsi="Cambria"/>
          <w:lang w:val="en-US"/>
        </w:rPr>
        <w:t xml:space="preserve"> exon 14 </w:t>
      </w:r>
      <w:r>
        <w:rPr>
          <w:rFonts w:ascii="Cambria" w:hAnsi="Cambria"/>
          <w:lang w:val="en-US"/>
        </w:rPr>
        <w:t>and</w:t>
      </w:r>
      <w:r w:rsidRPr="00DE33BE">
        <w:rPr>
          <w:rFonts w:ascii="Cambria" w:hAnsi="Cambria"/>
          <w:lang w:val="en-US"/>
        </w:rPr>
        <w:t xml:space="preserve"> 15 and exon 21. </w:t>
      </w:r>
      <w:r>
        <w:rPr>
          <w:rFonts w:ascii="Cambria" w:hAnsi="Cambria"/>
          <w:lang w:val="en-US"/>
        </w:rPr>
        <w:t>Spanning read indicates the genomic sequence of the breakpoint surrounding both kinase domains. Splice donor site is marked in red.</w:t>
      </w:r>
      <w:r w:rsidRPr="00DE33BE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b/>
          <w:lang w:val="en-US"/>
        </w:rPr>
        <w:t>B</w:t>
      </w:r>
      <w:r w:rsidRPr="00773C1D">
        <w:rPr>
          <w:rFonts w:ascii="Cambria" w:hAnsi="Cambria"/>
          <w:b/>
          <w:lang w:val="en-US"/>
        </w:rPr>
        <w:t>)</w:t>
      </w:r>
      <w:r>
        <w:rPr>
          <w:rFonts w:ascii="Cambria" w:hAnsi="Cambria"/>
          <w:lang w:val="en-US"/>
        </w:rPr>
        <w:t xml:space="preserve"> Dideoxy sequencing of breakpoint region of MET KDD from exon 21 to exon 15 from patient cDNA extracted from FFPE. Red arrow marks the breakpoint. </w:t>
      </w:r>
      <w:r w:rsidRPr="00844A3F">
        <w:rPr>
          <w:rFonts w:ascii="Cambria" w:hAnsi="Cambria"/>
          <w:b/>
          <w:lang w:val="en-US"/>
        </w:rPr>
        <w:t>C)</w:t>
      </w:r>
      <w:r>
        <w:rPr>
          <w:rFonts w:ascii="Cambria" w:hAnsi="Cambria"/>
          <w:lang w:val="en-US"/>
        </w:rPr>
        <w:t xml:space="preserve"> </w:t>
      </w:r>
      <w:r w:rsidRPr="00DE33BE">
        <w:rPr>
          <w:rFonts w:ascii="Cambria" w:hAnsi="Cambria"/>
          <w:lang w:val="en-US"/>
        </w:rPr>
        <w:t>Immunoblot of transiently transfected (48</w:t>
      </w:r>
      <w:r w:rsidR="00EA0BAD">
        <w:rPr>
          <w:rFonts w:ascii="Cambria" w:hAnsi="Cambria"/>
          <w:lang w:val="en-US"/>
        </w:rPr>
        <w:t xml:space="preserve"> </w:t>
      </w:r>
      <w:r w:rsidRPr="00DE33BE">
        <w:rPr>
          <w:rFonts w:ascii="Cambria" w:hAnsi="Cambria"/>
          <w:lang w:val="en-US"/>
        </w:rPr>
        <w:t>h) NIH-3T3 cells with e.v., MET or MET KDD. Cells were treated with crizotinib for 4</w:t>
      </w:r>
      <w:r w:rsidR="00EA0BAD">
        <w:rPr>
          <w:rFonts w:ascii="Cambria" w:hAnsi="Cambria"/>
          <w:lang w:val="en-US"/>
        </w:rPr>
        <w:t xml:space="preserve"> </w:t>
      </w:r>
      <w:r w:rsidRPr="00DE33BE">
        <w:rPr>
          <w:rFonts w:ascii="Cambria" w:hAnsi="Cambria"/>
          <w:lang w:val="en-US"/>
        </w:rPr>
        <w:t>h. Actin serves as loading control.</w:t>
      </w:r>
      <w:r>
        <w:rPr>
          <w:rFonts w:ascii="Cambria" w:hAnsi="Cambria"/>
          <w:lang w:val="en-US"/>
        </w:rPr>
        <w:t xml:space="preserve"> </w:t>
      </w:r>
      <w:r w:rsidR="00EA2450">
        <w:rPr>
          <w:rFonts w:ascii="Cambria" w:hAnsi="Cambria"/>
          <w:lang w:val="en-US"/>
        </w:rPr>
        <w:t xml:space="preserve">A representative blot from n=3 independent experiments is shown. </w:t>
      </w:r>
      <w:r>
        <w:rPr>
          <w:rFonts w:ascii="Cambria" w:hAnsi="Cambria"/>
          <w:b/>
          <w:lang w:val="en-US"/>
        </w:rPr>
        <w:t>D</w:t>
      </w:r>
      <w:r w:rsidRPr="00DE33BE">
        <w:rPr>
          <w:rFonts w:ascii="Cambria" w:hAnsi="Cambria"/>
          <w:b/>
          <w:lang w:val="en-US"/>
        </w:rPr>
        <w:t xml:space="preserve">) </w:t>
      </w:r>
      <w:r w:rsidRPr="00DE33BE">
        <w:rPr>
          <w:rFonts w:ascii="Cambria" w:hAnsi="Cambria"/>
          <w:lang w:val="en-US"/>
        </w:rPr>
        <w:t>Immun</w:t>
      </w:r>
      <w:r>
        <w:rPr>
          <w:rFonts w:ascii="Cambria" w:hAnsi="Cambria"/>
          <w:lang w:val="en-US"/>
        </w:rPr>
        <w:t>o</w:t>
      </w:r>
      <w:r w:rsidRPr="00DE33BE">
        <w:rPr>
          <w:rFonts w:ascii="Cambria" w:hAnsi="Cambria"/>
          <w:lang w:val="en-US"/>
        </w:rPr>
        <w:t xml:space="preserve">histochemistry and FISH marker analysis of patient tissue under different treatment regimens. </w:t>
      </w:r>
      <w:r>
        <w:rPr>
          <w:rFonts w:ascii="Cambria" w:hAnsi="Cambria"/>
          <w:b/>
          <w:lang w:val="en-US"/>
        </w:rPr>
        <w:t>E</w:t>
      </w:r>
      <w:r w:rsidRPr="00DE33BE">
        <w:rPr>
          <w:rFonts w:ascii="Cambria" w:hAnsi="Cambria"/>
          <w:b/>
          <w:lang w:val="en-US"/>
        </w:rPr>
        <w:t>)</w:t>
      </w:r>
      <w:r w:rsidRPr="00DE33BE">
        <w:rPr>
          <w:rFonts w:ascii="Cambria" w:hAnsi="Cambria"/>
          <w:lang w:val="en-US"/>
        </w:rPr>
        <w:t xml:space="preserve"> </w:t>
      </w:r>
      <w:r>
        <w:rPr>
          <w:lang w:val="en-US"/>
        </w:rPr>
        <w:t>Pan-TCGA analysis (n&gt;11,000) of SNP array copy number data for EGFR and MET, displaying patients with copy number alterations in the corresponding kinase domains (+/- 10</w:t>
      </w:r>
      <w:r w:rsidR="00EA0BAD">
        <w:rPr>
          <w:lang w:val="en-US"/>
        </w:rPr>
        <w:t xml:space="preserve"> </w:t>
      </w:r>
      <w:r>
        <w:rPr>
          <w:lang w:val="en-US"/>
        </w:rPr>
        <w:t>kb), covering at least 50% of the KD. The published cases for EGFR are detected (red and beige; bold). No case with specifically increased copy number in the kinase domain was found for MET.</w:t>
      </w:r>
    </w:p>
    <w:p w14:paraId="0D82317D" w14:textId="0FCAA9E8" w:rsidR="00D00CAD" w:rsidRPr="00005746" w:rsidRDefault="00D00CAD" w:rsidP="00EA2450">
      <w:pPr>
        <w:widowControl w:val="0"/>
        <w:tabs>
          <w:tab w:val="left" w:pos="640"/>
        </w:tabs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sectPr w:rsidR="00D00CAD" w:rsidRPr="00005746" w:rsidSect="005113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C6"/>
    <w:rsid w:val="00005746"/>
    <w:rsid w:val="000F7DAA"/>
    <w:rsid w:val="00121D47"/>
    <w:rsid w:val="002F071F"/>
    <w:rsid w:val="0030174E"/>
    <w:rsid w:val="00321E36"/>
    <w:rsid w:val="00382F3C"/>
    <w:rsid w:val="004869C6"/>
    <w:rsid w:val="00511325"/>
    <w:rsid w:val="00673227"/>
    <w:rsid w:val="006B4B6E"/>
    <w:rsid w:val="00844A3F"/>
    <w:rsid w:val="00850235"/>
    <w:rsid w:val="008D2F6C"/>
    <w:rsid w:val="009555E6"/>
    <w:rsid w:val="009B5A0C"/>
    <w:rsid w:val="00A14F5A"/>
    <w:rsid w:val="00A312A8"/>
    <w:rsid w:val="00AC44C5"/>
    <w:rsid w:val="00AD1134"/>
    <w:rsid w:val="00B469BF"/>
    <w:rsid w:val="00BA4FB4"/>
    <w:rsid w:val="00CB4515"/>
    <w:rsid w:val="00D00CAD"/>
    <w:rsid w:val="00D214A3"/>
    <w:rsid w:val="00DD0379"/>
    <w:rsid w:val="00E63D10"/>
    <w:rsid w:val="00EA0BAD"/>
    <w:rsid w:val="00EA2450"/>
    <w:rsid w:val="00EF41B0"/>
    <w:rsid w:val="00F14006"/>
    <w:rsid w:val="00F242A5"/>
    <w:rsid w:val="00FC500A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E63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69C6"/>
    <w:rPr>
      <w:lang w:eastAsia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50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C50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C500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text1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500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500A"/>
    <w:rPr>
      <w:rFonts w:ascii="Arial" w:eastAsiaTheme="majorEastAsia" w:hAnsi="Arial" w:cstheme="majorBidi"/>
      <w:b/>
      <w:bCs/>
      <w:color w:val="000000" w:themeColor="text1"/>
      <w:sz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C500A"/>
    <w:rPr>
      <w:rFonts w:ascii="Arial" w:eastAsiaTheme="majorEastAsia" w:hAnsi="Arial" w:cstheme="majorBidi"/>
      <w:b/>
      <w:bCs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00A"/>
    <w:rPr>
      <w:rFonts w:ascii="Arial" w:eastAsiaTheme="majorEastAsia" w:hAnsi="Arial" w:cstheme="majorBidi"/>
      <w:b/>
      <w:bCs/>
      <w:color w:val="000000" w:themeColor="text1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C500A"/>
    <w:rPr>
      <w:rFonts w:ascii="Arial" w:eastAsiaTheme="majorEastAsia" w:hAnsi="Arial" w:cstheme="majorBidi"/>
      <w:b/>
      <w:bCs/>
      <w:i/>
      <w:iCs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9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C6"/>
    <w:rPr>
      <w:rFonts w:ascii="Lucida Grande" w:hAnsi="Lucida Grande" w:cs="Lucida Grande"/>
      <w:sz w:val="18"/>
      <w:szCs w:val="18"/>
      <w:lang w:eastAsia="de-DE"/>
    </w:rPr>
  </w:style>
  <w:style w:type="paragraph" w:styleId="NoSpacing">
    <w:name w:val="No Spacing"/>
    <w:uiPriority w:val="1"/>
    <w:qFormat/>
    <w:rsid w:val="00DD0379"/>
    <w:rPr>
      <w:rFonts w:eastAsia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3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3D1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14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1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34"/>
    <w:rPr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34"/>
    <w:rPr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1013</Words>
  <Characters>5775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Köln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Plenker</dc:creator>
  <cp:keywords/>
  <dc:description/>
  <cp:lastModifiedBy>Dennis Plenker</cp:lastModifiedBy>
  <cp:revision>3</cp:revision>
  <cp:lastPrinted>2017-12-07T16:51:00Z</cp:lastPrinted>
  <dcterms:created xsi:type="dcterms:W3CDTF">2017-12-07T16:52:00Z</dcterms:created>
  <dcterms:modified xsi:type="dcterms:W3CDTF">2017-12-07T19:36:00Z</dcterms:modified>
</cp:coreProperties>
</file>