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96" w:rsidRPr="00C63A96" w:rsidRDefault="00C63A96" w:rsidP="00947B56">
      <w:pPr>
        <w:spacing w:line="240" w:lineRule="auto"/>
        <w:jc w:val="both"/>
        <w:rPr>
          <w:rFonts w:eastAsia="ArialMT" w:cs="ArialMT"/>
          <w:b/>
          <w:color w:val="010202"/>
          <w:sz w:val="28"/>
          <w:szCs w:val="28"/>
        </w:rPr>
      </w:pPr>
      <w:r w:rsidRPr="00C63A96">
        <w:rPr>
          <w:rFonts w:eastAsia="ArialMT" w:cs="ArialMT"/>
          <w:b/>
          <w:color w:val="010202"/>
          <w:sz w:val="28"/>
          <w:szCs w:val="28"/>
        </w:rPr>
        <w:t>Supplementary Methods.</w:t>
      </w:r>
    </w:p>
    <w:p w:rsidR="00C63A96" w:rsidRDefault="00C63A96" w:rsidP="00947B56">
      <w:pPr>
        <w:spacing w:line="240" w:lineRule="auto"/>
        <w:jc w:val="both"/>
        <w:rPr>
          <w:rFonts w:eastAsia="ArialMT" w:cs="ArialMT"/>
          <w:color w:val="010202"/>
        </w:rPr>
      </w:pPr>
    </w:p>
    <w:p w:rsidR="00C63A96" w:rsidRDefault="00C63A96" w:rsidP="00947B56">
      <w:pPr>
        <w:spacing w:line="240" w:lineRule="auto"/>
        <w:jc w:val="both"/>
        <w:rPr>
          <w:rFonts w:eastAsia="ArialMT" w:cs="ArialMT"/>
          <w:color w:val="010202"/>
        </w:rPr>
      </w:pPr>
      <w:r w:rsidRPr="00C63A96">
        <w:rPr>
          <w:rFonts w:eastAsia="ArialMT" w:cs="ArialMT"/>
          <w:color w:val="010202"/>
        </w:rPr>
        <w:t>The authors acknowledge the reporting of Minimal Information About T-cell Assays (MIATA).</w:t>
      </w:r>
    </w:p>
    <w:p w:rsidR="00947B56" w:rsidRPr="00C63A96" w:rsidRDefault="00947B56" w:rsidP="00947B56">
      <w:pPr>
        <w:spacing w:line="240" w:lineRule="auto"/>
        <w:jc w:val="both"/>
      </w:pPr>
    </w:p>
    <w:p w:rsidR="00C63A96" w:rsidRPr="00C63A96" w:rsidRDefault="00C63A96" w:rsidP="00947B56">
      <w:pPr>
        <w:spacing w:line="240" w:lineRule="auto"/>
        <w:jc w:val="both"/>
        <w:rPr>
          <w:b/>
          <w:i/>
        </w:rPr>
      </w:pPr>
      <w:r w:rsidRPr="00C63A96">
        <w:rPr>
          <w:b/>
          <w:i/>
        </w:rPr>
        <w:t>The sample</w:t>
      </w:r>
    </w:p>
    <w:p w:rsidR="00C63A96" w:rsidRPr="00C63A96" w:rsidRDefault="00C63A96" w:rsidP="00947B56">
      <w:pPr>
        <w:spacing w:line="240" w:lineRule="auto"/>
        <w:jc w:val="both"/>
      </w:pPr>
      <w:r w:rsidRPr="00C63A96">
        <w:rPr>
          <w:i/>
        </w:rPr>
        <w:t xml:space="preserve">Blood sample. </w:t>
      </w:r>
      <w:r w:rsidRPr="00C63A96">
        <w:t xml:space="preserve">Sodium heparinized venous whole blood (60 mL) was collected prior to the standard treatment of patients as well as from healthy volunteers after signing informed consent and handled as described previously </w:t>
      </w:r>
      <w:r w:rsidR="00D92356">
        <w:t>(1)</w:t>
      </w:r>
      <w:r w:rsidRPr="00C63A96">
        <w:t>. Peripheral blood mononuclear cells (PBMCs) were stored in the vapour phase of liquid nitrogen until use.</w:t>
      </w:r>
    </w:p>
    <w:p w:rsidR="00C63A96" w:rsidRPr="00C63A96" w:rsidRDefault="00C63A96" w:rsidP="00947B56">
      <w:pPr>
        <w:spacing w:line="240" w:lineRule="auto"/>
      </w:pPr>
    </w:p>
    <w:p w:rsidR="00C63A96" w:rsidRPr="00C63A96" w:rsidRDefault="00C63A96" w:rsidP="00947B56">
      <w:pPr>
        <w:spacing w:line="240" w:lineRule="auto"/>
        <w:rPr>
          <w:rFonts w:cs="Arial"/>
        </w:rPr>
      </w:pPr>
      <w:proofErr w:type="spellStart"/>
      <w:r w:rsidRPr="00C63A96">
        <w:rPr>
          <w:i/>
        </w:rPr>
        <w:t>Tumor</w:t>
      </w:r>
      <w:proofErr w:type="spellEnd"/>
      <w:r w:rsidRPr="00C63A96">
        <w:rPr>
          <w:i/>
        </w:rPr>
        <w:t xml:space="preserve"> sample. </w:t>
      </w:r>
      <w:proofErr w:type="spellStart"/>
      <w:r w:rsidRPr="00C63A96">
        <w:t>Tumor</w:t>
      </w:r>
      <w:proofErr w:type="spellEnd"/>
      <w:r w:rsidRPr="00C63A96">
        <w:t xml:space="preserve"> material or biopsy was either obtained at the operation </w:t>
      </w:r>
      <w:proofErr w:type="spellStart"/>
      <w:r w:rsidRPr="00C63A96">
        <w:t>theater</w:t>
      </w:r>
      <w:proofErr w:type="spellEnd"/>
      <w:r w:rsidRPr="00C63A96">
        <w:t xml:space="preserve"> (under local anaesthesia) or a biopsy was taken in the out-patient clinic. Part of the </w:t>
      </w:r>
      <w:proofErr w:type="spellStart"/>
      <w:r w:rsidRPr="00C63A96">
        <w:t>tumor</w:t>
      </w:r>
      <w:proofErr w:type="spellEnd"/>
      <w:r w:rsidRPr="00C63A96">
        <w:t xml:space="preserve"> was embedded in paraffin for diagnostics and in parallel a part of the </w:t>
      </w:r>
      <w:proofErr w:type="spellStart"/>
      <w:r w:rsidRPr="00C63A96">
        <w:t>tumor</w:t>
      </w:r>
      <w:proofErr w:type="spellEnd"/>
      <w:r w:rsidRPr="00C63A96">
        <w:t xml:space="preserve"> was first cut into small pieces, incubated in a dissociation mixture containing high dose of antibiotics (IMDM with 50 </w:t>
      </w:r>
      <w:r w:rsidRPr="00C63A96">
        <w:rPr>
          <w:rFonts w:cs="Arial"/>
        </w:rPr>
        <w:t>µg/ml Gentamycin, 2</w:t>
      </w:r>
      <w:r w:rsidRPr="00C63A96">
        <w:t xml:space="preserve">5 </w:t>
      </w:r>
      <w:r w:rsidRPr="00C63A96">
        <w:rPr>
          <w:rFonts w:cs="Arial"/>
        </w:rPr>
        <w:t xml:space="preserve">µg/ml </w:t>
      </w:r>
      <w:proofErr w:type="spellStart"/>
      <w:r w:rsidRPr="00C63A96">
        <w:rPr>
          <w:rFonts w:cs="Arial"/>
        </w:rPr>
        <w:t>Fungizone</w:t>
      </w:r>
      <w:proofErr w:type="spellEnd"/>
      <w:r w:rsidRPr="00C63A96">
        <w:rPr>
          <w:rFonts w:cs="Arial"/>
        </w:rPr>
        <w:t xml:space="preserve"> (Invitrogen/</w:t>
      </w:r>
      <w:r w:rsidRPr="00C63A96">
        <w:t xml:space="preserve"> </w:t>
      </w:r>
      <w:proofErr w:type="spellStart"/>
      <w:r w:rsidRPr="00C63A96">
        <w:t>Thermo</w:t>
      </w:r>
      <w:proofErr w:type="spellEnd"/>
      <w:r w:rsidRPr="00C63A96">
        <w:t xml:space="preserve"> Fisher Scientific (TFS), </w:t>
      </w:r>
      <w:proofErr w:type="spellStart"/>
      <w:r w:rsidRPr="00C63A96">
        <w:t>Bleiswijk</w:t>
      </w:r>
      <w:proofErr w:type="spellEnd"/>
      <w:r w:rsidRPr="00C63A96">
        <w:t>, the Netherlands</w:t>
      </w:r>
      <w:r w:rsidRPr="00C63A96">
        <w:rPr>
          <w:rFonts w:cs="Arial"/>
        </w:rPr>
        <w:t xml:space="preserve">), 1 mg/ml collagenase D (Roche, </w:t>
      </w:r>
      <w:proofErr w:type="spellStart"/>
      <w:r w:rsidRPr="00C63A96">
        <w:rPr>
          <w:rFonts w:cs="Arial"/>
        </w:rPr>
        <w:t>Woerden</w:t>
      </w:r>
      <w:proofErr w:type="spellEnd"/>
      <w:r w:rsidRPr="00C63A96">
        <w:rPr>
          <w:rFonts w:cs="Arial"/>
        </w:rPr>
        <w:t xml:space="preserve">, the Netherlands), </w:t>
      </w:r>
      <w:r w:rsidRPr="00C63A96">
        <w:t xml:space="preserve">50 </w:t>
      </w:r>
      <w:r w:rsidRPr="00C63A96">
        <w:rPr>
          <w:rFonts w:cs="Arial"/>
        </w:rPr>
        <w:t xml:space="preserve">µg/ml </w:t>
      </w:r>
      <w:proofErr w:type="spellStart"/>
      <w:r w:rsidRPr="00C63A96">
        <w:rPr>
          <w:rFonts w:cs="Arial"/>
        </w:rPr>
        <w:t>DNAse</w:t>
      </w:r>
      <w:proofErr w:type="spellEnd"/>
      <w:r w:rsidRPr="00C63A96">
        <w:rPr>
          <w:rFonts w:cs="Arial"/>
        </w:rPr>
        <w:t xml:space="preserve"> I (Roche), pen/strep and </w:t>
      </w:r>
      <w:r w:rsidRPr="00C63A96">
        <w:t>10% human</w:t>
      </w:r>
      <w:r w:rsidRPr="00C63A96">
        <w:rPr>
          <w:rFonts w:cs="Arial"/>
        </w:rPr>
        <w:t xml:space="preserve"> AB serum) </w:t>
      </w:r>
      <w:r w:rsidRPr="00C63A96">
        <w:t xml:space="preserve">for 30 minutes </w:t>
      </w:r>
      <w:r w:rsidRPr="00C63A96">
        <w:rPr>
          <w:rFonts w:cs="Arial"/>
        </w:rPr>
        <w:t>at 37</w:t>
      </w:r>
      <w:r w:rsidRPr="00C63A96">
        <w:rPr>
          <w:rFonts w:cs="Arial"/>
          <w:vertAlign w:val="superscript"/>
        </w:rPr>
        <w:t>o</w:t>
      </w:r>
      <w:r w:rsidRPr="00C63A96">
        <w:rPr>
          <w:rFonts w:cs="Arial"/>
        </w:rPr>
        <w:t>C with every 10 minutes gently shaking the sample</w:t>
      </w:r>
      <w:r w:rsidRPr="00C63A96">
        <w:t xml:space="preserve"> and put into culture in </w:t>
      </w:r>
      <w:proofErr w:type="spellStart"/>
      <w:r w:rsidRPr="00C63A96">
        <w:t>Iscove’s</w:t>
      </w:r>
      <w:proofErr w:type="spellEnd"/>
      <w:r w:rsidRPr="00C63A96">
        <w:t xml:space="preserve"> Modified Dulbecco’s Medium (IMDM, </w:t>
      </w:r>
      <w:proofErr w:type="spellStart"/>
      <w:r w:rsidRPr="00C63A96">
        <w:t>Lonza</w:t>
      </w:r>
      <w:proofErr w:type="spellEnd"/>
      <w:r w:rsidRPr="00C63A96">
        <w:t xml:space="preserve">, </w:t>
      </w:r>
      <w:r w:rsidRPr="00C63A96">
        <w:rPr>
          <w:rFonts w:eastAsia="ArialMT" w:cs="ArialMT"/>
          <w:color w:val="010202"/>
        </w:rPr>
        <w:t>Verviers, Belgium</w:t>
      </w:r>
      <w:r w:rsidRPr="00C63A96">
        <w:t xml:space="preserve">), supplemented with 10% human AB serum (Life Technologies/TFS), 100 IU/ml penicillin (pen; PAA laboratories), 100 </w:t>
      </w:r>
      <w:r w:rsidRPr="00C63A96">
        <w:rPr>
          <w:rFonts w:cs="Arial"/>
        </w:rPr>
        <w:t>µg/ml</w:t>
      </w:r>
      <w:r w:rsidRPr="00C63A96">
        <w:t xml:space="preserve"> streptomycin (strep; </w:t>
      </w:r>
      <w:r w:rsidR="006754C6">
        <w:t xml:space="preserve">PAA laboratories), 2 </w:t>
      </w:r>
      <w:proofErr w:type="spellStart"/>
      <w:r w:rsidR="006754C6">
        <w:t>mM</w:t>
      </w:r>
      <w:proofErr w:type="spellEnd"/>
      <w:r w:rsidR="006754C6">
        <w:t xml:space="preserve"> L-</w:t>
      </w:r>
      <w:proofErr w:type="spellStart"/>
      <w:r w:rsidR="006754C6">
        <w:t>gluta</w:t>
      </w:r>
      <w:r w:rsidRPr="00C63A96">
        <w:t>min</w:t>
      </w:r>
      <w:proofErr w:type="spellEnd"/>
      <w:r w:rsidRPr="00C63A96">
        <w:t xml:space="preserve"> (PAA laboratories) and 20 </w:t>
      </w:r>
      <w:r w:rsidRPr="00C63A96">
        <w:rPr>
          <w:rFonts w:cs="Arial"/>
        </w:rPr>
        <w:t>µg/ml</w:t>
      </w:r>
      <w:r w:rsidRPr="00C63A96">
        <w:t xml:space="preserve"> Gentamycin (</w:t>
      </w:r>
      <w:proofErr w:type="spellStart"/>
      <w:r w:rsidRPr="00C63A96">
        <w:t>Centrafarm</w:t>
      </w:r>
      <w:proofErr w:type="spellEnd"/>
      <w:r w:rsidRPr="00C63A96">
        <w:t xml:space="preserve">, </w:t>
      </w:r>
      <w:proofErr w:type="spellStart"/>
      <w:r w:rsidRPr="00C63A96">
        <w:t>Etten-Leur</w:t>
      </w:r>
      <w:proofErr w:type="spellEnd"/>
      <w:r w:rsidRPr="00C63A96">
        <w:t xml:space="preserve">, the Netherlands) and by using homeostatic cytokines, consisting of 10% T-cell growth factor (TCGF; </w:t>
      </w:r>
      <w:proofErr w:type="spellStart"/>
      <w:r w:rsidRPr="00C63A96">
        <w:t>ZeptoMetrix</w:t>
      </w:r>
      <w:proofErr w:type="spellEnd"/>
      <w:r w:rsidRPr="00C63A96">
        <w:t xml:space="preserve">, Buffalo, NY, USA) and 5 ng/ml human recombinant interleukin (IL)-7 as well as IL-15 (both from </w:t>
      </w:r>
      <w:proofErr w:type="spellStart"/>
      <w:r w:rsidRPr="00C63A96">
        <w:t>PeproTech</w:t>
      </w:r>
      <w:proofErr w:type="spellEnd"/>
      <w:r w:rsidRPr="00C63A96">
        <w:t xml:space="preserve">, Hamburg, Germany) (Supplementary Fig. S1). The medium was regularly (after 3-4 days) refreshed with IMDM supplemented with human AB serum and IL-15 (no IL-7). From patient H100 on the approach to culture and expand </w:t>
      </w:r>
      <w:proofErr w:type="spellStart"/>
      <w:r w:rsidRPr="00C63A96">
        <w:t>tumor</w:t>
      </w:r>
      <w:proofErr w:type="spellEnd"/>
      <w:r w:rsidRPr="00C63A96">
        <w:t xml:space="preserve"> infiltrating lymphocytes (TILs) was adjusted. Instead of the less defined TCGF and the IL-7/IL-15 now only 1000 IU/ml human recombinant IL-2 (</w:t>
      </w:r>
      <w:proofErr w:type="spellStart"/>
      <w:r w:rsidRPr="00C63A96">
        <w:t>Aldesleukin</w:t>
      </w:r>
      <w:proofErr w:type="spellEnd"/>
      <w:r w:rsidRPr="00C63A96">
        <w:t xml:space="preserve">, Novartis, Arnhem, the Netherlands) was used. The culture was replenished every 2-3 days with fresh IMDM containing 10% human AB serum and IL-2 to a final concentration of 1000 IU/ml. When there were sufficient cells, after 2-4 weeks, the cells were cryopreserved in 90% </w:t>
      </w:r>
      <w:proofErr w:type="spellStart"/>
      <w:r w:rsidRPr="00C63A96">
        <w:t>Fetal</w:t>
      </w:r>
      <w:proofErr w:type="spellEnd"/>
      <w:r w:rsidRPr="00C63A96">
        <w:t xml:space="preserve"> Calf Serum (FCS, PAA Laboratories, Pashing, Austria) /10% </w:t>
      </w:r>
      <w:proofErr w:type="spellStart"/>
      <w:r w:rsidRPr="00C63A96">
        <w:t>Dimethylsulfoxide</w:t>
      </w:r>
      <w:proofErr w:type="spellEnd"/>
      <w:r w:rsidRPr="00C63A96">
        <w:t xml:space="preserve"> (DMSO, WAK </w:t>
      </w:r>
      <w:proofErr w:type="spellStart"/>
      <w:r w:rsidRPr="00C63A96">
        <w:t>Chemie</w:t>
      </w:r>
      <w:proofErr w:type="spellEnd"/>
      <w:r w:rsidRPr="00C63A96">
        <w:t xml:space="preserve"> Medical, Steinbach, Germany) as described above and stored in the liquid nitrogen vessel until use. When the </w:t>
      </w:r>
      <w:proofErr w:type="spellStart"/>
      <w:r w:rsidRPr="00C63A96">
        <w:t>tumor</w:t>
      </w:r>
      <w:proofErr w:type="spellEnd"/>
      <w:r w:rsidRPr="00C63A96">
        <w:t xml:space="preserve"> was large enough the main part in the dissociation mixture was transferred to MACS-C tubes (</w:t>
      </w:r>
      <w:proofErr w:type="spellStart"/>
      <w:r w:rsidRPr="00C63A96">
        <w:t>Miltenyi</w:t>
      </w:r>
      <w:proofErr w:type="spellEnd"/>
      <w:r w:rsidRPr="00C63A96">
        <w:t xml:space="preserve">, </w:t>
      </w:r>
      <w:proofErr w:type="spellStart"/>
      <w:r w:rsidRPr="00C63A96">
        <w:t>Bergisch</w:t>
      </w:r>
      <w:proofErr w:type="spellEnd"/>
      <w:r w:rsidRPr="00C63A96">
        <w:t xml:space="preserve"> </w:t>
      </w:r>
      <w:proofErr w:type="spellStart"/>
      <w:r w:rsidRPr="00C63A96">
        <w:t>Gladbach</w:t>
      </w:r>
      <w:proofErr w:type="spellEnd"/>
      <w:r w:rsidRPr="00C63A96">
        <w:t xml:space="preserve">, Germany) and dispersed to single cells using </w:t>
      </w:r>
      <w:r w:rsidRPr="00C63A96">
        <w:rPr>
          <w:rFonts w:cs="Arial"/>
        </w:rPr>
        <w:t xml:space="preserve">the </w:t>
      </w:r>
      <w:proofErr w:type="spellStart"/>
      <w:r w:rsidRPr="00C63A96">
        <w:rPr>
          <w:rFonts w:cs="Arial"/>
        </w:rPr>
        <w:t>GentleMACS</w:t>
      </w:r>
      <w:proofErr w:type="spellEnd"/>
      <w:r w:rsidRPr="00C63A96">
        <w:rPr>
          <w:rFonts w:cs="Arial"/>
        </w:rPr>
        <w:t xml:space="preserve"> </w:t>
      </w:r>
      <w:proofErr w:type="spellStart"/>
      <w:r w:rsidRPr="00C63A96">
        <w:rPr>
          <w:rFonts w:cs="Arial"/>
        </w:rPr>
        <w:t>dissociator</w:t>
      </w:r>
      <w:proofErr w:type="spellEnd"/>
      <w:r w:rsidRPr="00C63A96">
        <w:rPr>
          <w:rFonts w:cs="Arial"/>
        </w:rPr>
        <w:t xml:space="preserve"> (</w:t>
      </w:r>
      <w:proofErr w:type="spellStart"/>
      <w:r w:rsidRPr="00C63A96">
        <w:rPr>
          <w:rFonts w:cs="Arial"/>
        </w:rPr>
        <w:t>Miltenyi</w:t>
      </w:r>
      <w:proofErr w:type="spellEnd"/>
      <w:r w:rsidRPr="00C63A96">
        <w:rPr>
          <w:rFonts w:cs="Arial"/>
        </w:rPr>
        <w:t xml:space="preserve">) and the by the company installed program h_tumor_02, followed by a centrifugation step (1 minute, 1400 rpm), after which the cells were resuspended in Phosphate buffered saline (PBS; B. Braun, </w:t>
      </w:r>
      <w:proofErr w:type="spellStart"/>
      <w:r w:rsidRPr="00C63A96">
        <w:rPr>
          <w:rFonts w:cs="Arial"/>
        </w:rPr>
        <w:t>Melsungen</w:t>
      </w:r>
      <w:proofErr w:type="spellEnd"/>
      <w:r w:rsidRPr="00C63A96">
        <w:rPr>
          <w:rFonts w:cs="Arial"/>
        </w:rPr>
        <w:t>, Germany) and put on a 70 µm cell strainer (Falcon, Durham, NC, USA) to obtain a single cell suspension. The MACS-C tubes were washed once with PBS and the suspension was also applied to the cell strainer. The viable cells were counted using trypan blue (Sigma, St Louis, MO, USA) and cryopreserved at 2 million cells/vial as described above.</w:t>
      </w:r>
    </w:p>
    <w:p w:rsidR="00C63A96" w:rsidRPr="00C63A96" w:rsidRDefault="00C63A96" w:rsidP="00947B56">
      <w:pPr>
        <w:autoSpaceDE w:val="0"/>
        <w:autoSpaceDN w:val="0"/>
        <w:adjustRightInd w:val="0"/>
        <w:spacing w:after="0" w:line="240" w:lineRule="auto"/>
        <w:jc w:val="both"/>
        <w:rPr>
          <w:b/>
        </w:rPr>
      </w:pPr>
    </w:p>
    <w:p w:rsidR="00C63A96" w:rsidRPr="00C63A96" w:rsidRDefault="00C63A96" w:rsidP="00947B56">
      <w:pPr>
        <w:autoSpaceDE w:val="0"/>
        <w:autoSpaceDN w:val="0"/>
        <w:adjustRightInd w:val="0"/>
        <w:spacing w:after="0" w:line="240" w:lineRule="auto"/>
        <w:jc w:val="both"/>
        <w:rPr>
          <w:b/>
          <w:i/>
        </w:rPr>
      </w:pPr>
      <w:r w:rsidRPr="00C63A96">
        <w:rPr>
          <w:b/>
          <w:i/>
        </w:rPr>
        <w:t>The assay</w:t>
      </w:r>
    </w:p>
    <w:p w:rsidR="00C63A96" w:rsidRPr="00C63A96" w:rsidRDefault="00C63A96" w:rsidP="00947B56">
      <w:pPr>
        <w:autoSpaceDE w:val="0"/>
        <w:autoSpaceDN w:val="0"/>
        <w:adjustRightInd w:val="0"/>
        <w:spacing w:after="0" w:line="240" w:lineRule="auto"/>
        <w:jc w:val="both"/>
      </w:pPr>
      <w:r w:rsidRPr="00C63A96">
        <w:rPr>
          <w:i/>
        </w:rPr>
        <w:t xml:space="preserve">Proliferation assay. </w:t>
      </w:r>
      <w:r w:rsidRPr="00C63A96">
        <w:t xml:space="preserve">The freshly dispersed </w:t>
      </w:r>
      <w:proofErr w:type="spellStart"/>
      <w:r w:rsidRPr="00C63A96">
        <w:t>tumor</w:t>
      </w:r>
      <w:proofErr w:type="spellEnd"/>
      <w:r w:rsidRPr="00C63A96">
        <w:t xml:space="preserve"> samples and/or cultured </w:t>
      </w:r>
      <w:proofErr w:type="spellStart"/>
      <w:r w:rsidRPr="00C63A96">
        <w:t>tumor</w:t>
      </w:r>
      <w:proofErr w:type="spellEnd"/>
      <w:r w:rsidRPr="00C63A96">
        <w:t xml:space="preserve"> infiltrating T lymphocytes (TILs) were subjected (in triplicate) to a 5-days proliferation assay using autologous HPV16 E6/E7 peptide (22-mers with 14 amino acids overlap) loaded monocytes to determine the </w:t>
      </w:r>
      <w:r w:rsidRPr="00C63A96">
        <w:lastRenderedPageBreak/>
        <w:t xml:space="preserve">specificity of the T-cells as described previously </w:t>
      </w:r>
      <w:r w:rsidR="00DF2C6D">
        <w:t>(2)</w:t>
      </w:r>
      <w:r w:rsidRPr="00C63A96">
        <w:t>. PHA (</w:t>
      </w:r>
      <w:r w:rsidRPr="00C63A96">
        <w:rPr>
          <w:rFonts w:cs="Arial"/>
        </w:rPr>
        <w:t xml:space="preserve">0.5 µg/ml; HA16 </w:t>
      </w:r>
      <w:proofErr w:type="spellStart"/>
      <w:r w:rsidRPr="00C63A96">
        <w:rPr>
          <w:rFonts w:cs="Arial"/>
        </w:rPr>
        <w:t>Remel</w:t>
      </w:r>
      <w:proofErr w:type="spellEnd"/>
      <w:r w:rsidRPr="00C63A96">
        <w:rPr>
          <w:rFonts w:cs="Arial"/>
        </w:rPr>
        <w:t>; TFS</w:t>
      </w:r>
      <w:r w:rsidRPr="00C63A96">
        <w:t xml:space="preserve">) was taken along as a positive control, while unloaded monocytes served as negative control. At day 1.5 and 4 supernatant (50 </w:t>
      </w:r>
      <w:r w:rsidRPr="00C63A96">
        <w:rPr>
          <w:rFonts w:cs="Arial"/>
        </w:rPr>
        <w:t xml:space="preserve">µl/well) was harvested and pooled for the triplicate wells to determine cytokine production. </w:t>
      </w:r>
      <w:r w:rsidRPr="00C63A96">
        <w:t>A positive response was defined when the stimulation index (which is the average of the triplicate wells containing antigen stimulated cells divided by the average of the triplicate wells with cells in medium only (negative control)) was at least 3.</w:t>
      </w:r>
    </w:p>
    <w:p w:rsidR="00C63A96" w:rsidRPr="00C63A96" w:rsidRDefault="00C63A96" w:rsidP="00947B56">
      <w:pPr>
        <w:autoSpaceDE w:val="0"/>
        <w:autoSpaceDN w:val="0"/>
        <w:adjustRightInd w:val="0"/>
        <w:spacing w:after="0" w:line="240" w:lineRule="auto"/>
        <w:jc w:val="both"/>
      </w:pPr>
    </w:p>
    <w:p w:rsidR="00C63A96" w:rsidRPr="00C63A96" w:rsidRDefault="00C63A96" w:rsidP="00947B56">
      <w:pPr>
        <w:autoSpaceDE w:val="0"/>
        <w:autoSpaceDN w:val="0"/>
        <w:adjustRightInd w:val="0"/>
        <w:spacing w:after="0" w:line="240" w:lineRule="auto"/>
        <w:jc w:val="both"/>
        <w:rPr>
          <w:lang w:val="en-US"/>
        </w:rPr>
      </w:pPr>
      <w:r w:rsidRPr="00C63A96">
        <w:rPr>
          <w:i/>
        </w:rPr>
        <w:t xml:space="preserve">Cytokine analysis. </w:t>
      </w:r>
      <w:r w:rsidRPr="00C63A96">
        <w:t>The cytokine production was determined by ELISA (IFN</w:t>
      </w:r>
      <w:r w:rsidR="00E655FC" w:rsidRPr="00E655FC">
        <w:rPr>
          <w:rFonts w:ascii="Symbol" w:hAnsi="Symbol"/>
        </w:rPr>
        <w:t></w:t>
      </w:r>
      <w:r w:rsidRPr="00C63A96">
        <w:t xml:space="preserve">, </w:t>
      </w:r>
      <w:r w:rsidRPr="00C63A96">
        <w:rPr>
          <w:lang w:val="en-US"/>
        </w:rPr>
        <w:t xml:space="preserve">IL-10 from </w:t>
      </w:r>
      <w:proofErr w:type="spellStart"/>
      <w:r w:rsidRPr="00C63A96">
        <w:rPr>
          <w:lang w:val="en-US"/>
        </w:rPr>
        <w:t>Sanquin</w:t>
      </w:r>
      <w:proofErr w:type="spellEnd"/>
      <w:r w:rsidRPr="00C63A96">
        <w:rPr>
          <w:lang w:val="en-US"/>
        </w:rPr>
        <w:t xml:space="preserve">, Amsterdam, the Netherlands; and IL-17, </w:t>
      </w:r>
      <w:proofErr w:type="spellStart"/>
      <w:r w:rsidRPr="00C63A96">
        <w:rPr>
          <w:lang w:val="en-US"/>
        </w:rPr>
        <w:t>eBioscience</w:t>
      </w:r>
      <w:proofErr w:type="spellEnd"/>
      <w:r w:rsidRPr="00C63A96">
        <w:rPr>
          <w:lang w:val="en-US"/>
        </w:rPr>
        <w:t>/TFS) and/or by cytomet</w:t>
      </w:r>
      <w:r w:rsidR="006754C6">
        <w:rPr>
          <w:lang w:val="en-US"/>
        </w:rPr>
        <w:t>r</w:t>
      </w:r>
      <w:r w:rsidRPr="00C63A96">
        <w:rPr>
          <w:lang w:val="en-US"/>
        </w:rPr>
        <w:t xml:space="preserve">ic bead array (CBA, Th1/Th2 kit, BD Bioscience, Breda, the Netherlands) according to the manufacturer’s procedure. A positive cytokine production was defined as at least twice above that of the unstimulated cells. In the CBA an additional cutoff value of 20 </w:t>
      </w:r>
      <w:proofErr w:type="spellStart"/>
      <w:r w:rsidRPr="00C63A96">
        <w:rPr>
          <w:lang w:val="en-US"/>
        </w:rPr>
        <w:t>pg</w:t>
      </w:r>
      <w:proofErr w:type="spellEnd"/>
      <w:r w:rsidRPr="00C63A96">
        <w:rPr>
          <w:lang w:val="en-US"/>
        </w:rPr>
        <w:t xml:space="preserve">/ml was used </w:t>
      </w:r>
      <w:r w:rsidR="00DF2C6D">
        <w:rPr>
          <w:lang w:val="en-US"/>
        </w:rPr>
        <w:t>(</w:t>
      </w:r>
      <w:r w:rsidR="00A3420A">
        <w:rPr>
          <w:lang w:val="en-US"/>
        </w:rPr>
        <w:t>1</w:t>
      </w:r>
      <w:r w:rsidR="00DF2C6D">
        <w:rPr>
          <w:lang w:val="en-US"/>
        </w:rPr>
        <w:t>)</w:t>
      </w:r>
      <w:r w:rsidRPr="00C63A96">
        <w:rPr>
          <w:lang w:val="en-US"/>
        </w:rPr>
        <w:t xml:space="preserve">. </w:t>
      </w:r>
    </w:p>
    <w:p w:rsidR="00C63A96" w:rsidRPr="00C63A96" w:rsidRDefault="00C63A96" w:rsidP="00947B56">
      <w:pPr>
        <w:autoSpaceDE w:val="0"/>
        <w:autoSpaceDN w:val="0"/>
        <w:adjustRightInd w:val="0"/>
        <w:spacing w:after="0" w:line="240" w:lineRule="auto"/>
        <w:jc w:val="both"/>
        <w:rPr>
          <w:lang w:val="en-US"/>
        </w:rPr>
      </w:pPr>
    </w:p>
    <w:p w:rsidR="00C63A96" w:rsidRPr="00C63A96" w:rsidRDefault="00C63A96" w:rsidP="00947B56">
      <w:pPr>
        <w:autoSpaceDE w:val="0"/>
        <w:autoSpaceDN w:val="0"/>
        <w:adjustRightInd w:val="0"/>
        <w:spacing w:after="0" w:line="240" w:lineRule="auto"/>
        <w:jc w:val="both"/>
        <w:rPr>
          <w:rFonts w:cs="Arial"/>
          <w:spacing w:val="-3"/>
        </w:rPr>
      </w:pPr>
      <w:r w:rsidRPr="00C63A96">
        <w:rPr>
          <w:rFonts w:cs="Arial"/>
          <w:i/>
          <w:spacing w:val="-3"/>
        </w:rPr>
        <w:t xml:space="preserve">Effect of </w:t>
      </w:r>
      <w:proofErr w:type="spellStart"/>
      <w:r w:rsidRPr="00C63A96">
        <w:rPr>
          <w:rFonts w:cs="Arial"/>
          <w:i/>
          <w:spacing w:val="-3"/>
        </w:rPr>
        <w:t>tumor</w:t>
      </w:r>
      <w:proofErr w:type="spellEnd"/>
      <w:r w:rsidRPr="00C63A96">
        <w:rPr>
          <w:rFonts w:cs="Arial"/>
          <w:i/>
          <w:spacing w:val="-3"/>
        </w:rPr>
        <w:t xml:space="preserve"> cells on DC differentiation. </w:t>
      </w:r>
      <w:r w:rsidRPr="00C63A96">
        <w:rPr>
          <w:rFonts w:cs="Arial"/>
          <w:spacing w:val="-3"/>
        </w:rPr>
        <w:t>Isolated CD14+ cells from healthy volunteers were cultured in absence (</w:t>
      </w:r>
      <w:proofErr w:type="spellStart"/>
      <w:r w:rsidRPr="00C63A96">
        <w:rPr>
          <w:rFonts w:cs="Arial"/>
          <w:spacing w:val="-3"/>
        </w:rPr>
        <w:t>monocytic</w:t>
      </w:r>
      <w:proofErr w:type="spellEnd"/>
      <w:r w:rsidRPr="00C63A96">
        <w:rPr>
          <w:rFonts w:cs="Arial"/>
          <w:spacing w:val="-3"/>
        </w:rPr>
        <w:t xml:space="preserve"> DC, </w:t>
      </w:r>
      <w:proofErr w:type="spellStart"/>
      <w:r w:rsidRPr="00C63A96">
        <w:rPr>
          <w:rFonts w:cs="Arial"/>
          <w:spacing w:val="-3"/>
        </w:rPr>
        <w:t>moDC</w:t>
      </w:r>
      <w:proofErr w:type="spellEnd"/>
      <w:r w:rsidRPr="00C63A96">
        <w:rPr>
          <w:rFonts w:cs="Arial"/>
          <w:spacing w:val="-3"/>
        </w:rPr>
        <w:t xml:space="preserve">) or presence of 20% </w:t>
      </w:r>
      <w:proofErr w:type="spellStart"/>
      <w:r w:rsidR="006754C6">
        <w:rPr>
          <w:rFonts w:cs="Arial"/>
          <w:spacing w:val="-3"/>
        </w:rPr>
        <w:t>tumor</w:t>
      </w:r>
      <w:proofErr w:type="spellEnd"/>
      <w:r w:rsidR="006754C6">
        <w:rPr>
          <w:rFonts w:cs="Arial"/>
          <w:spacing w:val="-3"/>
        </w:rPr>
        <w:t xml:space="preserve"> supernatant (</w:t>
      </w:r>
      <w:r w:rsidRPr="00C63A96">
        <w:rPr>
          <w:rFonts w:cs="Arial"/>
          <w:spacing w:val="-3"/>
        </w:rPr>
        <w:t>T</w:t>
      </w:r>
      <w:r w:rsidR="006754C6">
        <w:rPr>
          <w:rFonts w:cs="Arial"/>
          <w:spacing w:val="-3"/>
        </w:rPr>
        <w:t>SN)</w:t>
      </w:r>
      <w:r w:rsidRPr="00C63A96">
        <w:rPr>
          <w:rFonts w:cs="Arial"/>
          <w:spacing w:val="-3"/>
        </w:rPr>
        <w:t xml:space="preserve"> as described previously </w:t>
      </w:r>
      <w:r w:rsidR="00E655FC">
        <w:rPr>
          <w:rFonts w:cs="Arial"/>
          <w:spacing w:val="-3"/>
        </w:rPr>
        <w:t>(</w:t>
      </w:r>
      <w:r w:rsidR="00A3420A" w:rsidRPr="00A3420A">
        <w:rPr>
          <w:rFonts w:cs="Arial"/>
          <w:spacing w:val="-3"/>
        </w:rPr>
        <w:t>3</w:t>
      </w:r>
      <w:r w:rsidR="00E655FC" w:rsidRPr="00A3420A">
        <w:rPr>
          <w:rFonts w:cs="Arial"/>
          <w:spacing w:val="-3"/>
        </w:rPr>
        <w:t xml:space="preserve">, </w:t>
      </w:r>
      <w:r w:rsidR="00A3420A" w:rsidRPr="00A3420A">
        <w:rPr>
          <w:rFonts w:cs="Arial"/>
          <w:spacing w:val="-3"/>
        </w:rPr>
        <w:t>4</w:t>
      </w:r>
      <w:r w:rsidR="00E655FC" w:rsidRPr="00A3420A">
        <w:rPr>
          <w:rFonts w:cs="Arial"/>
          <w:spacing w:val="-3"/>
        </w:rPr>
        <w:t>)</w:t>
      </w:r>
      <w:r w:rsidRPr="00A3420A">
        <w:rPr>
          <w:rFonts w:cs="Arial"/>
          <w:spacing w:val="-3"/>
        </w:rPr>
        <w:t>.</w:t>
      </w:r>
      <w:r w:rsidRPr="00C63A96">
        <w:rPr>
          <w:rFonts w:cs="Arial"/>
          <w:spacing w:val="-3"/>
        </w:rPr>
        <w:t xml:space="preserve"> The purity was checked by flow cytometric measurement. DCs were harvested and subjected to myeloid cell marker antibody panel for flow cytometry (see below) or stimulated with 250 ng/mL LPS (Sigma), 2 </w:t>
      </w:r>
      <w:r w:rsidRPr="00C63A96">
        <w:rPr>
          <w:rFonts w:cs="Arial"/>
        </w:rPr>
        <w:t>µ</w:t>
      </w:r>
      <w:r w:rsidRPr="00C63A96">
        <w:rPr>
          <w:rFonts w:cs="Arial"/>
          <w:spacing w:val="-3"/>
        </w:rPr>
        <w:t xml:space="preserve">g/mL agonistic anti-CD40 antibody (generous gift of Louis Boon, </w:t>
      </w:r>
      <w:proofErr w:type="spellStart"/>
      <w:r w:rsidRPr="00C63A96">
        <w:rPr>
          <w:lang w:val="en-US" w:eastAsia="en-GB"/>
        </w:rPr>
        <w:t>Bioceros</w:t>
      </w:r>
      <w:proofErr w:type="spellEnd"/>
      <w:r w:rsidRPr="00C63A96">
        <w:rPr>
          <w:lang w:val="en-US" w:eastAsia="en-GB"/>
        </w:rPr>
        <w:t xml:space="preserve"> BV, Utrecht, The Netherlands</w:t>
      </w:r>
      <w:r w:rsidRPr="00C63A96">
        <w:rPr>
          <w:rFonts w:cs="Arial"/>
          <w:spacing w:val="-3"/>
        </w:rPr>
        <w:t>) or both 10 ng/mL IFN</w:t>
      </w:r>
      <w:r w:rsidRPr="00D92356">
        <w:rPr>
          <w:rFonts w:ascii="Symbol" w:hAnsi="Symbol"/>
        </w:rPr>
        <w:t></w:t>
      </w:r>
      <w:r w:rsidRPr="00C63A96">
        <w:rPr>
          <w:rFonts w:cs="Arial"/>
          <w:spacing w:val="-3"/>
        </w:rPr>
        <w:t xml:space="preserve"> and 2 </w:t>
      </w:r>
      <w:r w:rsidRPr="00C63A96">
        <w:rPr>
          <w:rFonts w:cs="Arial"/>
        </w:rPr>
        <w:t>µ</w:t>
      </w:r>
      <w:r w:rsidRPr="00C63A96">
        <w:rPr>
          <w:rFonts w:cs="Arial"/>
          <w:spacing w:val="-3"/>
        </w:rPr>
        <w:t>g/mL agonistic anti-CD40 antibody for 48 hours at 37</w:t>
      </w:r>
      <w:r w:rsidRPr="00C63A96">
        <w:rPr>
          <w:rFonts w:cs="Arial"/>
          <w:spacing w:val="-3"/>
          <w:vertAlign w:val="superscript"/>
        </w:rPr>
        <w:t>o</w:t>
      </w:r>
      <w:r w:rsidRPr="00C63A96">
        <w:rPr>
          <w:rFonts w:cs="Arial"/>
          <w:spacing w:val="-3"/>
        </w:rPr>
        <w:t xml:space="preserve">C after which the production of IL-12p70, CXCL9 and CXCL10 was determined by ELISA (TFS). </w:t>
      </w:r>
    </w:p>
    <w:p w:rsidR="00C63A96" w:rsidRPr="00C63A96" w:rsidRDefault="00C63A96" w:rsidP="00947B56">
      <w:pPr>
        <w:autoSpaceDE w:val="0"/>
        <w:autoSpaceDN w:val="0"/>
        <w:adjustRightInd w:val="0"/>
        <w:spacing w:after="0" w:line="240" w:lineRule="auto"/>
        <w:jc w:val="both"/>
        <w:rPr>
          <w:lang w:val="en-US"/>
        </w:rPr>
      </w:pPr>
    </w:p>
    <w:p w:rsidR="00C63A96" w:rsidRPr="00C63A96" w:rsidRDefault="00C63A96" w:rsidP="00947B56">
      <w:pPr>
        <w:autoSpaceDE w:val="0"/>
        <w:autoSpaceDN w:val="0"/>
        <w:adjustRightInd w:val="0"/>
        <w:spacing w:after="0" w:line="240" w:lineRule="auto"/>
        <w:jc w:val="both"/>
      </w:pPr>
      <w:r w:rsidRPr="00C63A96">
        <w:rPr>
          <w:i/>
        </w:rPr>
        <w:t xml:space="preserve">SYTOX green and apoptosis analysis by flow cytometry. </w:t>
      </w:r>
      <w:r w:rsidRPr="00C63A96">
        <w:t xml:space="preserve">The overnight adhered </w:t>
      </w:r>
      <w:proofErr w:type="spellStart"/>
      <w:r w:rsidRPr="00C63A96">
        <w:t>tumor</w:t>
      </w:r>
      <w:proofErr w:type="spellEnd"/>
      <w:r w:rsidRPr="00C63A96">
        <w:t xml:space="preserve"> cells (70,000 – 100,000 cells/well in 24 well plates (</w:t>
      </w:r>
      <w:proofErr w:type="spellStart"/>
      <w:r w:rsidRPr="00C63A96">
        <w:t>Costar</w:t>
      </w:r>
      <w:proofErr w:type="spellEnd"/>
      <w:r w:rsidRPr="00C63A96">
        <w:t>/TFS)) were treated for 24 hours at 37</w:t>
      </w:r>
      <w:r w:rsidRPr="00C63A96">
        <w:rPr>
          <w:vertAlign w:val="superscript"/>
        </w:rPr>
        <w:t>o</w:t>
      </w:r>
      <w:r w:rsidRPr="00C63A96">
        <w:t xml:space="preserve">C with 15 </w:t>
      </w:r>
      <w:r w:rsidRPr="00C63A96">
        <w:rPr>
          <w:lang w:val="en-US"/>
        </w:rPr>
        <w:t>µ</w:t>
      </w:r>
      <w:r w:rsidRPr="00C63A96">
        <w:rPr>
          <w:rFonts w:cs="Arial"/>
          <w:spacing w:val="-3"/>
        </w:rPr>
        <w:t xml:space="preserve">g/mL cisplatin (Accord Healthcare </w:t>
      </w:r>
      <w:proofErr w:type="spellStart"/>
      <w:r w:rsidRPr="00C63A96">
        <w:rPr>
          <w:rFonts w:cs="Arial"/>
          <w:spacing w:val="-3"/>
        </w:rPr>
        <w:t>Inc</w:t>
      </w:r>
      <w:proofErr w:type="spellEnd"/>
      <w:r w:rsidRPr="00C63A96">
        <w:rPr>
          <w:rFonts w:cs="Arial"/>
          <w:spacing w:val="-3"/>
        </w:rPr>
        <w:t xml:space="preserve">, </w:t>
      </w:r>
      <w:proofErr w:type="spellStart"/>
      <w:r w:rsidRPr="00C63A96">
        <w:rPr>
          <w:rFonts w:cs="Arial"/>
          <w:spacing w:val="-3"/>
        </w:rPr>
        <w:t>Freilassing</w:t>
      </w:r>
      <w:proofErr w:type="spellEnd"/>
      <w:r w:rsidRPr="00C63A96">
        <w:rPr>
          <w:rFonts w:cs="Arial"/>
          <w:spacing w:val="-3"/>
        </w:rPr>
        <w:t xml:space="preserve">, Germany) with or without TNFα (7.5-30 ng/mL as indicated; </w:t>
      </w:r>
      <w:proofErr w:type="spellStart"/>
      <w:r w:rsidRPr="00C63A96">
        <w:rPr>
          <w:rFonts w:cs="Arial"/>
          <w:spacing w:val="-3"/>
        </w:rPr>
        <w:t>Immunotools</w:t>
      </w:r>
      <w:proofErr w:type="spellEnd"/>
      <w:r w:rsidRPr="00C63A96">
        <w:rPr>
          <w:rFonts w:cs="Arial"/>
          <w:spacing w:val="-3"/>
        </w:rPr>
        <w:t xml:space="preserve">, </w:t>
      </w:r>
      <w:proofErr w:type="spellStart"/>
      <w:r w:rsidRPr="00C63A96">
        <w:t>Friesoythe</w:t>
      </w:r>
      <w:proofErr w:type="spellEnd"/>
      <w:r w:rsidRPr="00C63A96">
        <w:t>, Germany</w:t>
      </w:r>
      <w:r w:rsidRPr="00C63A96">
        <w:rPr>
          <w:rFonts w:cs="Arial"/>
          <w:spacing w:val="-3"/>
        </w:rPr>
        <w:t>). Harvested cells were subjected to the SYTOX Green staining and apoptosis analysis. The</w:t>
      </w:r>
      <w:r w:rsidRPr="00C63A96">
        <w:t xml:space="preserve"> </w:t>
      </w:r>
      <w:proofErr w:type="spellStart"/>
      <w:r w:rsidRPr="00C63A96">
        <w:t>tumor</w:t>
      </w:r>
      <w:proofErr w:type="spellEnd"/>
      <w:r w:rsidRPr="00C63A96">
        <w:t xml:space="preserve"> cells were stained with nuclear SYTOX green (1</w:t>
      </w:r>
      <w:r w:rsidRPr="00C63A96">
        <w:rPr>
          <w:lang w:val="en-US"/>
        </w:rPr>
        <w:t xml:space="preserve"> µM in 50 µL/well; TFS), washed with HBSS (50 µL/well; phosphate-free buffer, TFS) and acquired on the </w:t>
      </w:r>
      <w:proofErr w:type="spellStart"/>
      <w:r w:rsidRPr="00C63A96">
        <w:rPr>
          <w:lang w:val="en-US"/>
        </w:rPr>
        <w:t>Accuri</w:t>
      </w:r>
      <w:proofErr w:type="spellEnd"/>
      <w:r w:rsidRPr="00C63A96">
        <w:rPr>
          <w:lang w:val="en-US"/>
        </w:rPr>
        <w:t xml:space="preserve"> flow cytometer (BD Bioscience)</w:t>
      </w:r>
      <w:r w:rsidR="0094482A">
        <w:rPr>
          <w:lang w:val="en-US"/>
        </w:rPr>
        <w:t xml:space="preserve"> </w:t>
      </w:r>
      <w:r w:rsidR="0094482A" w:rsidRPr="00A3420A">
        <w:rPr>
          <w:lang w:val="en-US"/>
        </w:rPr>
        <w:t>(5)</w:t>
      </w:r>
      <w:r w:rsidRPr="00A3420A">
        <w:rPr>
          <w:lang w:val="en-US"/>
        </w:rPr>
        <w:t>.</w:t>
      </w:r>
      <w:r w:rsidRPr="00C63A96">
        <w:rPr>
          <w:lang w:val="en-US"/>
        </w:rPr>
        <w:t xml:space="preserve"> In parallel, t</w:t>
      </w:r>
      <w:r w:rsidRPr="00C63A96">
        <w:rPr>
          <w:rFonts w:cs="Arial"/>
          <w:spacing w:val="-3"/>
        </w:rPr>
        <w:t xml:space="preserve">he cells were washed in 1x </w:t>
      </w:r>
      <w:proofErr w:type="spellStart"/>
      <w:r w:rsidRPr="00C63A96">
        <w:rPr>
          <w:rFonts w:cs="Arial"/>
          <w:spacing w:val="-3"/>
        </w:rPr>
        <w:t>Annexin</w:t>
      </w:r>
      <w:proofErr w:type="spellEnd"/>
      <w:r w:rsidRPr="00C63A96">
        <w:rPr>
          <w:rFonts w:cs="Arial"/>
          <w:spacing w:val="-3"/>
        </w:rPr>
        <w:t xml:space="preserve">-V binding buffer (BD Bioscience), incubated with APC-labelled </w:t>
      </w:r>
      <w:proofErr w:type="spellStart"/>
      <w:r w:rsidRPr="00C63A96">
        <w:rPr>
          <w:rFonts w:cs="Arial"/>
          <w:spacing w:val="-3"/>
        </w:rPr>
        <w:t>Annexin</w:t>
      </w:r>
      <w:proofErr w:type="spellEnd"/>
      <w:r w:rsidRPr="00C63A96">
        <w:rPr>
          <w:rFonts w:cs="Arial"/>
          <w:spacing w:val="-3"/>
        </w:rPr>
        <w:t xml:space="preserve">-V (for </w:t>
      </w:r>
      <w:r w:rsidRPr="00C63A96">
        <w:t>early apoptosis;</w:t>
      </w:r>
      <w:r w:rsidRPr="00C63A96">
        <w:rPr>
          <w:rFonts w:cs="Arial"/>
          <w:spacing w:val="-3"/>
        </w:rPr>
        <w:t xml:space="preserve"> 1:20 diluted; </w:t>
      </w:r>
      <w:r w:rsidRPr="00C63A96">
        <w:t>BD Biosciences, 15 minutes at room temperature)</w:t>
      </w:r>
      <w:r w:rsidRPr="00C63A96">
        <w:rPr>
          <w:rFonts w:cs="Arial"/>
          <w:spacing w:val="-3"/>
        </w:rPr>
        <w:t xml:space="preserve">, washed twice and </w:t>
      </w:r>
      <w:proofErr w:type="spellStart"/>
      <w:r w:rsidRPr="00C63A96">
        <w:rPr>
          <w:rFonts w:cs="Arial"/>
          <w:spacing w:val="-3"/>
        </w:rPr>
        <w:t>resuspended</w:t>
      </w:r>
      <w:proofErr w:type="spellEnd"/>
      <w:r w:rsidRPr="00C63A96">
        <w:rPr>
          <w:rFonts w:cs="Arial"/>
          <w:spacing w:val="-3"/>
        </w:rPr>
        <w:t xml:space="preserve"> in </w:t>
      </w:r>
      <w:r w:rsidRPr="00C63A96">
        <w:t xml:space="preserve">1x </w:t>
      </w:r>
      <w:proofErr w:type="spellStart"/>
      <w:r w:rsidRPr="00C63A96">
        <w:rPr>
          <w:rFonts w:cs="Arial"/>
          <w:spacing w:val="-3"/>
        </w:rPr>
        <w:t>Annexin</w:t>
      </w:r>
      <w:proofErr w:type="spellEnd"/>
      <w:r w:rsidRPr="00C63A96">
        <w:rPr>
          <w:rFonts w:cs="Arial"/>
          <w:spacing w:val="-3"/>
        </w:rPr>
        <w:t xml:space="preserve">-V binding buffer (67.5 </w:t>
      </w:r>
      <w:r w:rsidRPr="00C63A96">
        <w:rPr>
          <w:lang w:val="en-US"/>
        </w:rPr>
        <w:t>µ</w:t>
      </w:r>
      <w:r w:rsidRPr="00C63A96">
        <w:rPr>
          <w:rFonts w:cs="Arial"/>
          <w:spacing w:val="-3"/>
        </w:rPr>
        <w:t xml:space="preserve">L/well). Prior to acquisition 7-AAD </w:t>
      </w:r>
      <w:r w:rsidRPr="00C63A96">
        <w:t xml:space="preserve">(for late apoptosis detection) </w:t>
      </w:r>
      <w:r w:rsidRPr="00C63A96">
        <w:rPr>
          <w:rFonts w:cs="Arial"/>
          <w:spacing w:val="-3"/>
        </w:rPr>
        <w:t xml:space="preserve">was added (7.5 </w:t>
      </w:r>
      <w:r w:rsidRPr="00C63A96">
        <w:rPr>
          <w:lang w:val="en-US"/>
        </w:rPr>
        <w:t>µ</w:t>
      </w:r>
      <w:r w:rsidRPr="00C63A96">
        <w:rPr>
          <w:rFonts w:cs="Arial"/>
          <w:spacing w:val="-3"/>
        </w:rPr>
        <w:t xml:space="preserve">L/well; 1:500 diluted; </w:t>
      </w:r>
      <w:r w:rsidRPr="00C63A96">
        <w:t>Life Technologies).</w:t>
      </w:r>
    </w:p>
    <w:p w:rsidR="00C63A96" w:rsidRPr="00C63A96" w:rsidRDefault="00C63A96" w:rsidP="00947B56">
      <w:pPr>
        <w:autoSpaceDE w:val="0"/>
        <w:autoSpaceDN w:val="0"/>
        <w:adjustRightInd w:val="0"/>
        <w:spacing w:after="0" w:line="240" w:lineRule="auto"/>
        <w:jc w:val="both"/>
      </w:pPr>
    </w:p>
    <w:p w:rsidR="00C63A96" w:rsidRPr="00C63A96" w:rsidRDefault="00C63A96" w:rsidP="00947B56">
      <w:pPr>
        <w:autoSpaceDE w:val="0"/>
        <w:autoSpaceDN w:val="0"/>
        <w:adjustRightInd w:val="0"/>
        <w:spacing w:after="0" w:line="240" w:lineRule="auto"/>
        <w:jc w:val="both"/>
        <w:rPr>
          <w:rFonts w:cs="Arial"/>
          <w:spacing w:val="-3"/>
        </w:rPr>
      </w:pPr>
      <w:r w:rsidRPr="00C63A96">
        <w:rPr>
          <w:i/>
        </w:rPr>
        <w:t xml:space="preserve">Intracellular cytokine staining and analysis by flow cytometry. </w:t>
      </w:r>
      <w:r w:rsidRPr="00C63A96">
        <w:t>Intracellular cytokine staining (ICS) for the markers CD3, CD4, CD8, CD137, CD154, CD161, IFN</w:t>
      </w:r>
      <w:r w:rsidRPr="00D92356">
        <w:rPr>
          <w:rFonts w:ascii="Symbol" w:hAnsi="Symbol"/>
        </w:rPr>
        <w:t></w:t>
      </w:r>
      <w:r w:rsidRPr="00C63A96">
        <w:t>, TNF</w:t>
      </w:r>
      <w:r w:rsidRPr="00D92356">
        <w:rPr>
          <w:rFonts w:ascii="Symbol" w:hAnsi="Symbol"/>
        </w:rPr>
        <w:t></w:t>
      </w:r>
      <w:r w:rsidRPr="00C63A96">
        <w:t xml:space="preserve"> and IL-2 was performed as described previously.</w:t>
      </w:r>
      <w:r w:rsidRPr="00C63A96">
        <w:rPr>
          <w:rFonts w:eastAsia="ArialMT" w:cs="ArialMT"/>
          <w:color w:val="010202"/>
        </w:rPr>
        <w:t xml:space="preserve"> Unloaded autologous monocytes was used as negative and </w:t>
      </w:r>
      <w:r w:rsidRPr="00C63A96">
        <w:rPr>
          <w:rFonts w:cs="Arial"/>
        </w:rPr>
        <w:t>Staphylococcal Enterotoxin B (</w:t>
      </w:r>
      <w:r w:rsidRPr="00C63A96">
        <w:rPr>
          <w:rFonts w:eastAsia="ArialMT" w:cs="ArialMT"/>
          <w:color w:val="010202"/>
        </w:rPr>
        <w:t xml:space="preserve">2 </w:t>
      </w:r>
      <w:r w:rsidRPr="00C63A96">
        <w:rPr>
          <w:lang w:val="en-US"/>
        </w:rPr>
        <w:t>µ</w:t>
      </w:r>
      <w:r w:rsidRPr="00C63A96">
        <w:rPr>
          <w:rFonts w:cs="Arial"/>
          <w:spacing w:val="-3"/>
        </w:rPr>
        <w:t xml:space="preserve">g/mL; Sigma) was used as positive control </w:t>
      </w:r>
      <w:r w:rsidR="00DF2C6D">
        <w:rPr>
          <w:rFonts w:cs="Arial"/>
          <w:spacing w:val="-3"/>
        </w:rPr>
        <w:t>(1)</w:t>
      </w:r>
      <w:r w:rsidRPr="00C63A96">
        <w:rPr>
          <w:rFonts w:cs="Arial"/>
          <w:spacing w:val="-3"/>
        </w:rPr>
        <w:t xml:space="preserve">. A positive response was defined as at least twice above the negative control and at least 10 events in the gate.   </w:t>
      </w:r>
    </w:p>
    <w:p w:rsidR="00C63A96" w:rsidRPr="00C63A96" w:rsidRDefault="00C63A96" w:rsidP="00947B56">
      <w:pPr>
        <w:autoSpaceDE w:val="0"/>
        <w:autoSpaceDN w:val="0"/>
        <w:adjustRightInd w:val="0"/>
        <w:spacing w:after="0" w:line="240" w:lineRule="auto"/>
        <w:jc w:val="both"/>
      </w:pPr>
    </w:p>
    <w:p w:rsidR="00C63A96" w:rsidRPr="00C63A96" w:rsidRDefault="00C63A96" w:rsidP="00947B56">
      <w:pPr>
        <w:autoSpaceDE w:val="0"/>
        <w:autoSpaceDN w:val="0"/>
        <w:adjustRightInd w:val="0"/>
        <w:spacing w:after="0" w:line="240" w:lineRule="auto"/>
        <w:jc w:val="both"/>
      </w:pPr>
      <w:r w:rsidRPr="00C63A96">
        <w:rPr>
          <w:i/>
        </w:rPr>
        <w:t xml:space="preserve">Phenotyping by flow cytometry. </w:t>
      </w:r>
      <w:r w:rsidRPr="00C63A96">
        <w:t xml:space="preserve">Phenotyping of the myeloid cells in the freshly dispersed </w:t>
      </w:r>
      <w:proofErr w:type="spellStart"/>
      <w:r w:rsidRPr="00C63A96">
        <w:t>tumor</w:t>
      </w:r>
      <w:proofErr w:type="spellEnd"/>
      <w:r w:rsidRPr="00C63A96">
        <w:t xml:space="preserve"> samples was done as described previously </w:t>
      </w:r>
      <w:r w:rsidR="0094482A">
        <w:t>(</w:t>
      </w:r>
      <w:r w:rsidR="0094482A" w:rsidRPr="0094482A">
        <w:t xml:space="preserve">1, </w:t>
      </w:r>
      <w:r w:rsidR="0094482A">
        <w:t>6)</w:t>
      </w:r>
      <w:r w:rsidRPr="00C63A96">
        <w:t xml:space="preserve">. The CD14+ cells that were skewed towards DCs by cytokine mixture in presence or absence with TSN as well as the myeloid cells with or without TSN were stained for CD1a, CD14, CD163, CD206 and HLA-DR </w:t>
      </w:r>
      <w:r w:rsidR="0094482A">
        <w:t>(</w:t>
      </w:r>
      <w:r w:rsidR="00A3420A">
        <w:t>4</w:t>
      </w:r>
      <w:r w:rsidR="0094482A">
        <w:t>)</w:t>
      </w:r>
      <w:r w:rsidRPr="00C63A96">
        <w:t xml:space="preserve">. </w:t>
      </w:r>
      <w:proofErr w:type="spellStart"/>
      <w:r w:rsidRPr="00C63A96">
        <w:t>Tumor</w:t>
      </w:r>
      <w:proofErr w:type="spellEnd"/>
      <w:r w:rsidRPr="00C63A96">
        <w:t xml:space="preserve"> cells were stained for the receptors of IFN</w:t>
      </w:r>
      <w:r w:rsidRPr="00D92356">
        <w:rPr>
          <w:rFonts w:ascii="Symbol" w:hAnsi="Symbol"/>
        </w:rPr>
        <w:t></w:t>
      </w:r>
      <w:r w:rsidRPr="00D92356">
        <w:rPr>
          <w:rFonts w:ascii="Symbol" w:hAnsi="Symbol"/>
        </w:rPr>
        <w:t></w:t>
      </w:r>
      <w:r w:rsidRPr="00C63A96">
        <w:t xml:space="preserve">(IFNGRα; </w:t>
      </w:r>
      <w:r w:rsidRPr="00C63A96">
        <w:rPr>
          <w:lang w:val="en"/>
        </w:rPr>
        <w:t>CD119</w:t>
      </w:r>
      <w:r w:rsidRPr="00C63A96">
        <w:t xml:space="preserve">) and TNFα (TNFR1; </w:t>
      </w:r>
      <w:r w:rsidRPr="00C63A96">
        <w:rPr>
          <w:lang w:val="en"/>
        </w:rPr>
        <w:t>CD120a and</w:t>
      </w:r>
      <w:r w:rsidRPr="00C63A96">
        <w:t xml:space="preserve"> </w:t>
      </w:r>
      <w:r w:rsidRPr="00C63A96">
        <w:rPr>
          <w:lang w:val="en"/>
        </w:rPr>
        <w:t xml:space="preserve">TNFR2; CD120b) </w:t>
      </w:r>
      <w:r w:rsidR="0094482A">
        <w:rPr>
          <w:lang w:val="en"/>
        </w:rPr>
        <w:t>(5)</w:t>
      </w:r>
      <w:r w:rsidRPr="00C63A96">
        <w:t xml:space="preserve">. </w:t>
      </w:r>
    </w:p>
    <w:p w:rsidR="00C63A96" w:rsidRPr="00C63A96" w:rsidRDefault="00C63A96" w:rsidP="00947B56">
      <w:pPr>
        <w:autoSpaceDE w:val="0"/>
        <w:autoSpaceDN w:val="0"/>
        <w:adjustRightInd w:val="0"/>
        <w:spacing w:after="0" w:line="240" w:lineRule="auto"/>
        <w:jc w:val="both"/>
      </w:pPr>
    </w:p>
    <w:p w:rsidR="00C63A96" w:rsidRPr="00C63A96" w:rsidRDefault="00C63A96" w:rsidP="00947B56">
      <w:pPr>
        <w:autoSpaceDE w:val="0"/>
        <w:autoSpaceDN w:val="0"/>
        <w:adjustRightInd w:val="0"/>
        <w:spacing w:after="0" w:line="240" w:lineRule="auto"/>
        <w:jc w:val="both"/>
        <w:rPr>
          <w:rFonts w:cs="Arial"/>
          <w:spacing w:val="-3"/>
        </w:rPr>
      </w:pPr>
      <w:r w:rsidRPr="00C63A96">
        <w:rPr>
          <w:i/>
        </w:rPr>
        <w:t xml:space="preserve">Flow cytometry. </w:t>
      </w:r>
      <w:r w:rsidRPr="00C63A96">
        <w:t>Acquisition of</w:t>
      </w:r>
      <w:r w:rsidRPr="00C63A96">
        <w:rPr>
          <w:rFonts w:cs="Arial"/>
          <w:spacing w:val="-3"/>
        </w:rPr>
        <w:t xml:space="preserve"> cells was done on the </w:t>
      </w:r>
      <w:proofErr w:type="spellStart"/>
      <w:r w:rsidRPr="00C63A96">
        <w:rPr>
          <w:rFonts w:cs="Arial"/>
          <w:spacing w:val="-3"/>
        </w:rPr>
        <w:t>Fortessa</w:t>
      </w:r>
      <w:proofErr w:type="spellEnd"/>
      <w:r w:rsidRPr="00C63A96">
        <w:rPr>
          <w:rFonts w:cs="Arial"/>
          <w:spacing w:val="-3"/>
        </w:rPr>
        <w:t xml:space="preserve"> (BD Biosciences). Data was analysed using DIVA software (version 6.2, BD Biosciences). SYTOX green samples were acquired using the </w:t>
      </w:r>
      <w:proofErr w:type="spellStart"/>
      <w:r w:rsidRPr="00C63A96">
        <w:rPr>
          <w:rFonts w:cs="Arial"/>
          <w:spacing w:val="-3"/>
        </w:rPr>
        <w:t>Accuri</w:t>
      </w:r>
      <w:proofErr w:type="spellEnd"/>
      <w:r w:rsidRPr="00C63A96">
        <w:rPr>
          <w:rFonts w:cs="Arial"/>
          <w:spacing w:val="-3"/>
        </w:rPr>
        <w:t xml:space="preserve"> (BD, Biosciences) and </w:t>
      </w:r>
      <w:r w:rsidRPr="00C63A96">
        <w:rPr>
          <w:lang w:val="en-US"/>
        </w:rPr>
        <w:t xml:space="preserve">analyzed by </w:t>
      </w:r>
      <w:proofErr w:type="spellStart"/>
      <w:r w:rsidRPr="00C63A96">
        <w:rPr>
          <w:lang w:val="en"/>
        </w:rPr>
        <w:t>FlowJo</w:t>
      </w:r>
      <w:proofErr w:type="spellEnd"/>
      <w:r w:rsidRPr="00C63A96">
        <w:rPr>
          <w:lang w:val="en"/>
        </w:rPr>
        <w:t xml:space="preserve"> version 10.0.8 (Tree Star, Ashland, OR, USA).</w:t>
      </w:r>
    </w:p>
    <w:p w:rsidR="00C63A96" w:rsidRPr="00C63A96" w:rsidRDefault="00C63A96" w:rsidP="00947B56">
      <w:pPr>
        <w:autoSpaceDE w:val="0"/>
        <w:autoSpaceDN w:val="0"/>
        <w:adjustRightInd w:val="0"/>
        <w:spacing w:after="0" w:line="240" w:lineRule="auto"/>
        <w:ind w:firstLine="720"/>
        <w:jc w:val="both"/>
        <w:rPr>
          <w:lang w:val="en-US"/>
        </w:rPr>
      </w:pPr>
    </w:p>
    <w:p w:rsidR="00C63A96" w:rsidRPr="00C63A96" w:rsidRDefault="00C63A96" w:rsidP="00947B56">
      <w:pPr>
        <w:autoSpaceDE w:val="0"/>
        <w:autoSpaceDN w:val="0"/>
        <w:adjustRightInd w:val="0"/>
        <w:spacing w:after="0" w:line="240" w:lineRule="auto"/>
        <w:jc w:val="both"/>
      </w:pPr>
      <w:r w:rsidRPr="00C63A96">
        <w:rPr>
          <w:i/>
          <w:lang w:val="en-US"/>
        </w:rPr>
        <w:t>Mass cytometry (</w:t>
      </w:r>
      <w:proofErr w:type="spellStart"/>
      <w:r w:rsidRPr="00C63A96">
        <w:rPr>
          <w:i/>
          <w:lang w:val="en-US"/>
        </w:rPr>
        <w:t>CyTOF</w:t>
      </w:r>
      <w:proofErr w:type="spellEnd"/>
      <w:r w:rsidRPr="00C63A96">
        <w:rPr>
          <w:i/>
          <w:lang w:val="en-US"/>
        </w:rPr>
        <w:t xml:space="preserve">). </w:t>
      </w:r>
      <w:r w:rsidRPr="00C63A96">
        <w:rPr>
          <w:lang w:val="en-US"/>
        </w:rPr>
        <w:t>Using a</w:t>
      </w:r>
      <w:r w:rsidRPr="00C63A96">
        <w:t xml:space="preserve"> 36 antibody panel </w:t>
      </w:r>
      <w:r w:rsidR="005552E4">
        <w:t>(</w:t>
      </w:r>
      <w:r w:rsidR="00947B56">
        <w:t>7</w:t>
      </w:r>
      <w:r w:rsidR="005552E4">
        <w:t>)</w:t>
      </w:r>
      <w:r w:rsidRPr="00C63A96">
        <w:t xml:space="preserve">, the freshly dispersed </w:t>
      </w:r>
      <w:proofErr w:type="spellStart"/>
      <w:r w:rsidRPr="00C63A96">
        <w:t>tumor</w:t>
      </w:r>
      <w:proofErr w:type="spellEnd"/>
      <w:r w:rsidRPr="00C63A96">
        <w:t xml:space="preserve"> samples of 13 patients were analysed by time of flight mass cytometry (</w:t>
      </w:r>
      <w:proofErr w:type="spellStart"/>
      <w:r w:rsidRPr="00C63A96">
        <w:t>CyTOF</w:t>
      </w:r>
      <w:proofErr w:type="spellEnd"/>
      <w:r w:rsidRPr="00C63A96">
        <w:t xml:space="preserve">) to identify the various immune </w:t>
      </w:r>
      <w:r w:rsidRPr="00C63A96">
        <w:lastRenderedPageBreak/>
        <w:t xml:space="preserve">populations. The list of markers is provided in Supplementary Table S2. The high-dimensional single cell data was analysed by the cloud-based </w:t>
      </w:r>
      <w:proofErr w:type="spellStart"/>
      <w:r w:rsidRPr="00C63A96">
        <w:t>Cytobank</w:t>
      </w:r>
      <w:proofErr w:type="spellEnd"/>
      <w:r w:rsidRPr="00C63A96">
        <w:t xml:space="preserve"> software (</w:t>
      </w:r>
      <w:proofErr w:type="spellStart"/>
      <w:r w:rsidRPr="00C63A96">
        <w:t>Fluidigm</w:t>
      </w:r>
      <w:proofErr w:type="spellEnd"/>
      <w:r w:rsidRPr="00C63A96">
        <w:t xml:space="preserve">, San Francisco, CA, USA) using clustering by </w:t>
      </w:r>
      <w:proofErr w:type="spellStart"/>
      <w:r w:rsidRPr="00C63A96">
        <w:t>viSNE</w:t>
      </w:r>
      <w:proofErr w:type="spellEnd"/>
      <w:r w:rsidRPr="00C63A96">
        <w:t xml:space="preserve"> and SPADE as well as the fully automated hierarchical clustering (unsupervised) by CITRUS. The different cell populations are visualized and quantified.  </w:t>
      </w:r>
    </w:p>
    <w:p w:rsidR="00C63A96" w:rsidRPr="00C63A96" w:rsidRDefault="00C63A96" w:rsidP="00947B56">
      <w:pPr>
        <w:autoSpaceDE w:val="0"/>
        <w:autoSpaceDN w:val="0"/>
        <w:adjustRightInd w:val="0"/>
        <w:spacing w:after="0" w:line="240" w:lineRule="auto"/>
        <w:jc w:val="both"/>
      </w:pPr>
    </w:p>
    <w:p w:rsidR="00C63A96" w:rsidRPr="00C63A96" w:rsidRDefault="00C63A96" w:rsidP="00947B56">
      <w:pPr>
        <w:spacing w:after="0" w:line="240" w:lineRule="auto"/>
        <w:jc w:val="both"/>
      </w:pPr>
      <w:r w:rsidRPr="00C63A96">
        <w:rPr>
          <w:i/>
        </w:rPr>
        <w:t xml:space="preserve">Immunohistochemistry. </w:t>
      </w:r>
      <w:r w:rsidRPr="00C63A96">
        <w:t xml:space="preserve">Staining for </w:t>
      </w:r>
      <w:r w:rsidRPr="00C63A96">
        <w:rPr>
          <w:lang w:val="en-US"/>
        </w:rPr>
        <w:t>p16</w:t>
      </w:r>
      <w:r w:rsidRPr="00C63A96">
        <w:rPr>
          <w:vertAlign w:val="superscript"/>
          <w:lang w:val="en-US"/>
        </w:rPr>
        <w:t>INK4a</w:t>
      </w:r>
      <w:r w:rsidRPr="00C63A96">
        <w:t xml:space="preserve"> (Roche MTM laboratories AG, Heidelberg, Germany) on FFPE </w:t>
      </w:r>
      <w:r w:rsidRPr="00C63A96">
        <w:rPr>
          <w:lang w:val="en"/>
        </w:rPr>
        <w:t>4-µm-thick</w:t>
      </w:r>
      <w:r w:rsidRPr="00C63A96">
        <w:t xml:space="preserve"> </w:t>
      </w:r>
      <w:proofErr w:type="spellStart"/>
      <w:r w:rsidRPr="00C63A96">
        <w:t>tumor</w:t>
      </w:r>
      <w:proofErr w:type="spellEnd"/>
      <w:r w:rsidRPr="00C63A96">
        <w:t xml:space="preserve"> sections was performed at the department of Pathology (LUMC) according to the manufacturer’s instructions </w:t>
      </w:r>
      <w:r w:rsidR="005552E4">
        <w:t>(</w:t>
      </w:r>
      <w:bookmarkStart w:id="0" w:name="_GoBack"/>
      <w:r w:rsidR="00947B56" w:rsidRPr="00947B56">
        <w:t>8</w:t>
      </w:r>
      <w:bookmarkEnd w:id="0"/>
      <w:r w:rsidR="005552E4">
        <w:t>)</w:t>
      </w:r>
      <w:r w:rsidRPr="00C63A96">
        <w:fldChar w:fldCharType="begin">
          <w:fldData xml:space="preserve">PEVuZE5vdGU+PENpdGU+PEF1dGhvcj5QdW50PC9BdXRob3I+PFllYXI+MjAxNjwvWWVhcj48UmVj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=
</w:fldData>
        </w:fldChar>
      </w:r>
      <w:r w:rsidRPr="00C63A96">
        <w:instrText xml:space="preserve"> ADDIN EN.CITE </w:instrText>
      </w:r>
      <w:r w:rsidRPr="00C63A96">
        <w:fldChar w:fldCharType="begin">
          <w:fldData xml:space="preserve">PEVuZE5vdGU+PENpdGU+PEF1dGhvcj5QdW50PC9BdXRob3I+PFllYXI+MjAxNjwvWWVhcj48UmVj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=
</w:fldData>
        </w:fldChar>
      </w:r>
      <w:r w:rsidRPr="00C63A96">
        <w:instrText xml:space="preserve"> ADDIN EN.CITE.DATA </w:instrText>
      </w:r>
      <w:r w:rsidRPr="00C63A96">
        <w:fldChar w:fldCharType="end"/>
      </w:r>
      <w:r w:rsidRPr="00C63A96">
        <w:fldChar w:fldCharType="end"/>
      </w:r>
      <w:r w:rsidRPr="00C63A96">
        <w:t>. Scoring was performed by three persons (</w:t>
      </w:r>
      <w:proofErr w:type="spellStart"/>
      <w:r w:rsidRPr="00C63A96">
        <w:t>SHvdB</w:t>
      </w:r>
      <w:proofErr w:type="spellEnd"/>
      <w:r w:rsidRPr="00C63A96">
        <w:t xml:space="preserve">, MJPW and the pathologist). </w:t>
      </w:r>
      <w:proofErr w:type="spellStart"/>
      <w:r w:rsidRPr="00C63A96">
        <w:t>Tumor</w:t>
      </w:r>
      <w:proofErr w:type="spellEnd"/>
      <w:r w:rsidRPr="00C63A96">
        <w:t xml:space="preserve"> sample was scored positive for p16</w:t>
      </w:r>
      <w:r w:rsidRPr="00C63A96">
        <w:rPr>
          <w:vertAlign w:val="superscript"/>
          <w:lang w:val="en-US"/>
        </w:rPr>
        <w:t>INK4a</w:t>
      </w:r>
      <w:r w:rsidRPr="00C63A96">
        <w:t xml:space="preserve"> when over 70% of the </w:t>
      </w:r>
      <w:proofErr w:type="spellStart"/>
      <w:r w:rsidRPr="00C63A96">
        <w:t>tumor</w:t>
      </w:r>
      <w:proofErr w:type="spellEnd"/>
      <w:r w:rsidRPr="00C63A96">
        <w:t xml:space="preserve"> cells showed both nuclear and cytoplasmic staining. </w:t>
      </w:r>
    </w:p>
    <w:p w:rsidR="00C63A96" w:rsidRPr="00C63A96" w:rsidRDefault="00C63A96" w:rsidP="00947B56">
      <w:pPr>
        <w:spacing w:after="0" w:line="240" w:lineRule="auto"/>
        <w:ind w:firstLine="720"/>
        <w:jc w:val="both"/>
        <w:rPr>
          <w:lang w:eastAsia="en-GB"/>
        </w:rPr>
      </w:pPr>
      <w:r w:rsidRPr="00C63A96">
        <w:t xml:space="preserve">Fluorescent immunohistochemistry was performed on these FFPE </w:t>
      </w:r>
      <w:proofErr w:type="spellStart"/>
      <w:r w:rsidRPr="00C63A96">
        <w:t>tumor</w:t>
      </w:r>
      <w:proofErr w:type="spellEnd"/>
      <w:r w:rsidRPr="00C63A96">
        <w:t xml:space="preserve"> sections using the following primary antibodies: CD8 (mouse anti-human CD8, IgG2b, clone 4B11; </w:t>
      </w:r>
      <w:proofErr w:type="spellStart"/>
      <w:r w:rsidRPr="00C63A96">
        <w:t>Novocastra</w:t>
      </w:r>
      <w:proofErr w:type="spellEnd"/>
      <w:r w:rsidRPr="00C63A96">
        <w:t xml:space="preserve">) and </w:t>
      </w:r>
      <w:proofErr w:type="spellStart"/>
      <w:r w:rsidRPr="00C63A96">
        <w:t>Tbet</w:t>
      </w:r>
      <w:proofErr w:type="spellEnd"/>
      <w:r w:rsidRPr="00C63A96">
        <w:t xml:space="preserve"> </w:t>
      </w:r>
      <w:r w:rsidRPr="00C63A96">
        <w:rPr>
          <w:rStyle w:val="current-selection"/>
        </w:rPr>
        <w:t xml:space="preserve">(rabbit anti-human </w:t>
      </w:r>
      <w:proofErr w:type="spellStart"/>
      <w:r w:rsidRPr="00C63A96">
        <w:rPr>
          <w:rStyle w:val="current-selection"/>
        </w:rPr>
        <w:t>Tbet</w:t>
      </w:r>
      <w:proofErr w:type="spellEnd"/>
      <w:r w:rsidRPr="00C63A96">
        <w:rPr>
          <w:rStyle w:val="current-selection"/>
        </w:rPr>
        <w:t>,</w:t>
      </w:r>
      <w:r w:rsidRPr="00C63A96">
        <w:rPr>
          <w:rStyle w:val="a"/>
        </w:rPr>
        <w:t xml:space="preserve"> </w:t>
      </w:r>
      <w:r w:rsidRPr="00C63A96">
        <w:rPr>
          <w:rStyle w:val="current-selection"/>
        </w:rPr>
        <w:t>polyclonal</w:t>
      </w:r>
      <w:r w:rsidRPr="00C63A96">
        <w:rPr>
          <w:rStyle w:val="a"/>
        </w:rPr>
        <w:t xml:space="preserve"> </w:t>
      </w:r>
      <w:r w:rsidRPr="00C63A96">
        <w:rPr>
          <w:rStyle w:val="current-selection"/>
        </w:rPr>
        <w:t>H210;</w:t>
      </w:r>
      <w:r w:rsidRPr="00C63A96">
        <w:rPr>
          <w:rStyle w:val="a"/>
        </w:rPr>
        <w:t xml:space="preserve"> </w:t>
      </w:r>
      <w:r w:rsidRPr="00C63A96">
        <w:rPr>
          <w:rStyle w:val="current-selection"/>
        </w:rPr>
        <w:t>Santa</w:t>
      </w:r>
      <w:r w:rsidRPr="00C63A96">
        <w:rPr>
          <w:rStyle w:val="a"/>
        </w:rPr>
        <w:t xml:space="preserve"> </w:t>
      </w:r>
      <w:r w:rsidRPr="00C63A96">
        <w:rPr>
          <w:rStyle w:val="current-selection"/>
        </w:rPr>
        <w:t xml:space="preserve">Cruz Biotechnology, Dallas, TX, USA) and secondary antibodies </w:t>
      </w:r>
      <w:r w:rsidRPr="00C63A96">
        <w:rPr>
          <w:lang w:eastAsia="en-GB"/>
        </w:rPr>
        <w:t>goat-anti-mouse IgG2b-AlexaFluor647 for CD8 (blue) and</w:t>
      </w:r>
      <w:r w:rsidRPr="00332080">
        <w:rPr>
          <w:lang w:eastAsia="en-GB"/>
        </w:rPr>
        <w:t xml:space="preserve"> </w:t>
      </w:r>
      <w:r w:rsidRPr="00D92356">
        <w:rPr>
          <w:rStyle w:val="Strong"/>
          <w:b w:val="0"/>
          <w:shd w:val="clear" w:color="auto" w:fill="FFFFFF"/>
        </w:rPr>
        <w:t>goat-anti-rabbit IgG AlexaFluor546</w:t>
      </w:r>
      <w:r w:rsidRPr="00C63A96">
        <w:rPr>
          <w:rStyle w:val="Strong"/>
          <w:shd w:val="clear" w:color="auto" w:fill="FFFFFF"/>
        </w:rPr>
        <w:t xml:space="preserve"> </w:t>
      </w:r>
      <w:r w:rsidRPr="00C63A96">
        <w:rPr>
          <w:lang w:eastAsia="en-GB"/>
        </w:rPr>
        <w:t xml:space="preserve">for </w:t>
      </w:r>
      <w:proofErr w:type="spellStart"/>
      <w:r w:rsidRPr="00C63A96">
        <w:rPr>
          <w:lang w:eastAsia="en-GB"/>
        </w:rPr>
        <w:t>Tbet</w:t>
      </w:r>
      <w:proofErr w:type="spellEnd"/>
      <w:r w:rsidRPr="00C63A96">
        <w:rPr>
          <w:lang w:eastAsia="en-GB"/>
        </w:rPr>
        <w:t xml:space="preserve"> (red)</w:t>
      </w:r>
      <w:r w:rsidRPr="00C63A96">
        <w:t xml:space="preserve">. </w:t>
      </w:r>
      <w:r w:rsidRPr="00C63A96">
        <w:rPr>
          <w:lang w:eastAsia="en-GB"/>
        </w:rPr>
        <w:t xml:space="preserve">Five randomly selected images were captured using a </w:t>
      </w:r>
      <w:r w:rsidRPr="00C63A96">
        <w:rPr>
          <w:lang w:val="en"/>
        </w:rPr>
        <w:t>confocal scanning microscope (LSM510, Zeiss)</w:t>
      </w:r>
      <w:r w:rsidRPr="00C63A96">
        <w:rPr>
          <w:lang w:eastAsia="en-GB"/>
        </w:rPr>
        <w:t>.</w:t>
      </w:r>
      <w:r w:rsidRPr="00C63A96">
        <w:rPr>
          <w:lang w:val="en"/>
        </w:rPr>
        <w:t xml:space="preserve"> Tumor and stromal cells were manually counted using the LSM 5 Image Examiner software and represented as the number of cells per mm</w:t>
      </w:r>
      <w:r w:rsidRPr="00C63A96">
        <w:rPr>
          <w:vertAlign w:val="superscript"/>
          <w:lang w:val="en"/>
        </w:rPr>
        <w:t>2</w:t>
      </w:r>
      <w:r w:rsidRPr="00C63A96">
        <w:rPr>
          <w:lang w:val="en"/>
        </w:rPr>
        <w:t xml:space="preserve"> for each slide (average of five 250× images).</w:t>
      </w:r>
    </w:p>
    <w:p w:rsidR="00C63A96" w:rsidRPr="00C63A96" w:rsidRDefault="00C63A96" w:rsidP="00947B56">
      <w:pPr>
        <w:spacing w:line="240" w:lineRule="auto"/>
        <w:jc w:val="both"/>
        <w:rPr>
          <w:i/>
        </w:rPr>
      </w:pPr>
    </w:p>
    <w:p w:rsidR="00C63A96" w:rsidRPr="00C63A96" w:rsidRDefault="00C63A96" w:rsidP="00947B56">
      <w:pPr>
        <w:spacing w:before="240" w:line="240" w:lineRule="auto"/>
        <w:jc w:val="both"/>
      </w:pPr>
      <w:r w:rsidRPr="00C63A96">
        <w:rPr>
          <w:i/>
        </w:rPr>
        <w:t xml:space="preserve">Quantitative PCR and Western blot. </w:t>
      </w:r>
      <w:r w:rsidRPr="00C63A96">
        <w:t xml:space="preserve">RNA isolation, </w:t>
      </w:r>
      <w:proofErr w:type="spellStart"/>
      <w:r w:rsidRPr="00C63A96">
        <w:t>quantative</w:t>
      </w:r>
      <w:proofErr w:type="spellEnd"/>
      <w:r w:rsidRPr="00C63A96">
        <w:t xml:space="preserve"> PCR for </w:t>
      </w:r>
      <w:r w:rsidRPr="00C63A96">
        <w:rPr>
          <w:i/>
          <w:lang w:val="en"/>
        </w:rPr>
        <w:t>IFITM1</w:t>
      </w:r>
      <w:r w:rsidRPr="00C63A96">
        <w:rPr>
          <w:lang w:val="en"/>
        </w:rPr>
        <w:t xml:space="preserve"> and </w:t>
      </w:r>
      <w:r w:rsidRPr="00C63A96">
        <w:rPr>
          <w:i/>
          <w:lang w:val="en"/>
        </w:rPr>
        <w:t xml:space="preserve">RARRES1, </w:t>
      </w:r>
      <w:r w:rsidRPr="00C63A96">
        <w:rPr>
          <w:lang w:val="en"/>
        </w:rPr>
        <w:t xml:space="preserve">Western blot and </w:t>
      </w:r>
      <w:proofErr w:type="spellStart"/>
      <w:r w:rsidRPr="00C63A96">
        <w:rPr>
          <w:lang w:val="en"/>
        </w:rPr>
        <w:t>immunodetection</w:t>
      </w:r>
      <w:proofErr w:type="spellEnd"/>
      <w:r w:rsidRPr="00C63A96">
        <w:rPr>
          <w:lang w:val="en"/>
        </w:rPr>
        <w:t xml:space="preserve"> for the indicated proteins </w:t>
      </w:r>
      <w:r w:rsidRPr="00C63A96">
        <w:t xml:space="preserve">was performed as described previously </w:t>
      </w:r>
      <w:r w:rsidR="0094482A">
        <w:t>(5)</w:t>
      </w:r>
      <w:r w:rsidRPr="00C63A96">
        <w:t xml:space="preserve">. </w:t>
      </w:r>
    </w:p>
    <w:p w:rsidR="00C63A96" w:rsidRPr="00C63A96" w:rsidRDefault="00C63A96" w:rsidP="00947B56">
      <w:pPr>
        <w:autoSpaceDE w:val="0"/>
        <w:autoSpaceDN w:val="0"/>
        <w:adjustRightInd w:val="0"/>
        <w:spacing w:line="240" w:lineRule="auto"/>
        <w:jc w:val="both"/>
        <w:rPr>
          <w:b/>
          <w:lang w:eastAsia="en-GB"/>
        </w:rPr>
      </w:pPr>
    </w:p>
    <w:p w:rsidR="00C63A96" w:rsidRPr="00C63A96" w:rsidRDefault="00C63A96" w:rsidP="00947B56">
      <w:pPr>
        <w:autoSpaceDE w:val="0"/>
        <w:autoSpaceDN w:val="0"/>
        <w:adjustRightInd w:val="0"/>
        <w:spacing w:line="240" w:lineRule="auto"/>
        <w:jc w:val="both"/>
        <w:rPr>
          <w:b/>
          <w:i/>
          <w:lang w:eastAsia="en-GB"/>
        </w:rPr>
      </w:pPr>
      <w:r w:rsidRPr="00C63A96">
        <w:rPr>
          <w:b/>
          <w:i/>
          <w:lang w:eastAsia="en-GB"/>
        </w:rPr>
        <w:t>Laboratory environment</w:t>
      </w:r>
    </w:p>
    <w:p w:rsidR="00D92356" w:rsidRDefault="00C63A96" w:rsidP="00947B56">
      <w:pPr>
        <w:spacing w:line="240" w:lineRule="auto"/>
        <w:rPr>
          <w:color w:val="000000"/>
          <w:lang w:eastAsia="en-GB"/>
        </w:rPr>
      </w:pPr>
      <w:proofErr w:type="spellStart"/>
      <w:r w:rsidRPr="00C63A96">
        <w:rPr>
          <w:color w:val="000000"/>
          <w:lang w:eastAsia="en-GB"/>
        </w:rPr>
        <w:t>Immunomonitoring</w:t>
      </w:r>
      <w:proofErr w:type="spellEnd"/>
      <w:r w:rsidRPr="00C63A96">
        <w:rPr>
          <w:color w:val="000000"/>
          <w:lang w:eastAsia="en-GB"/>
        </w:rPr>
        <w:t xml:space="preserve"> of patient’s PBMC was performed in the laboratory of the department of Medical Oncology (LUMC) that operates under research conditions, following SOPs, with pre-established definitions of positive responses and using trained personnel. This laboratory has been externally and internally audited according to the reflection paper for laboratories that perform </w:t>
      </w:r>
      <w:proofErr w:type="spellStart"/>
      <w:r w:rsidRPr="00C63A96">
        <w:rPr>
          <w:color w:val="000000"/>
          <w:lang w:eastAsia="en-GB"/>
        </w:rPr>
        <w:t>immunomonitoring</w:t>
      </w:r>
      <w:proofErr w:type="spellEnd"/>
      <w:r w:rsidRPr="00C63A96">
        <w:rPr>
          <w:color w:val="000000"/>
          <w:lang w:eastAsia="en-GB"/>
        </w:rPr>
        <w:t xml:space="preserve"> </w:t>
      </w:r>
      <w:r w:rsidR="00DF2C6D">
        <w:rPr>
          <w:color w:val="000000"/>
          <w:lang w:eastAsia="en-GB"/>
        </w:rPr>
        <w:t>(1)</w:t>
      </w:r>
      <w:r w:rsidRPr="00C63A96">
        <w:rPr>
          <w:color w:val="000000"/>
          <w:lang w:eastAsia="en-GB"/>
        </w:rPr>
        <w:t xml:space="preserve"> and participated in all proficiency panels of the CIMT </w:t>
      </w:r>
      <w:proofErr w:type="spellStart"/>
      <w:r w:rsidRPr="00C63A96">
        <w:rPr>
          <w:color w:val="000000"/>
          <w:lang w:eastAsia="en-GB"/>
        </w:rPr>
        <w:t>Immunoguiding</w:t>
      </w:r>
      <w:proofErr w:type="spellEnd"/>
      <w:r w:rsidRPr="00C63A96">
        <w:rPr>
          <w:color w:val="000000"/>
          <w:lang w:eastAsia="en-GB"/>
        </w:rPr>
        <w:t xml:space="preserve"> Program (CIP; of which </w:t>
      </w:r>
      <w:proofErr w:type="spellStart"/>
      <w:r w:rsidRPr="00C63A96">
        <w:rPr>
          <w:color w:val="000000"/>
          <w:lang w:eastAsia="en-GB"/>
        </w:rPr>
        <w:t>SHvdB</w:t>
      </w:r>
      <w:proofErr w:type="spellEnd"/>
      <w:r w:rsidRPr="00C63A96">
        <w:rPr>
          <w:color w:val="000000"/>
          <w:lang w:eastAsia="en-GB"/>
        </w:rPr>
        <w:t xml:space="preserve"> and MJPW are steering committee members; </w:t>
      </w:r>
      <w:hyperlink r:id="rId6" w:history="1">
        <w:r w:rsidRPr="00C63A96">
          <w:rPr>
            <w:rStyle w:val="Hyperlink"/>
            <w:lang w:eastAsia="en-GB"/>
          </w:rPr>
          <w:t>http://www.cimt.eu/workgroups/cip/</w:t>
        </w:r>
      </w:hyperlink>
      <w:r w:rsidRPr="00C63A96">
        <w:rPr>
          <w:color w:val="000000"/>
          <w:lang w:eastAsia="en-GB"/>
        </w:rPr>
        <w:t>) as well as many of the proficiency panels (including ICS gating and ELISPOT plate reading panels) of the USA-based Cancer Immunotherapy Consortium (CIC of the Cancer Research Institute) to validate its SOPs.</w:t>
      </w:r>
    </w:p>
    <w:p w:rsidR="00D92356" w:rsidRDefault="00D92356">
      <w:pPr>
        <w:rPr>
          <w:color w:val="000000"/>
          <w:lang w:eastAsia="en-GB"/>
        </w:rPr>
      </w:pPr>
    </w:p>
    <w:p w:rsidR="00D92356" w:rsidRPr="006754C6" w:rsidRDefault="00D92356">
      <w:pPr>
        <w:rPr>
          <w:b/>
          <w:lang w:val="nl-NL"/>
        </w:rPr>
      </w:pPr>
      <w:proofErr w:type="spellStart"/>
      <w:r w:rsidRPr="006754C6">
        <w:rPr>
          <w:b/>
          <w:lang w:val="nl-NL"/>
        </w:rPr>
        <w:t>References</w:t>
      </w:r>
      <w:proofErr w:type="spellEnd"/>
    </w:p>
    <w:p w:rsidR="00D92356" w:rsidRPr="006754C6" w:rsidRDefault="00D92356" w:rsidP="00D92356">
      <w:pPr>
        <w:pStyle w:val="EndNoteBibliography"/>
        <w:spacing w:after="0"/>
        <w:rPr>
          <w:lang w:val="nl-NL"/>
        </w:rPr>
      </w:pPr>
      <w:bookmarkStart w:id="1" w:name="_ENREF_9"/>
      <w:r>
        <w:rPr>
          <w:lang w:val="nl-NL"/>
        </w:rPr>
        <w:t>1</w:t>
      </w:r>
      <w:r w:rsidRPr="00136359">
        <w:rPr>
          <w:lang w:val="nl-NL"/>
        </w:rPr>
        <w:t>.</w:t>
      </w:r>
      <w:r w:rsidRPr="00136359">
        <w:rPr>
          <w:lang w:val="nl-NL"/>
        </w:rPr>
        <w:tab/>
        <w:t xml:space="preserve">Welters MJ, van der Sluis TC, van Meir H, Loof NM, van Ham VJ, van Duikeren S, et al. </w:t>
      </w:r>
      <w:r w:rsidRPr="004548C9">
        <w:t xml:space="preserve">Vaccination during myeloid cell depletion by cancer chemotherapy fosters robust T cell responses. </w:t>
      </w:r>
      <w:r w:rsidRPr="006754C6">
        <w:rPr>
          <w:lang w:val="nl-NL"/>
        </w:rPr>
        <w:t>Science translational medicine. 2016;</w:t>
      </w:r>
      <w:r w:rsidRPr="006754C6">
        <w:rPr>
          <w:b/>
          <w:lang w:val="nl-NL"/>
        </w:rPr>
        <w:t>8</w:t>
      </w:r>
      <w:r w:rsidRPr="006754C6">
        <w:rPr>
          <w:lang w:val="nl-NL"/>
        </w:rPr>
        <w:t>:334ra52.</w:t>
      </w:r>
      <w:bookmarkEnd w:id="1"/>
    </w:p>
    <w:p w:rsidR="00A3420A" w:rsidRPr="006754C6" w:rsidRDefault="00A3420A" w:rsidP="00D92356">
      <w:pPr>
        <w:pStyle w:val="EndNoteBibliography"/>
        <w:spacing w:after="0"/>
        <w:rPr>
          <w:lang w:val="nl-NL"/>
        </w:rPr>
      </w:pPr>
    </w:p>
    <w:p w:rsidR="00A3420A" w:rsidRPr="00F970B9" w:rsidRDefault="00A3420A" w:rsidP="00A3420A">
      <w:pPr>
        <w:pStyle w:val="EndNoteBibliography"/>
        <w:spacing w:after="0"/>
        <w:rPr>
          <w:lang w:val="nl-NL"/>
        </w:rPr>
      </w:pPr>
      <w:bookmarkStart w:id="2" w:name="_ENREF_12"/>
      <w:r>
        <w:rPr>
          <w:lang w:val="nl-NL"/>
        </w:rPr>
        <w:t>2.</w:t>
      </w:r>
      <w:r w:rsidRPr="00F970B9">
        <w:rPr>
          <w:lang w:val="nl-NL"/>
        </w:rPr>
        <w:tab/>
        <w:t xml:space="preserve">van Poelgeest MI, Visconti VV, Aghai Z, van Ham VJ, Heusinkveld M, Zandvliet ML, et al. </w:t>
      </w:r>
      <w:r w:rsidRPr="004548C9">
        <w:t xml:space="preserve">Potential use of lymph node-derived HPV-specific T cells for adoptive cell therapy of cervical cancer. </w:t>
      </w:r>
      <w:r w:rsidRPr="00F970B9">
        <w:rPr>
          <w:lang w:val="nl-NL"/>
        </w:rPr>
        <w:t>Cancer Immunol Immunother. 2016;</w:t>
      </w:r>
      <w:r w:rsidRPr="00F970B9">
        <w:rPr>
          <w:b/>
          <w:lang w:val="nl-NL"/>
        </w:rPr>
        <w:t>65</w:t>
      </w:r>
      <w:r w:rsidRPr="00F970B9">
        <w:rPr>
          <w:lang w:val="nl-NL"/>
        </w:rPr>
        <w:t>:1451-63.</w:t>
      </w:r>
      <w:bookmarkEnd w:id="2"/>
    </w:p>
    <w:p w:rsidR="00A3420A" w:rsidRPr="006754C6" w:rsidRDefault="00A3420A" w:rsidP="00D92356">
      <w:pPr>
        <w:pStyle w:val="EndNoteBibliography"/>
        <w:spacing w:after="0"/>
        <w:rPr>
          <w:lang w:val="nl-NL"/>
        </w:rPr>
      </w:pPr>
    </w:p>
    <w:p w:rsidR="00DF2C6D" w:rsidRDefault="00A3420A" w:rsidP="00D92356">
      <w:pPr>
        <w:pStyle w:val="EndNoteBibliography"/>
        <w:spacing w:after="0"/>
        <w:rPr>
          <w:lang w:val="nl-NL"/>
        </w:rPr>
      </w:pPr>
      <w:r>
        <w:rPr>
          <w:lang w:val="nl-NL"/>
        </w:rPr>
        <w:t>3</w:t>
      </w:r>
      <w:r w:rsidR="00DF2C6D">
        <w:rPr>
          <w:lang w:val="nl-NL"/>
        </w:rPr>
        <w:t>.</w:t>
      </w:r>
      <w:r w:rsidR="00DF2C6D">
        <w:rPr>
          <w:lang w:val="nl-NL"/>
        </w:rPr>
        <w:tab/>
      </w:r>
      <w:r w:rsidR="00DF2C6D" w:rsidRPr="00136359">
        <w:rPr>
          <w:lang w:val="nl-NL"/>
        </w:rPr>
        <w:t xml:space="preserve">Heusinkveld M, de Vos van Steenwijk PJ, Goedemans R, Ramwadhdoebe TH, Gorter A, Welters MJ, et al. </w:t>
      </w:r>
      <w:r w:rsidR="00DF2C6D" w:rsidRPr="004548C9">
        <w:t xml:space="preserve">M2 macrophages induced by prostaglandin E2 and IL-6 from cervical carcinoma are switched to activated M1 macrophages by CD4+ Th1 cells. </w:t>
      </w:r>
      <w:r w:rsidR="00DF2C6D" w:rsidRPr="00136359">
        <w:rPr>
          <w:lang w:val="nl-NL"/>
        </w:rPr>
        <w:t>J Immunol. 2011;</w:t>
      </w:r>
      <w:r w:rsidR="00DF2C6D" w:rsidRPr="00E655FC">
        <w:rPr>
          <w:b/>
          <w:lang w:val="nl-NL"/>
        </w:rPr>
        <w:t>187</w:t>
      </w:r>
      <w:r w:rsidR="00DF2C6D" w:rsidRPr="00136359">
        <w:rPr>
          <w:lang w:val="nl-NL"/>
        </w:rPr>
        <w:t>:1157-65.</w:t>
      </w:r>
    </w:p>
    <w:p w:rsidR="00E655FC" w:rsidRDefault="00E655FC" w:rsidP="00D92356">
      <w:pPr>
        <w:pStyle w:val="EndNoteBibliography"/>
        <w:spacing w:after="0"/>
        <w:rPr>
          <w:lang w:val="nl-NL"/>
        </w:rPr>
      </w:pPr>
    </w:p>
    <w:p w:rsidR="00A3420A" w:rsidRPr="00F970B9" w:rsidRDefault="00A3420A" w:rsidP="00A3420A">
      <w:pPr>
        <w:pStyle w:val="EndNoteBibliography"/>
        <w:spacing w:after="0"/>
        <w:rPr>
          <w:lang w:val="nl-NL"/>
        </w:rPr>
      </w:pPr>
      <w:r>
        <w:rPr>
          <w:lang w:val="nl-NL"/>
        </w:rPr>
        <w:lastRenderedPageBreak/>
        <w:t>4.</w:t>
      </w:r>
      <w:r>
        <w:rPr>
          <w:lang w:val="nl-NL"/>
        </w:rPr>
        <w:tab/>
      </w:r>
      <w:r w:rsidRPr="00F970B9">
        <w:rPr>
          <w:lang w:val="nl-NL"/>
        </w:rPr>
        <w:t xml:space="preserve">Dijkgraaf EM, Heusinkveld M, Tummers B, Vogelpoel LT, Goedemans R, Jha V, et al. </w:t>
      </w:r>
      <w:r w:rsidRPr="004548C9">
        <w:t xml:space="preserve">Chemotherapy alters monocyte differentiation to favor generation of cancer-supporting M2 macrophages in the tumor microenvironment. </w:t>
      </w:r>
      <w:r w:rsidRPr="00F970B9">
        <w:rPr>
          <w:lang w:val="nl-NL"/>
        </w:rPr>
        <w:t>Cancer Res. 2013;</w:t>
      </w:r>
      <w:r w:rsidRPr="00F970B9">
        <w:rPr>
          <w:b/>
          <w:lang w:val="nl-NL"/>
        </w:rPr>
        <w:t>73</w:t>
      </w:r>
      <w:r w:rsidRPr="00F970B9">
        <w:rPr>
          <w:lang w:val="nl-NL"/>
        </w:rPr>
        <w:t>:2480-92.</w:t>
      </w:r>
    </w:p>
    <w:p w:rsidR="00A3420A" w:rsidRDefault="00A3420A" w:rsidP="00D92356">
      <w:pPr>
        <w:pStyle w:val="EndNoteBibliography"/>
        <w:spacing w:after="0"/>
        <w:rPr>
          <w:lang w:val="nl-NL"/>
        </w:rPr>
      </w:pPr>
    </w:p>
    <w:p w:rsidR="00A3420A" w:rsidRPr="005552E4" w:rsidRDefault="00A3420A" w:rsidP="00A3420A">
      <w:pPr>
        <w:pStyle w:val="EndNoteBibliography"/>
        <w:spacing w:after="0"/>
        <w:rPr>
          <w:lang w:val="nl-NL"/>
        </w:rPr>
      </w:pPr>
      <w:bookmarkStart w:id="3" w:name="_ENREF_16"/>
      <w:r>
        <w:rPr>
          <w:lang w:val="nl-NL"/>
        </w:rPr>
        <w:t>5.</w:t>
      </w:r>
      <w:r w:rsidRPr="00F970B9">
        <w:rPr>
          <w:lang w:val="nl-NL"/>
        </w:rPr>
        <w:tab/>
        <w:t xml:space="preserve">Ma W, Tummers B, van Esch EM, Goedemans R, Melief CJ, Meyers C, et al. </w:t>
      </w:r>
      <w:r w:rsidRPr="004548C9">
        <w:t xml:space="preserve">Human Papillomavirus Downregulates the Expression of IFITM1 and RIPK3 to Escape from IFNgamma- and TNFalpha-Mediated Antiproliferative Effects and Necroptosis. </w:t>
      </w:r>
      <w:r w:rsidRPr="00F970B9">
        <w:rPr>
          <w:lang w:val="nl-NL"/>
        </w:rPr>
        <w:t>Front Immunol. 2016;</w:t>
      </w:r>
      <w:r w:rsidRPr="00F970B9">
        <w:rPr>
          <w:b/>
          <w:lang w:val="nl-NL"/>
        </w:rPr>
        <w:t>7</w:t>
      </w:r>
      <w:r w:rsidRPr="00F970B9">
        <w:rPr>
          <w:lang w:val="nl-NL"/>
        </w:rPr>
        <w:t>:496.</w:t>
      </w:r>
      <w:bookmarkEnd w:id="3"/>
    </w:p>
    <w:p w:rsidR="00A3420A" w:rsidRDefault="00A3420A" w:rsidP="00A3420A">
      <w:pPr>
        <w:pStyle w:val="EndNoteBibliography"/>
        <w:spacing w:after="0"/>
        <w:rPr>
          <w:lang w:val="nl-NL"/>
        </w:rPr>
      </w:pPr>
    </w:p>
    <w:p w:rsidR="00A3420A" w:rsidRDefault="00A3420A" w:rsidP="00D92356">
      <w:pPr>
        <w:pStyle w:val="EndNoteBibliography"/>
        <w:spacing w:after="0"/>
        <w:rPr>
          <w:lang w:val="nl-NL"/>
        </w:rPr>
      </w:pPr>
      <w:r>
        <w:rPr>
          <w:lang w:val="nl-NL"/>
        </w:rPr>
        <w:t>6.</w:t>
      </w:r>
      <w:r>
        <w:rPr>
          <w:lang w:val="nl-NL"/>
        </w:rPr>
        <w:tab/>
      </w:r>
      <w:r w:rsidRPr="00F970B9">
        <w:rPr>
          <w:lang w:val="nl-NL"/>
        </w:rPr>
        <w:t xml:space="preserve">Dijkgraaf EM, Santegoets SJ, Reyners AK, Goedemans R, Wouters MC, Kenter GG, et al. </w:t>
      </w:r>
      <w:r w:rsidRPr="004548C9">
        <w:t xml:space="preserve">A phase I trial combining carboplatin/doxorubicin with tocilizumab, an anti-IL-6R monoclonal antibody, and interferon-alpha2b in patients with recurrent epithelial ovarian cancer. </w:t>
      </w:r>
      <w:r w:rsidRPr="00F970B9">
        <w:rPr>
          <w:lang w:val="nl-NL"/>
        </w:rPr>
        <w:t>Ann Oncol. 2015;</w:t>
      </w:r>
      <w:r w:rsidRPr="00F970B9">
        <w:rPr>
          <w:b/>
          <w:lang w:val="nl-NL"/>
        </w:rPr>
        <w:t>26</w:t>
      </w:r>
      <w:r w:rsidRPr="00F970B9">
        <w:rPr>
          <w:lang w:val="nl-NL"/>
        </w:rPr>
        <w:t>:2141-9.</w:t>
      </w:r>
    </w:p>
    <w:p w:rsidR="00A3420A" w:rsidRDefault="00A3420A" w:rsidP="00D92356">
      <w:pPr>
        <w:pStyle w:val="EndNoteBibliography"/>
        <w:spacing w:after="0"/>
        <w:rPr>
          <w:lang w:val="nl-NL"/>
        </w:rPr>
      </w:pPr>
    </w:p>
    <w:p w:rsidR="00947B56" w:rsidRPr="006754C6" w:rsidRDefault="00947B56" w:rsidP="00D92356">
      <w:pPr>
        <w:pStyle w:val="EndNoteBibliography"/>
        <w:spacing w:after="0"/>
        <w:rPr>
          <w:lang w:val="nl-NL"/>
        </w:rPr>
      </w:pPr>
      <w:r>
        <w:rPr>
          <w:lang w:val="nl-NL"/>
        </w:rPr>
        <w:t>7.</w:t>
      </w:r>
      <w:r>
        <w:rPr>
          <w:lang w:val="nl-NL"/>
        </w:rPr>
        <w:tab/>
      </w:r>
      <w:r w:rsidRPr="00F970B9">
        <w:rPr>
          <w:lang w:val="nl-NL"/>
        </w:rPr>
        <w:t xml:space="preserve">van Unen V, Li N, Molendijk I, Temurhan M, Hollt T, van der Meulen-de Jong AE, et al. </w:t>
      </w:r>
      <w:r w:rsidRPr="004548C9">
        <w:t xml:space="preserve">Mass Cytometry of the Human Mucosal Immune System Identifies Tissue- and Disease-Associated Immune Subsets. </w:t>
      </w:r>
      <w:r w:rsidRPr="006754C6">
        <w:rPr>
          <w:lang w:val="nl-NL"/>
        </w:rPr>
        <w:t>Immunity. 2016;</w:t>
      </w:r>
      <w:r w:rsidRPr="006754C6">
        <w:rPr>
          <w:b/>
          <w:lang w:val="nl-NL"/>
        </w:rPr>
        <w:t>44</w:t>
      </w:r>
      <w:r w:rsidRPr="006754C6">
        <w:rPr>
          <w:lang w:val="nl-NL"/>
        </w:rPr>
        <w:t>:1227-39.</w:t>
      </w:r>
    </w:p>
    <w:p w:rsidR="00947B56" w:rsidRDefault="00947B56" w:rsidP="00D92356">
      <w:pPr>
        <w:pStyle w:val="EndNoteBibliography"/>
        <w:spacing w:after="0"/>
        <w:rPr>
          <w:lang w:val="nl-NL"/>
        </w:rPr>
      </w:pPr>
    </w:p>
    <w:p w:rsidR="00E655FC" w:rsidRDefault="00947B56" w:rsidP="00D92356">
      <w:pPr>
        <w:pStyle w:val="EndNoteBibliography"/>
        <w:spacing w:after="0"/>
        <w:rPr>
          <w:lang w:val="nl-NL"/>
        </w:rPr>
      </w:pPr>
      <w:bookmarkStart w:id="4" w:name="_ENREF_10"/>
      <w:r>
        <w:rPr>
          <w:lang w:val="nl-NL"/>
        </w:rPr>
        <w:t>8</w:t>
      </w:r>
      <w:r w:rsidR="0094482A">
        <w:rPr>
          <w:lang w:val="nl-NL"/>
        </w:rPr>
        <w:t>.</w:t>
      </w:r>
      <w:r w:rsidR="00E655FC" w:rsidRPr="00E655FC">
        <w:rPr>
          <w:lang w:val="nl-NL"/>
        </w:rPr>
        <w:tab/>
        <w:t xml:space="preserve">Punt S, Dronkers EA, Welters MJ, Goedemans R, Koljenovic S, Bloemena E, et al. </w:t>
      </w:r>
      <w:r w:rsidR="00E655FC" w:rsidRPr="004548C9">
        <w:t xml:space="preserve">A beneficial tumor microenvironment in oropharyngeal squamous cell carcinoma is characterized by a high T cell and low IL-17(+) cell frequency. </w:t>
      </w:r>
      <w:r w:rsidR="00E655FC" w:rsidRPr="00F970B9">
        <w:rPr>
          <w:lang w:val="nl-NL"/>
        </w:rPr>
        <w:t>Cancer Immunol Immunother. 2016;</w:t>
      </w:r>
      <w:r w:rsidR="00E655FC" w:rsidRPr="00F970B9">
        <w:rPr>
          <w:b/>
          <w:lang w:val="nl-NL"/>
        </w:rPr>
        <w:t>65</w:t>
      </w:r>
      <w:r w:rsidR="00E655FC" w:rsidRPr="00F970B9">
        <w:rPr>
          <w:lang w:val="nl-NL"/>
        </w:rPr>
        <w:t>:393-403.</w:t>
      </w:r>
      <w:bookmarkEnd w:id="4"/>
    </w:p>
    <w:p w:rsidR="00E655FC" w:rsidRDefault="00E655FC" w:rsidP="00D92356">
      <w:pPr>
        <w:pStyle w:val="EndNoteBibliography"/>
        <w:spacing w:after="0"/>
        <w:rPr>
          <w:lang w:val="nl-NL"/>
        </w:rPr>
      </w:pPr>
    </w:p>
    <w:p w:rsidR="00E655FC" w:rsidRPr="0094482A" w:rsidRDefault="00E655FC" w:rsidP="00D92356">
      <w:pPr>
        <w:pStyle w:val="EndNoteBibliography"/>
        <w:spacing w:after="0"/>
        <w:rPr>
          <w:lang w:val="nl-NL"/>
        </w:rPr>
      </w:pPr>
    </w:p>
    <w:p w:rsidR="005552E4" w:rsidRDefault="005552E4">
      <w:pPr>
        <w:rPr>
          <w:b/>
          <w:lang w:val="en-US"/>
        </w:rPr>
      </w:pPr>
    </w:p>
    <w:p w:rsidR="00D92356" w:rsidRDefault="00D92356">
      <w:pPr>
        <w:rPr>
          <w:b/>
          <w:lang w:val="en-US"/>
        </w:rPr>
      </w:pPr>
      <w:r>
        <w:rPr>
          <w:b/>
          <w:lang w:val="en-US"/>
        </w:rPr>
        <w:br w:type="page"/>
      </w:r>
    </w:p>
    <w:p w:rsidR="00D92356" w:rsidRPr="006F180C" w:rsidRDefault="00D92356" w:rsidP="00D92356">
      <w:pPr>
        <w:spacing w:line="240" w:lineRule="auto"/>
        <w:rPr>
          <w:sz w:val="20"/>
          <w:szCs w:val="20"/>
          <w:lang w:val="en-US"/>
        </w:rPr>
      </w:pPr>
      <w:r>
        <w:rPr>
          <w:b/>
          <w:lang w:val="en-US"/>
        </w:rPr>
        <w:lastRenderedPageBreak/>
        <w:t xml:space="preserve">Supplementary </w:t>
      </w:r>
      <w:r w:rsidRPr="00CF5556">
        <w:rPr>
          <w:b/>
          <w:lang w:val="en-US"/>
        </w:rPr>
        <w:t xml:space="preserve">Table </w:t>
      </w:r>
      <w:r>
        <w:rPr>
          <w:b/>
          <w:lang w:val="en-US"/>
        </w:rPr>
        <w:t>S</w:t>
      </w:r>
      <w:r w:rsidRPr="00CF5556">
        <w:rPr>
          <w:b/>
          <w:lang w:val="en-US"/>
        </w:rPr>
        <w:t>1</w:t>
      </w:r>
      <w:r>
        <w:rPr>
          <w:b/>
          <w:lang w:val="en-US"/>
        </w:rPr>
        <w:t>.</w:t>
      </w:r>
      <w:r w:rsidRPr="00CF5556">
        <w:rPr>
          <w:b/>
          <w:lang w:val="en-US"/>
        </w:rPr>
        <w:t xml:space="preserve"> </w:t>
      </w:r>
      <w:r w:rsidRPr="006F180C">
        <w:rPr>
          <w:lang w:val="en-US"/>
        </w:rPr>
        <w:t>Patient characteristics</w:t>
      </w:r>
    </w:p>
    <w:tbl>
      <w:tblPr>
        <w:tblStyle w:val="TableGrid"/>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701"/>
        <w:gridCol w:w="1417"/>
        <w:gridCol w:w="1843"/>
        <w:gridCol w:w="1586"/>
      </w:tblGrid>
      <w:tr w:rsidR="00D92356" w:rsidRPr="002454F1" w:rsidTr="00D92356">
        <w:trPr>
          <w:trHeight w:val="170"/>
        </w:trPr>
        <w:tc>
          <w:tcPr>
            <w:tcW w:w="2660" w:type="dxa"/>
            <w:tcBorders>
              <w:top w:val="single" w:sz="12" w:space="0" w:color="auto"/>
            </w:tcBorders>
          </w:tcPr>
          <w:p w:rsidR="00D92356" w:rsidRPr="002454F1" w:rsidRDefault="00D92356" w:rsidP="00D92356">
            <w:pPr>
              <w:rPr>
                <w:rFonts w:asciiTheme="minorHAnsi" w:hAnsiTheme="minorHAnsi"/>
                <w:sz w:val="16"/>
                <w:szCs w:val="16"/>
              </w:rPr>
            </w:pPr>
            <w:r w:rsidRPr="002454F1">
              <w:rPr>
                <w:rFonts w:asciiTheme="minorHAnsi" w:hAnsiTheme="minorHAnsi"/>
                <w:b/>
                <w:sz w:val="16"/>
                <w:szCs w:val="16"/>
              </w:rPr>
              <w:t xml:space="preserve">Variable </w:t>
            </w:r>
          </w:p>
        </w:tc>
        <w:tc>
          <w:tcPr>
            <w:tcW w:w="1701" w:type="dxa"/>
            <w:tcBorders>
              <w:top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Definition of</w:t>
            </w:r>
          </w:p>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 xml:space="preserve"> Value</w:t>
            </w:r>
          </w:p>
        </w:tc>
        <w:tc>
          <w:tcPr>
            <w:tcW w:w="1417" w:type="dxa"/>
            <w:tcBorders>
              <w:top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All OPSCC</w:t>
            </w:r>
          </w:p>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 xml:space="preserve"> patients</w:t>
            </w:r>
          </w:p>
        </w:tc>
        <w:tc>
          <w:tcPr>
            <w:tcW w:w="1843" w:type="dxa"/>
            <w:tcBorders>
              <w:top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HPV-negative</w:t>
            </w:r>
          </w:p>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OPSCC patients</w:t>
            </w:r>
          </w:p>
        </w:tc>
        <w:tc>
          <w:tcPr>
            <w:tcW w:w="1586" w:type="dxa"/>
            <w:tcBorders>
              <w:top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HPV16+</w:t>
            </w:r>
          </w:p>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OPSCC patients</w:t>
            </w:r>
          </w:p>
        </w:tc>
      </w:tr>
      <w:tr w:rsidR="00D92356" w:rsidRPr="002454F1" w:rsidTr="00D92356">
        <w:trPr>
          <w:trHeight w:val="170"/>
        </w:trPr>
        <w:tc>
          <w:tcPr>
            <w:tcW w:w="2660" w:type="dxa"/>
            <w:tcBorders>
              <w:bottom w:val="single" w:sz="12" w:space="0" w:color="auto"/>
            </w:tcBorders>
          </w:tcPr>
          <w:p w:rsidR="00D92356" w:rsidRPr="002454F1" w:rsidRDefault="00D92356" w:rsidP="00D92356">
            <w:pPr>
              <w:rPr>
                <w:rFonts w:asciiTheme="minorHAnsi" w:hAnsiTheme="minorHAnsi"/>
                <w:b/>
                <w:sz w:val="16"/>
                <w:szCs w:val="16"/>
              </w:rPr>
            </w:pPr>
          </w:p>
        </w:tc>
        <w:tc>
          <w:tcPr>
            <w:tcW w:w="1701" w:type="dxa"/>
            <w:tcBorders>
              <w:bottom w:val="single" w:sz="12" w:space="0" w:color="auto"/>
            </w:tcBorders>
          </w:tcPr>
          <w:p w:rsidR="00D92356" w:rsidRPr="002454F1" w:rsidRDefault="00D92356" w:rsidP="00D92356">
            <w:pPr>
              <w:rPr>
                <w:rFonts w:asciiTheme="minorHAnsi" w:hAnsiTheme="minorHAnsi"/>
                <w:b/>
                <w:sz w:val="16"/>
                <w:szCs w:val="16"/>
              </w:rPr>
            </w:pPr>
          </w:p>
        </w:tc>
        <w:tc>
          <w:tcPr>
            <w:tcW w:w="1417" w:type="dxa"/>
            <w:tcBorders>
              <w:bottom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(N=97)</w:t>
            </w:r>
          </w:p>
        </w:tc>
        <w:tc>
          <w:tcPr>
            <w:tcW w:w="1843" w:type="dxa"/>
            <w:tcBorders>
              <w:bottom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(N=40)</w:t>
            </w:r>
          </w:p>
        </w:tc>
        <w:tc>
          <w:tcPr>
            <w:tcW w:w="1586" w:type="dxa"/>
            <w:tcBorders>
              <w:bottom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(N=57)</w:t>
            </w:r>
          </w:p>
        </w:tc>
      </w:tr>
      <w:tr w:rsidR="00D92356" w:rsidRPr="002454F1" w:rsidTr="00D92356">
        <w:trPr>
          <w:trHeight w:val="170"/>
        </w:trPr>
        <w:tc>
          <w:tcPr>
            <w:tcW w:w="2660" w:type="dxa"/>
            <w:tcBorders>
              <w:top w:val="single" w:sz="12" w:space="0" w:color="auto"/>
            </w:tcBorders>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Age (years)</w:t>
            </w:r>
          </w:p>
        </w:tc>
        <w:tc>
          <w:tcPr>
            <w:tcW w:w="1701" w:type="dxa"/>
            <w:tcBorders>
              <w:top w:val="single" w:sz="12" w:space="0" w:color="auto"/>
            </w:tcBorders>
          </w:tcPr>
          <w:p w:rsidR="00D92356" w:rsidRPr="002454F1" w:rsidRDefault="00D92356" w:rsidP="00D92356">
            <w:pPr>
              <w:rPr>
                <w:rFonts w:asciiTheme="minorHAnsi" w:hAnsiTheme="minorHAnsi"/>
                <w:sz w:val="16"/>
                <w:szCs w:val="16"/>
              </w:rPr>
            </w:pPr>
          </w:p>
        </w:tc>
        <w:tc>
          <w:tcPr>
            <w:tcW w:w="1417" w:type="dxa"/>
            <w:tcBorders>
              <w:top w:val="single" w:sz="12" w:space="0" w:color="auto"/>
            </w:tcBorders>
          </w:tcPr>
          <w:p w:rsidR="00D92356" w:rsidRPr="002454F1" w:rsidRDefault="00D92356" w:rsidP="00D92356">
            <w:pPr>
              <w:rPr>
                <w:rFonts w:asciiTheme="minorHAnsi" w:hAnsiTheme="minorHAnsi"/>
                <w:sz w:val="16"/>
                <w:szCs w:val="16"/>
              </w:rPr>
            </w:pPr>
          </w:p>
        </w:tc>
        <w:tc>
          <w:tcPr>
            <w:tcW w:w="1843" w:type="dxa"/>
            <w:tcBorders>
              <w:top w:val="single" w:sz="12" w:space="0" w:color="auto"/>
            </w:tcBorders>
          </w:tcPr>
          <w:p w:rsidR="00D92356" w:rsidRPr="002454F1" w:rsidRDefault="00D92356" w:rsidP="00D92356">
            <w:pPr>
              <w:rPr>
                <w:rFonts w:asciiTheme="minorHAnsi" w:hAnsiTheme="minorHAnsi"/>
                <w:sz w:val="16"/>
                <w:szCs w:val="16"/>
              </w:rPr>
            </w:pPr>
          </w:p>
        </w:tc>
        <w:tc>
          <w:tcPr>
            <w:tcW w:w="1586" w:type="dxa"/>
            <w:tcBorders>
              <w:top w:val="single" w:sz="12" w:space="0" w:color="auto"/>
            </w:tcBorders>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Age at incidence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Mean ± SD</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62 ± 8</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64 ± 8</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61 ± 8</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Median (Range)</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63 (47-88)</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64 (50-88)</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61 (47-78)</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Age at last follow-up</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Mean ± SD</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65 ± 8</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66 ± 8</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64 ± 8</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b/>
                <w:szCs w:val="16"/>
              </w:rPr>
            </w:pP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Median (Range)</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66 (48-89)</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66 (51-89)</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64 (48-81)</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b/>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b/>
                <w:szCs w:val="16"/>
              </w:rPr>
            </w:pPr>
            <w:r w:rsidRPr="002454F1">
              <w:rPr>
                <w:rFonts w:asciiTheme="minorHAnsi" w:hAnsiTheme="minorHAnsi"/>
                <w:b/>
                <w:szCs w:val="16"/>
              </w:rPr>
              <w:t>Gender</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Male (number)</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62 (63.9%)</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27 (67.5%)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35 (61.4%)</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Female (number)</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35 (36.1%)</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13 (32.5%)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22 (38.6%)</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b/>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b/>
                <w:szCs w:val="16"/>
              </w:rPr>
            </w:pPr>
            <w:r w:rsidRPr="002454F1">
              <w:rPr>
                <w:rFonts w:asciiTheme="minorHAnsi" w:hAnsiTheme="minorHAnsi"/>
                <w:b/>
                <w:szCs w:val="16"/>
              </w:rPr>
              <w:t>Tumor location (OPSCC)</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Tonsil</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32 (33.0%)</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13 (32.5%)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19 (33.3%)</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Base of tongue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33 (34.0%)</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10 (25.0%)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23 (40.4%)</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Soft Palate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8 (8.2%)</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7 (17.5%)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 (1.8%)</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Lateral Wall</w:t>
            </w:r>
            <w:r w:rsidRPr="002454F1">
              <w:rPr>
                <w:rFonts w:asciiTheme="minorHAnsi" w:hAnsiTheme="minorHAnsi"/>
                <w:szCs w:val="16"/>
                <w:vertAlign w:val="superscript"/>
              </w:rPr>
              <w:t>#</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16 (16.5%)</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5 (12.5%)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11 (19.3%)</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Posterior Wall</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5 (5.2%)</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 (7.5%)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(3.5%)</w:t>
            </w:r>
          </w:p>
        </w:tc>
      </w:tr>
      <w:tr w:rsidR="00D92356" w:rsidRPr="002454F1" w:rsidTr="00D92356">
        <w:trPr>
          <w:trHeight w:val="170"/>
        </w:trPr>
        <w:tc>
          <w:tcPr>
            <w:tcW w:w="2660" w:type="dxa"/>
          </w:tcPr>
          <w:p w:rsidR="00D92356" w:rsidRPr="002454F1" w:rsidRDefault="00D92356" w:rsidP="00D92356">
            <w:pPr>
              <w:pStyle w:val="TableText"/>
              <w:keepNext/>
              <w:keepLines/>
              <w:rPr>
                <w:rFonts w:asciiTheme="minorHAnsi" w:hAnsiTheme="minorHAnsi"/>
                <w:szCs w:val="16"/>
              </w:rPr>
            </w:pPr>
            <w:r w:rsidRPr="002454F1">
              <w:rPr>
                <w:rFonts w:asciiTheme="minorHAnsi" w:hAnsiTheme="minorHAnsi"/>
                <w:szCs w:val="16"/>
              </w:rPr>
              <w:t>Other</w:t>
            </w:r>
          </w:p>
        </w:tc>
        <w:tc>
          <w:tcPr>
            <w:tcW w:w="1701" w:type="dxa"/>
          </w:tcPr>
          <w:p w:rsidR="00D92356" w:rsidRPr="002454F1" w:rsidRDefault="00D92356" w:rsidP="00D92356">
            <w:pPr>
              <w:rPr>
                <w:rFonts w:asciiTheme="minorHAnsi" w:hAnsiTheme="minorHAnsi"/>
                <w:b/>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 (3.1%)</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 (1.8%)</w:t>
            </w: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Smoking exposure</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None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17 (17.5%)</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 (2.5%)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16 (28.1%)</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Former</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15 (15.5%)</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7 (17.5%)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8 (14.0%)</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Current</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64 (67.0%)</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32 (80.0%)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33 (57.9%)</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Pack years*</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Mean ± SD</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38 ± 19</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44 ± 20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30 ± 14</w:t>
            </w: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Median (Range)</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36 (2 - 100)</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40 (17 - 100)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31 (2 - 55)</w:t>
            </w: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Alcohol exposure</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None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26 (26.8%)</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11 (27.5%)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15 (26.3%)</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Current</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70 (73.2%)</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29 (72.5%)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41 (73.7%)</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vertAlign w:val="superscript"/>
              </w:rPr>
            </w:pPr>
            <w:r w:rsidRPr="002454F1">
              <w:rPr>
                <w:rFonts w:asciiTheme="minorHAnsi" w:hAnsiTheme="minorHAnsi"/>
                <w:sz w:val="16"/>
                <w:szCs w:val="16"/>
              </w:rPr>
              <w:t>Glasses per day</w:t>
            </w:r>
            <w:r w:rsidRPr="002454F1">
              <w:rPr>
                <w:rFonts w:asciiTheme="minorHAnsi" w:hAnsiTheme="minorHAnsi"/>
                <w:sz w:val="16"/>
                <w:szCs w:val="16"/>
                <w:vertAlign w:val="superscript"/>
              </w:rPr>
              <w:t>$</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Mean ± SD</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 ± 3</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 ± 2</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 ± 4</w:t>
            </w: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Median (Range)</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 (1 - 20)</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 (1 - 7)</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(1 - 20)</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vertAlign w:val="superscript"/>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p16 status in HPV16+ OPSCC</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p16 negative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8 (14.0%)</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p16 positive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37 (64.9%)</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p16 status unknown</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12 (21.1%)</w:t>
            </w: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p>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T category</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T1</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16 (16.5%)</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 (15.0%)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10 (17.5%)</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T2</w:t>
            </w:r>
          </w:p>
        </w:tc>
        <w:tc>
          <w:tcPr>
            <w:tcW w:w="1701" w:type="dxa"/>
          </w:tcPr>
          <w:p w:rsidR="00D92356" w:rsidRPr="002454F1" w:rsidRDefault="00D92356" w:rsidP="00D92356">
            <w:pPr>
              <w:rPr>
                <w:rFonts w:asciiTheme="minorHAnsi" w:hAnsiTheme="minorHAnsi"/>
                <w:b/>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39 (40.2%)</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15 (37.5%)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24 (42.1%)</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T3</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28 (28.9%)</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12 (30.0%)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16 (28.1%)</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T4</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14 (14.5%)</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7 (17.5%)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7 (12.3%)</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rPr>
            </w:pPr>
            <w:r w:rsidRPr="002454F1">
              <w:rPr>
                <w:rFonts w:asciiTheme="minorHAnsi" w:hAnsiTheme="minorHAnsi"/>
                <w:b/>
                <w:sz w:val="16"/>
                <w:szCs w:val="16"/>
              </w:rPr>
              <w:t>N stage</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N0</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35 (36.1%)</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24 (60.0%)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11 (19.3%)</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N1</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8 (8.2%)</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6 (10.5%)</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N2</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49 (50.5%)</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12 (30.0%)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37 (64.9%)</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N3</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5 (5.2%)</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 (5.3%)</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b/>
                <w:sz w:val="16"/>
                <w:szCs w:val="16"/>
              </w:rPr>
              <w:t>M stage</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M0</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97 (100%)</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40 (100%)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57 (100%)</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b/>
                <w:sz w:val="16"/>
                <w:szCs w:val="16"/>
                <w:vertAlign w:val="superscript"/>
              </w:rPr>
            </w:pPr>
            <w:r w:rsidRPr="002454F1">
              <w:rPr>
                <w:rFonts w:asciiTheme="minorHAnsi" w:hAnsiTheme="minorHAnsi"/>
                <w:b/>
                <w:sz w:val="16"/>
                <w:szCs w:val="16"/>
              </w:rPr>
              <w:t>Treatment</w:t>
            </w:r>
            <w:r w:rsidRPr="002454F1">
              <w:rPr>
                <w:rFonts w:asciiTheme="minorHAnsi" w:hAnsiTheme="minorHAnsi"/>
                <w:b/>
                <w:sz w:val="16"/>
                <w:szCs w:val="16"/>
                <w:vertAlign w:val="superscript"/>
              </w:rPr>
              <w:t>^^</w:t>
            </w:r>
          </w:p>
        </w:tc>
        <w:tc>
          <w:tcPr>
            <w:tcW w:w="1701" w:type="dxa"/>
          </w:tcPr>
          <w:p w:rsidR="00D92356" w:rsidRPr="002454F1" w:rsidRDefault="00D92356" w:rsidP="00D92356">
            <w:pPr>
              <w:rPr>
                <w:rFonts w:asciiTheme="minorHAnsi" w:hAnsiTheme="minorHAnsi"/>
                <w:sz w:val="16"/>
                <w:szCs w:val="16"/>
              </w:rPr>
            </w:pPr>
          </w:p>
        </w:tc>
        <w:tc>
          <w:tcPr>
            <w:tcW w:w="1417" w:type="dxa"/>
          </w:tcPr>
          <w:p w:rsidR="00D92356" w:rsidRPr="002454F1" w:rsidRDefault="00D92356" w:rsidP="00D92356">
            <w:pPr>
              <w:rPr>
                <w:rFonts w:asciiTheme="minorHAnsi" w:hAnsiTheme="minorHAnsi"/>
                <w:sz w:val="16"/>
                <w:szCs w:val="16"/>
              </w:rPr>
            </w:pPr>
          </w:p>
        </w:tc>
        <w:tc>
          <w:tcPr>
            <w:tcW w:w="1843" w:type="dxa"/>
          </w:tcPr>
          <w:p w:rsidR="00D92356" w:rsidRPr="002454F1" w:rsidRDefault="00D92356" w:rsidP="00D92356">
            <w:pPr>
              <w:rPr>
                <w:rFonts w:asciiTheme="minorHAnsi" w:hAnsiTheme="minorHAnsi"/>
                <w:sz w:val="16"/>
                <w:szCs w:val="16"/>
              </w:rPr>
            </w:pPr>
          </w:p>
        </w:tc>
        <w:tc>
          <w:tcPr>
            <w:tcW w:w="1586" w:type="dxa"/>
          </w:tcPr>
          <w:p w:rsidR="00D92356" w:rsidRPr="002454F1" w:rsidRDefault="00D92356" w:rsidP="00D92356">
            <w:pPr>
              <w:rPr>
                <w:rFonts w:asciiTheme="minorHAnsi" w:hAnsiTheme="minorHAnsi"/>
                <w:sz w:val="16"/>
                <w:szCs w:val="16"/>
              </w:rPr>
            </w:pP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None</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 (3.1%)</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 (7.5%)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0 (0%)</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Surgery</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vertAlign w:val="superscript"/>
              </w:rPr>
            </w:pPr>
            <w:r w:rsidRPr="002454F1">
              <w:rPr>
                <w:rFonts w:asciiTheme="minorHAnsi" w:hAnsiTheme="minorHAnsi"/>
                <w:sz w:val="16"/>
                <w:szCs w:val="16"/>
              </w:rPr>
              <w:t>30 (30.9%)</w:t>
            </w:r>
            <w:r w:rsidRPr="002454F1">
              <w:rPr>
                <w:rFonts w:asciiTheme="minorHAnsi" w:hAnsiTheme="minorHAnsi"/>
                <w:sz w:val="16"/>
                <w:szCs w:val="16"/>
                <w:vertAlign w:val="superscript"/>
              </w:rPr>
              <w:t>†</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9 (22.5%)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21 (36.8%)</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Radiotherapy</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77 (79.4%)</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31 (77.5%)</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47 (82.5%)</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rPr>
            </w:pPr>
            <w:proofErr w:type="spellStart"/>
            <w:r w:rsidRPr="002454F1">
              <w:rPr>
                <w:rFonts w:asciiTheme="minorHAnsi" w:hAnsiTheme="minorHAnsi"/>
                <w:sz w:val="16"/>
                <w:szCs w:val="16"/>
              </w:rPr>
              <w:t>Chemoradiation</w:t>
            </w:r>
            <w:proofErr w:type="spellEnd"/>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9 (9.3%)</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8 (14.0%)</w:t>
            </w:r>
          </w:p>
        </w:tc>
      </w:tr>
      <w:tr w:rsidR="00D92356" w:rsidRPr="002454F1" w:rsidTr="00D92356">
        <w:trPr>
          <w:trHeight w:val="170"/>
        </w:trPr>
        <w:tc>
          <w:tcPr>
            <w:tcW w:w="2660" w:type="dxa"/>
          </w:tcPr>
          <w:p w:rsidR="00D92356" w:rsidRPr="002454F1" w:rsidRDefault="00D92356" w:rsidP="00D92356">
            <w:pPr>
              <w:rPr>
                <w:rFonts w:asciiTheme="minorHAnsi" w:hAnsiTheme="minorHAnsi"/>
                <w:sz w:val="16"/>
                <w:szCs w:val="16"/>
                <w:vertAlign w:val="superscript"/>
              </w:rPr>
            </w:pPr>
            <w:r w:rsidRPr="002454F1">
              <w:rPr>
                <w:rFonts w:asciiTheme="minorHAnsi" w:hAnsiTheme="minorHAnsi"/>
                <w:sz w:val="16"/>
                <w:szCs w:val="16"/>
              </w:rPr>
              <w:t>Monoclonal antibodies</w:t>
            </w:r>
            <w:r w:rsidRPr="002454F1">
              <w:rPr>
                <w:rFonts w:asciiTheme="minorHAnsi" w:hAnsiTheme="minorHAnsi"/>
                <w:sz w:val="16"/>
                <w:szCs w:val="16"/>
                <w:vertAlign w:val="superscript"/>
              </w:rPr>
              <w:t>&amp;</w:t>
            </w:r>
          </w:p>
        </w:tc>
        <w:tc>
          <w:tcPr>
            <w:tcW w:w="1701"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4 (4.1%)</w:t>
            </w:r>
          </w:p>
        </w:tc>
        <w:tc>
          <w:tcPr>
            <w:tcW w:w="1843"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(5.0%)</w:t>
            </w:r>
          </w:p>
        </w:tc>
        <w:tc>
          <w:tcPr>
            <w:tcW w:w="1586" w:type="dxa"/>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2 (3.5%)</w:t>
            </w:r>
          </w:p>
        </w:tc>
      </w:tr>
      <w:tr w:rsidR="00D92356" w:rsidRPr="002454F1" w:rsidTr="00D92356">
        <w:trPr>
          <w:trHeight w:val="170"/>
        </w:trPr>
        <w:tc>
          <w:tcPr>
            <w:tcW w:w="2660" w:type="dxa"/>
            <w:tcBorders>
              <w:bottom w:val="single" w:sz="12" w:space="0" w:color="auto"/>
            </w:tcBorders>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Other</w:t>
            </w:r>
          </w:p>
        </w:tc>
        <w:tc>
          <w:tcPr>
            <w:tcW w:w="1701" w:type="dxa"/>
            <w:tcBorders>
              <w:bottom w:val="single" w:sz="12" w:space="0" w:color="auto"/>
            </w:tcBorders>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Number (%)</w:t>
            </w:r>
          </w:p>
        </w:tc>
        <w:tc>
          <w:tcPr>
            <w:tcW w:w="1417" w:type="dxa"/>
            <w:tcBorders>
              <w:bottom w:val="single" w:sz="12" w:space="0" w:color="auto"/>
            </w:tcBorders>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 (1.0%)</w:t>
            </w:r>
          </w:p>
        </w:tc>
        <w:tc>
          <w:tcPr>
            <w:tcW w:w="1843" w:type="dxa"/>
            <w:tcBorders>
              <w:bottom w:val="single" w:sz="12" w:space="0" w:color="auto"/>
            </w:tcBorders>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1 (2.5%)</w:t>
            </w:r>
          </w:p>
        </w:tc>
        <w:tc>
          <w:tcPr>
            <w:tcW w:w="1586" w:type="dxa"/>
            <w:tcBorders>
              <w:bottom w:val="single" w:sz="12" w:space="0" w:color="auto"/>
            </w:tcBorders>
          </w:tcPr>
          <w:p w:rsidR="00D92356" w:rsidRPr="002454F1" w:rsidRDefault="00D92356" w:rsidP="00D92356">
            <w:pPr>
              <w:rPr>
                <w:rFonts w:asciiTheme="minorHAnsi" w:hAnsiTheme="minorHAnsi"/>
                <w:sz w:val="16"/>
                <w:szCs w:val="16"/>
              </w:rPr>
            </w:pPr>
            <w:r w:rsidRPr="002454F1">
              <w:rPr>
                <w:rFonts w:asciiTheme="minorHAnsi" w:hAnsiTheme="minorHAnsi"/>
                <w:sz w:val="16"/>
                <w:szCs w:val="16"/>
              </w:rPr>
              <w:t>0 (0%)</w:t>
            </w:r>
          </w:p>
        </w:tc>
      </w:tr>
    </w:tbl>
    <w:p w:rsidR="00D92356" w:rsidRDefault="00D92356" w:rsidP="00D92356">
      <w:pPr>
        <w:spacing w:line="240" w:lineRule="auto"/>
        <w:rPr>
          <w:lang w:val="en-US"/>
        </w:rPr>
      </w:pPr>
    </w:p>
    <w:p w:rsidR="00D92356" w:rsidRPr="00B4688C" w:rsidRDefault="00D92356" w:rsidP="00D92356">
      <w:pPr>
        <w:spacing w:line="240" w:lineRule="auto"/>
        <w:rPr>
          <w:sz w:val="18"/>
          <w:szCs w:val="18"/>
          <w:lang w:val="en-US"/>
        </w:rPr>
      </w:pPr>
      <w:r w:rsidRPr="00B4688C">
        <w:rPr>
          <w:sz w:val="18"/>
          <w:szCs w:val="18"/>
          <w:vertAlign w:val="superscript"/>
          <w:lang w:val="en-US"/>
        </w:rPr>
        <w:lastRenderedPageBreak/>
        <w:t>#</w:t>
      </w:r>
      <w:r w:rsidRPr="00B4688C">
        <w:rPr>
          <w:sz w:val="18"/>
          <w:szCs w:val="18"/>
          <w:lang w:val="en-US"/>
        </w:rPr>
        <w:t xml:space="preserve">Including </w:t>
      </w:r>
      <w:r w:rsidRPr="00B4688C">
        <w:rPr>
          <w:sz w:val="18"/>
          <w:szCs w:val="18"/>
        </w:rPr>
        <w:t>Tonsillar Fossa.</w:t>
      </w:r>
      <w:r w:rsidRPr="00B4688C">
        <w:rPr>
          <w:sz w:val="18"/>
          <w:szCs w:val="18"/>
          <w:lang w:val="en-US"/>
        </w:rPr>
        <w:t xml:space="preserve"> *Includes only former and current smokers. From 9 patients smoking history is not complete and therefore pack years is missing. </w:t>
      </w:r>
      <w:r w:rsidRPr="00B4688C">
        <w:rPr>
          <w:sz w:val="18"/>
          <w:szCs w:val="18"/>
          <w:vertAlign w:val="superscript"/>
          <w:lang w:val="en-US"/>
        </w:rPr>
        <w:t>$</w:t>
      </w:r>
      <w:r w:rsidRPr="00B4688C">
        <w:rPr>
          <w:sz w:val="18"/>
          <w:szCs w:val="18"/>
          <w:lang w:val="en-US"/>
        </w:rPr>
        <w:t xml:space="preserve">Includes only former and current drinkers. From one patient alcohol intake is missing.  </w:t>
      </w:r>
      <w:r w:rsidRPr="00B4688C">
        <w:rPr>
          <w:sz w:val="18"/>
          <w:szCs w:val="18"/>
          <w:vertAlign w:val="superscript"/>
          <w:lang w:val="en-US"/>
        </w:rPr>
        <w:t>&amp;</w:t>
      </w:r>
      <w:r w:rsidRPr="00B4688C">
        <w:rPr>
          <w:sz w:val="18"/>
          <w:szCs w:val="18"/>
          <w:lang w:val="en-US"/>
        </w:rPr>
        <w:t xml:space="preserve">Monoclonal antibody used is </w:t>
      </w:r>
      <w:proofErr w:type="spellStart"/>
      <w:r w:rsidRPr="00B4688C">
        <w:rPr>
          <w:sz w:val="18"/>
          <w:szCs w:val="18"/>
          <w:lang w:val="en-US"/>
        </w:rPr>
        <w:t>Cetuximab</w:t>
      </w:r>
      <w:proofErr w:type="spellEnd"/>
      <w:r w:rsidRPr="00B4688C">
        <w:rPr>
          <w:sz w:val="18"/>
          <w:szCs w:val="18"/>
          <w:lang w:val="en-US"/>
        </w:rPr>
        <w:t xml:space="preserve"> which is directed to epidermal growth factor receptor (EGFR). </w:t>
      </w:r>
      <w:r w:rsidRPr="00B4688C">
        <w:rPr>
          <w:sz w:val="18"/>
          <w:szCs w:val="18"/>
          <w:vertAlign w:val="superscript"/>
          <w:lang w:val="en-US"/>
        </w:rPr>
        <w:t>^^</w:t>
      </w:r>
      <w:r w:rsidRPr="00B4688C">
        <w:rPr>
          <w:sz w:val="18"/>
          <w:szCs w:val="18"/>
          <w:lang w:val="en-US"/>
        </w:rPr>
        <w:t xml:space="preserve">Multiple treatments can be given to a single patient. The majority was treated with primary radiotherapy. When the tumor was above 3 cm the patient was operated. </w:t>
      </w:r>
      <w:proofErr w:type="spellStart"/>
      <w:r w:rsidRPr="00B4688C">
        <w:rPr>
          <w:sz w:val="18"/>
          <w:szCs w:val="18"/>
          <w:lang w:val="en-US"/>
        </w:rPr>
        <w:t>Chemoradiation</w:t>
      </w:r>
      <w:proofErr w:type="spellEnd"/>
      <w:r w:rsidRPr="00B4688C">
        <w:rPr>
          <w:sz w:val="18"/>
          <w:szCs w:val="18"/>
          <w:lang w:val="en-US"/>
        </w:rPr>
        <w:t xml:space="preserve"> was applied for patients with stage 3-4 OPSCC. Postoperative </w:t>
      </w:r>
      <w:proofErr w:type="spellStart"/>
      <w:r w:rsidRPr="00B4688C">
        <w:rPr>
          <w:sz w:val="18"/>
          <w:szCs w:val="18"/>
          <w:lang w:val="en-US"/>
        </w:rPr>
        <w:t>chemoradiation</w:t>
      </w:r>
      <w:proofErr w:type="spellEnd"/>
      <w:r w:rsidRPr="00B4688C">
        <w:rPr>
          <w:sz w:val="18"/>
          <w:szCs w:val="18"/>
          <w:lang w:val="en-US"/>
        </w:rPr>
        <w:t xml:space="preserve"> was given when there was </w:t>
      </w:r>
      <w:proofErr w:type="spellStart"/>
      <w:r w:rsidRPr="00B4688C">
        <w:rPr>
          <w:sz w:val="18"/>
          <w:szCs w:val="18"/>
          <w:lang w:val="en-US"/>
        </w:rPr>
        <w:t>extranodal</w:t>
      </w:r>
      <w:proofErr w:type="spellEnd"/>
      <w:r w:rsidRPr="00B4688C">
        <w:rPr>
          <w:sz w:val="18"/>
          <w:szCs w:val="18"/>
          <w:lang w:val="en-US"/>
        </w:rPr>
        <w:t xml:space="preserve"> spread of the lymph node metastasis. </w:t>
      </w:r>
      <w:r w:rsidRPr="00B4688C">
        <w:rPr>
          <w:sz w:val="18"/>
          <w:szCs w:val="18"/>
          <w:vertAlign w:val="superscript"/>
          <w:lang w:val="en-US"/>
        </w:rPr>
        <w:t>†</w:t>
      </w:r>
      <w:r w:rsidRPr="00B4688C">
        <w:rPr>
          <w:sz w:val="18"/>
          <w:szCs w:val="18"/>
          <w:lang w:val="en-US"/>
        </w:rPr>
        <w:t xml:space="preserve">Only in 4 patients surgery is used as single treatment. In all other cases surgery is followed by radiotherapy or </w:t>
      </w:r>
      <w:proofErr w:type="spellStart"/>
      <w:r w:rsidRPr="00B4688C">
        <w:rPr>
          <w:sz w:val="18"/>
          <w:szCs w:val="18"/>
          <w:lang w:val="en-US"/>
        </w:rPr>
        <w:t>chemoradiation</w:t>
      </w:r>
      <w:proofErr w:type="spellEnd"/>
      <w:r w:rsidRPr="00B4688C">
        <w:rPr>
          <w:sz w:val="18"/>
          <w:szCs w:val="18"/>
          <w:lang w:val="en-US"/>
        </w:rPr>
        <w:t>.</w:t>
      </w:r>
    </w:p>
    <w:p w:rsidR="00D92356" w:rsidRDefault="00D92356" w:rsidP="00D92356">
      <w:pPr>
        <w:spacing w:line="240" w:lineRule="auto"/>
        <w:rPr>
          <w:lang w:val="en-US"/>
        </w:rPr>
      </w:pPr>
      <w:r>
        <w:rPr>
          <w:lang w:val="en-US"/>
        </w:rPr>
        <w:br w:type="page"/>
      </w:r>
    </w:p>
    <w:p w:rsidR="00D92356" w:rsidRPr="006F180C" w:rsidRDefault="00D92356" w:rsidP="00D92356">
      <w:pPr>
        <w:spacing w:line="240" w:lineRule="auto"/>
        <w:rPr>
          <w:lang w:val="en-US"/>
        </w:rPr>
      </w:pPr>
      <w:r>
        <w:rPr>
          <w:b/>
          <w:lang w:val="en-US"/>
        </w:rPr>
        <w:lastRenderedPageBreak/>
        <w:t xml:space="preserve">Supplementary </w:t>
      </w:r>
      <w:r w:rsidRPr="001724A5">
        <w:rPr>
          <w:b/>
          <w:lang w:val="en-US"/>
        </w:rPr>
        <w:t xml:space="preserve">Table </w:t>
      </w:r>
      <w:r>
        <w:rPr>
          <w:b/>
          <w:lang w:val="en-US"/>
        </w:rPr>
        <w:t>S</w:t>
      </w:r>
      <w:r w:rsidRPr="001724A5">
        <w:rPr>
          <w:b/>
          <w:lang w:val="en-US"/>
        </w:rPr>
        <w:t>2</w:t>
      </w:r>
      <w:r>
        <w:rPr>
          <w:b/>
          <w:lang w:val="en-US"/>
        </w:rPr>
        <w:t>.</w:t>
      </w:r>
      <w:r w:rsidRPr="001724A5">
        <w:rPr>
          <w:b/>
          <w:lang w:val="en-US"/>
        </w:rPr>
        <w:t xml:space="preserve"> </w:t>
      </w:r>
      <w:r w:rsidRPr="006F180C">
        <w:rPr>
          <w:lang w:val="en-US"/>
        </w:rPr>
        <w:t xml:space="preserve">Antibodies with isotope tags used in </w:t>
      </w:r>
      <w:proofErr w:type="spellStart"/>
      <w:r w:rsidRPr="006F180C">
        <w:rPr>
          <w:lang w:val="en-US"/>
        </w:rPr>
        <w:t>CyTOF</w:t>
      </w:r>
      <w:proofErr w:type="spellEnd"/>
      <w:r w:rsidRPr="006F180C">
        <w:rPr>
          <w:lang w:val="en-US"/>
        </w:rPr>
        <w:t xml:space="preserve"> analysis</w:t>
      </w:r>
    </w:p>
    <w:tbl>
      <w:tblPr>
        <w:tblW w:w="6910" w:type="dxa"/>
        <w:tblLook w:val="04A0" w:firstRow="1" w:lastRow="0" w:firstColumn="1" w:lastColumn="0" w:noHBand="0" w:noVBand="1"/>
      </w:tblPr>
      <w:tblGrid>
        <w:gridCol w:w="549"/>
        <w:gridCol w:w="1067"/>
        <w:gridCol w:w="822"/>
        <w:gridCol w:w="1698"/>
        <w:gridCol w:w="1792"/>
        <w:gridCol w:w="982"/>
      </w:tblGrid>
      <w:tr w:rsidR="00D92356" w:rsidRPr="002454F1" w:rsidTr="00D92356">
        <w:trPr>
          <w:trHeight w:val="170"/>
        </w:trPr>
        <w:tc>
          <w:tcPr>
            <w:tcW w:w="549" w:type="dxa"/>
            <w:tcBorders>
              <w:top w:val="single" w:sz="12" w:space="0" w:color="auto"/>
              <w:bottom w:val="single" w:sz="12" w:space="0" w:color="auto"/>
            </w:tcBorders>
            <w:shd w:val="clear" w:color="auto" w:fill="auto"/>
            <w:vAlign w:val="center"/>
            <w:hideMark/>
          </w:tcPr>
          <w:p w:rsidR="00D92356" w:rsidRPr="002454F1" w:rsidRDefault="00D92356" w:rsidP="00D92356">
            <w:pPr>
              <w:spacing w:after="0" w:line="240" w:lineRule="auto"/>
              <w:rPr>
                <w:rFonts w:ascii="Calibri" w:eastAsia="Times New Roman" w:hAnsi="Calibri" w:cs="Arial"/>
                <w:color w:val="000000"/>
                <w:sz w:val="16"/>
                <w:szCs w:val="16"/>
                <w:lang w:eastAsia="en-GB"/>
              </w:rPr>
            </w:pPr>
          </w:p>
        </w:tc>
        <w:tc>
          <w:tcPr>
            <w:tcW w:w="1067" w:type="dxa"/>
            <w:tcBorders>
              <w:top w:val="single" w:sz="12" w:space="0" w:color="auto"/>
              <w:bottom w:val="single" w:sz="12" w:space="0" w:color="auto"/>
            </w:tcBorders>
            <w:shd w:val="clear" w:color="auto" w:fill="auto"/>
            <w:vAlign w:val="center"/>
            <w:hideMark/>
          </w:tcPr>
          <w:p w:rsidR="00D92356" w:rsidRPr="002454F1" w:rsidRDefault="00D92356" w:rsidP="00D92356">
            <w:pPr>
              <w:spacing w:after="0" w:line="240" w:lineRule="auto"/>
              <w:rPr>
                <w:rFonts w:ascii="Calibri" w:eastAsia="Times New Roman" w:hAnsi="Calibri" w:cs="Arial"/>
                <w:b/>
                <w:color w:val="000000"/>
                <w:sz w:val="16"/>
                <w:szCs w:val="16"/>
                <w:lang w:eastAsia="en-GB"/>
              </w:rPr>
            </w:pPr>
            <w:r w:rsidRPr="002454F1">
              <w:rPr>
                <w:rFonts w:ascii="Calibri" w:eastAsia="Times New Roman" w:hAnsi="Calibri" w:cs="Arial"/>
                <w:b/>
                <w:color w:val="000000"/>
                <w:sz w:val="16"/>
                <w:szCs w:val="16"/>
                <w:lang w:eastAsia="en-GB"/>
              </w:rPr>
              <w:t>Antigen</w:t>
            </w:r>
          </w:p>
        </w:tc>
        <w:tc>
          <w:tcPr>
            <w:tcW w:w="822" w:type="dxa"/>
            <w:tcBorders>
              <w:top w:val="single" w:sz="12" w:space="0" w:color="auto"/>
              <w:bottom w:val="single" w:sz="12" w:space="0" w:color="auto"/>
            </w:tcBorders>
            <w:shd w:val="clear" w:color="auto" w:fill="auto"/>
            <w:vAlign w:val="center"/>
            <w:hideMark/>
          </w:tcPr>
          <w:p w:rsidR="00D92356" w:rsidRPr="002454F1" w:rsidRDefault="00D92356" w:rsidP="00D92356">
            <w:pPr>
              <w:spacing w:after="0" w:line="240" w:lineRule="auto"/>
              <w:rPr>
                <w:rFonts w:ascii="Calibri" w:eastAsia="Times New Roman" w:hAnsi="Calibri" w:cs="Arial"/>
                <w:b/>
                <w:color w:val="000000"/>
                <w:sz w:val="16"/>
                <w:szCs w:val="16"/>
                <w:lang w:eastAsia="en-GB"/>
              </w:rPr>
            </w:pPr>
            <w:r w:rsidRPr="002454F1">
              <w:rPr>
                <w:rFonts w:ascii="Calibri" w:eastAsia="Times New Roman" w:hAnsi="Calibri" w:cs="Arial"/>
                <w:b/>
                <w:color w:val="000000"/>
                <w:sz w:val="16"/>
                <w:szCs w:val="16"/>
                <w:lang w:eastAsia="en-GB"/>
              </w:rPr>
              <w:t>Tag</w:t>
            </w:r>
          </w:p>
        </w:tc>
        <w:tc>
          <w:tcPr>
            <w:tcW w:w="1698" w:type="dxa"/>
            <w:tcBorders>
              <w:top w:val="single" w:sz="12" w:space="0" w:color="auto"/>
              <w:bottom w:val="single" w:sz="12" w:space="0" w:color="auto"/>
            </w:tcBorders>
            <w:shd w:val="clear" w:color="auto" w:fill="auto"/>
            <w:vAlign w:val="center"/>
            <w:hideMark/>
          </w:tcPr>
          <w:p w:rsidR="00D92356" w:rsidRPr="002454F1" w:rsidRDefault="00D92356" w:rsidP="00D92356">
            <w:pPr>
              <w:spacing w:after="0" w:line="240" w:lineRule="auto"/>
              <w:rPr>
                <w:rFonts w:ascii="Calibri" w:eastAsia="Times New Roman" w:hAnsi="Calibri" w:cs="Arial"/>
                <w:b/>
                <w:color w:val="000000"/>
                <w:sz w:val="16"/>
                <w:szCs w:val="16"/>
                <w:lang w:eastAsia="en-GB"/>
              </w:rPr>
            </w:pPr>
            <w:r w:rsidRPr="002454F1">
              <w:rPr>
                <w:rFonts w:ascii="Calibri" w:eastAsia="Times New Roman" w:hAnsi="Calibri" w:cs="Arial"/>
                <w:b/>
                <w:color w:val="000000"/>
                <w:sz w:val="16"/>
                <w:szCs w:val="16"/>
                <w:lang w:eastAsia="en-GB"/>
              </w:rPr>
              <w:t>Antibody Clone</w:t>
            </w:r>
          </w:p>
        </w:tc>
        <w:tc>
          <w:tcPr>
            <w:tcW w:w="1792" w:type="dxa"/>
            <w:tcBorders>
              <w:top w:val="single" w:sz="12" w:space="0" w:color="auto"/>
              <w:bottom w:val="single" w:sz="12" w:space="0" w:color="auto"/>
            </w:tcBorders>
            <w:shd w:val="clear" w:color="auto" w:fill="auto"/>
            <w:vAlign w:val="center"/>
            <w:hideMark/>
          </w:tcPr>
          <w:p w:rsidR="00D92356" w:rsidRPr="002454F1" w:rsidRDefault="00D92356" w:rsidP="00D92356">
            <w:pPr>
              <w:spacing w:after="0" w:line="240" w:lineRule="auto"/>
              <w:rPr>
                <w:rFonts w:ascii="Calibri" w:eastAsia="Times New Roman" w:hAnsi="Calibri" w:cs="Arial"/>
                <w:b/>
                <w:color w:val="000000"/>
                <w:sz w:val="16"/>
                <w:szCs w:val="16"/>
                <w:lang w:eastAsia="en-GB"/>
              </w:rPr>
            </w:pPr>
            <w:r w:rsidRPr="002454F1">
              <w:rPr>
                <w:rFonts w:ascii="Calibri" w:eastAsia="Times New Roman" w:hAnsi="Calibri" w:cs="Arial"/>
                <w:b/>
                <w:color w:val="000000"/>
                <w:sz w:val="16"/>
                <w:szCs w:val="16"/>
                <w:lang w:eastAsia="en-GB"/>
              </w:rPr>
              <w:t>Company</w:t>
            </w:r>
          </w:p>
        </w:tc>
        <w:tc>
          <w:tcPr>
            <w:tcW w:w="982" w:type="dxa"/>
            <w:tcBorders>
              <w:top w:val="single" w:sz="12" w:space="0" w:color="auto"/>
              <w:bottom w:val="single" w:sz="12" w:space="0" w:color="auto"/>
            </w:tcBorders>
            <w:shd w:val="clear" w:color="auto" w:fill="auto"/>
            <w:vAlign w:val="center"/>
            <w:hideMark/>
          </w:tcPr>
          <w:p w:rsidR="00D92356" w:rsidRPr="002454F1" w:rsidRDefault="00D92356" w:rsidP="00D92356">
            <w:pPr>
              <w:spacing w:after="0" w:line="240" w:lineRule="auto"/>
              <w:rPr>
                <w:rFonts w:ascii="Calibri" w:eastAsia="Times New Roman" w:hAnsi="Calibri" w:cs="Arial"/>
                <w:b/>
                <w:color w:val="000000"/>
                <w:sz w:val="16"/>
                <w:szCs w:val="16"/>
                <w:lang w:eastAsia="en-GB"/>
              </w:rPr>
            </w:pPr>
            <w:r w:rsidRPr="002454F1">
              <w:rPr>
                <w:rFonts w:ascii="Calibri" w:eastAsia="Times New Roman" w:hAnsi="Calibri" w:cs="Arial"/>
                <w:b/>
                <w:color w:val="000000"/>
                <w:sz w:val="16"/>
                <w:szCs w:val="16"/>
                <w:lang w:eastAsia="en-GB"/>
              </w:rPr>
              <w:t>Isotype</w:t>
            </w:r>
          </w:p>
        </w:tc>
      </w:tr>
      <w:tr w:rsidR="00D92356" w:rsidRPr="002454F1" w:rsidTr="00D92356">
        <w:trPr>
          <w:trHeight w:val="170"/>
        </w:trPr>
        <w:tc>
          <w:tcPr>
            <w:tcW w:w="549" w:type="dxa"/>
            <w:tcBorders>
              <w:top w:val="single" w:sz="12" w:space="0" w:color="auto"/>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w:t>
            </w:r>
          </w:p>
        </w:tc>
        <w:tc>
          <w:tcPr>
            <w:tcW w:w="1067" w:type="dxa"/>
            <w:tcBorders>
              <w:top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CD45</w:t>
            </w:r>
          </w:p>
        </w:tc>
        <w:tc>
          <w:tcPr>
            <w:tcW w:w="822" w:type="dxa"/>
            <w:tcBorders>
              <w:top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89</w:t>
            </w:r>
            <w:r w:rsidRPr="002454F1">
              <w:rPr>
                <w:rFonts w:eastAsia="Times New Roman" w:cs="Arial"/>
                <w:sz w:val="16"/>
                <w:szCs w:val="16"/>
                <w:lang w:eastAsia="en-GB"/>
              </w:rPr>
              <w:t>Y</w:t>
            </w:r>
          </w:p>
        </w:tc>
        <w:tc>
          <w:tcPr>
            <w:tcW w:w="1698" w:type="dxa"/>
            <w:tcBorders>
              <w:top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HI30</w:t>
            </w:r>
          </w:p>
        </w:tc>
        <w:tc>
          <w:tcPr>
            <w:tcW w:w="1792" w:type="dxa"/>
            <w:tcBorders>
              <w:top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CCR6</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141</w:t>
            </w:r>
            <w:r w:rsidRPr="002454F1">
              <w:rPr>
                <w:rFonts w:eastAsia="Times New Roman" w:cs="Arial"/>
                <w:sz w:val="16"/>
                <w:szCs w:val="16"/>
                <w:lang w:eastAsia="en-GB"/>
              </w:rPr>
              <w:t>Pr</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G034E3</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CD34</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142</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HIB19</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4</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C-Kit</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143</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104D2</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5</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CD11b</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144</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ICRF44</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6</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CD4</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145</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RPA-T4</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7</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CD8a</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146</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RPA-T8</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8</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Nkp44</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147</w:t>
            </w:r>
            <w:r w:rsidRPr="002454F1">
              <w:rPr>
                <w:rFonts w:eastAsia="Times New Roman" w:cs="Arial"/>
                <w:sz w:val="16"/>
                <w:szCs w:val="16"/>
                <w:lang w:eastAsia="en-GB"/>
              </w:rPr>
              <w:t>Sm</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P44-8</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9</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CD16</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148</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3G8</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10</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CD25</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149</w:t>
            </w:r>
            <w:r w:rsidRPr="002454F1">
              <w:rPr>
                <w:rFonts w:eastAsia="Times New Roman" w:cs="Arial"/>
                <w:sz w:val="16"/>
                <w:szCs w:val="16"/>
                <w:lang w:eastAsia="en-GB"/>
              </w:rPr>
              <w:t>Sm</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2A3</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11</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IgM</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150</w:t>
            </w:r>
            <w:r w:rsidRPr="002454F1">
              <w:rPr>
                <w:rFonts w:eastAsia="Times New Roman" w:cs="Arial"/>
                <w:sz w:val="16"/>
                <w:szCs w:val="16"/>
                <w:lang w:eastAsia="en-GB"/>
              </w:rPr>
              <w:t>Nd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MHM88</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12</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CD123</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151</w:t>
            </w:r>
            <w:r w:rsidRPr="002454F1">
              <w:rPr>
                <w:rFonts w:eastAsia="Times New Roman" w:cs="Arial"/>
                <w:sz w:val="16"/>
                <w:szCs w:val="16"/>
                <w:lang w:eastAsia="en-GB"/>
              </w:rPr>
              <w:t>Eu</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6H6</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13</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TCR</w:t>
            </w:r>
            <w:r w:rsidRPr="002454F1">
              <w:rPr>
                <w:rFonts w:eastAsia="Times New Roman" w:cs="Arial"/>
                <w:sz w:val="16"/>
                <w:szCs w:val="16"/>
                <w:lang w:eastAsia="en-GB"/>
              </w:rPr>
              <w:t></w:t>
            </w:r>
            <w:r w:rsidRPr="002454F1">
              <w:rPr>
                <w:rFonts w:eastAsia="Times New Roman" w:cs="Arial"/>
                <w:sz w:val="16"/>
                <w:szCs w:val="16"/>
                <w:lang w:eastAsia="en-GB"/>
              </w:rPr>
              <w:t></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152</w:t>
            </w:r>
            <w:r w:rsidRPr="002454F1">
              <w:rPr>
                <w:rFonts w:eastAsia="Times New Roman" w:cs="Arial"/>
                <w:sz w:val="16"/>
                <w:szCs w:val="16"/>
                <w:lang w:eastAsia="en-GB"/>
              </w:rPr>
              <w:t>Sm</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11F2</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14</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CD7</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153</w:t>
            </w:r>
            <w:r w:rsidRPr="002454F1">
              <w:rPr>
                <w:rFonts w:eastAsia="Times New Roman" w:cs="Arial"/>
                <w:sz w:val="16"/>
                <w:szCs w:val="16"/>
                <w:lang w:eastAsia="en-GB"/>
              </w:rPr>
              <w:t>Eu</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CD7-6B7</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15</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CD163</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154</w:t>
            </w:r>
            <w:r w:rsidRPr="002454F1">
              <w:rPr>
                <w:rFonts w:eastAsia="Times New Roman" w:cs="Arial"/>
                <w:sz w:val="16"/>
                <w:szCs w:val="16"/>
                <w:lang w:eastAsia="en-GB"/>
              </w:rPr>
              <w:t>Sm</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GHI/61</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16</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CD103</w:t>
            </w:r>
          </w:p>
        </w:tc>
        <w:tc>
          <w:tcPr>
            <w:tcW w:w="82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155</w:t>
            </w:r>
            <w:r w:rsidRPr="002454F1">
              <w:rPr>
                <w:rFonts w:eastAsia="Times New Roman" w:cs="Arial"/>
                <w:sz w:val="16"/>
                <w:szCs w:val="16"/>
                <w:lang w:eastAsia="en-GB"/>
              </w:rPr>
              <w:t>Gd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Ber-ACT8</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17</w:t>
            </w:r>
          </w:p>
        </w:tc>
        <w:tc>
          <w:tcPr>
            <w:tcW w:w="1067"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CRTH2</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156</w:t>
            </w:r>
            <w:r w:rsidRPr="002454F1">
              <w:rPr>
                <w:rFonts w:eastAsia="Times New Roman" w:cs="Arial"/>
                <w:sz w:val="16"/>
                <w:szCs w:val="16"/>
                <w:lang w:eastAsia="en-GB"/>
              </w:rPr>
              <w:t>Gd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BM16</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Rat</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18</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CD122</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158</w:t>
            </w:r>
            <w:r w:rsidRPr="002454F1">
              <w:rPr>
                <w:rFonts w:eastAsia="Times New Roman" w:cs="Arial"/>
                <w:sz w:val="16"/>
                <w:szCs w:val="16"/>
                <w:lang w:eastAsia="en-GB"/>
              </w:rPr>
              <w:t>Gd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TU27</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19</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CCR7</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159</w:t>
            </w:r>
            <w:r w:rsidRPr="002454F1">
              <w:rPr>
                <w:rFonts w:eastAsia="Times New Roman" w:cs="Arial"/>
                <w:sz w:val="16"/>
                <w:szCs w:val="16"/>
                <w:lang w:eastAsia="en-GB"/>
              </w:rPr>
              <w:t>Tb</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G043H7</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20</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CD14</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160</w:t>
            </w:r>
            <w:r w:rsidRPr="002454F1">
              <w:rPr>
                <w:rFonts w:eastAsia="Times New Roman" w:cs="Arial"/>
                <w:sz w:val="16"/>
                <w:szCs w:val="16"/>
                <w:lang w:eastAsia="en-GB"/>
              </w:rPr>
              <w:t>Gd</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M5E2</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21</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KLRG-1</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161</w:t>
            </w:r>
            <w:r w:rsidRPr="002454F1">
              <w:rPr>
                <w:rFonts w:eastAsia="Times New Roman" w:cs="Arial"/>
                <w:sz w:val="16"/>
                <w:szCs w:val="16"/>
                <w:lang w:eastAsia="en-GB"/>
              </w:rPr>
              <w:t>Dy</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REA261</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Miltenyi</w:t>
            </w:r>
            <w:proofErr w:type="spellEnd"/>
            <w:r w:rsidRPr="002454F1">
              <w:rPr>
                <w:rFonts w:eastAsia="Times New Roman" w:cs="Arial"/>
                <w:sz w:val="16"/>
                <w:szCs w:val="16"/>
                <w:lang w:eastAsia="en-GB"/>
              </w:rPr>
              <w:t xml:space="preserve"> Biotech</w:t>
            </w:r>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Human</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22</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CD11c</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162</w:t>
            </w:r>
            <w:r w:rsidRPr="002454F1">
              <w:rPr>
                <w:rFonts w:eastAsia="Times New Roman" w:cs="Arial"/>
                <w:sz w:val="16"/>
                <w:szCs w:val="16"/>
                <w:lang w:eastAsia="en-GB"/>
              </w:rPr>
              <w:t>Dy</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Bu15</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23</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CD20</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163</w:t>
            </w:r>
            <w:r w:rsidRPr="002454F1">
              <w:rPr>
                <w:rFonts w:eastAsia="Times New Roman" w:cs="Arial"/>
                <w:sz w:val="16"/>
                <w:szCs w:val="16"/>
                <w:lang w:eastAsia="en-GB"/>
              </w:rPr>
              <w:t>Dy</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2H7</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24</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CD161</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164</w:t>
            </w:r>
            <w:r w:rsidRPr="002454F1">
              <w:rPr>
                <w:rFonts w:eastAsia="Times New Roman" w:cs="Arial"/>
                <w:sz w:val="16"/>
                <w:szCs w:val="16"/>
                <w:lang w:eastAsia="en-GB"/>
              </w:rPr>
              <w:t>Dy</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HP-3G10</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25</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CD127</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165</w:t>
            </w:r>
            <w:r w:rsidRPr="002454F1">
              <w:rPr>
                <w:rFonts w:eastAsia="Times New Roman" w:cs="Arial"/>
                <w:sz w:val="16"/>
                <w:szCs w:val="16"/>
                <w:lang w:eastAsia="en-GB"/>
              </w:rPr>
              <w:t>Ho</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AO19D5</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26</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CD8b</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166</w:t>
            </w:r>
            <w:r w:rsidRPr="002454F1">
              <w:rPr>
                <w:rFonts w:eastAsia="Times New Roman" w:cs="Arial"/>
                <w:sz w:val="16"/>
                <w:szCs w:val="16"/>
                <w:lang w:eastAsia="en-GB"/>
              </w:rPr>
              <w:t>Er</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SIDI8BEE</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eBioscience</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27</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CD27</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167</w:t>
            </w:r>
            <w:r w:rsidRPr="002454F1">
              <w:rPr>
                <w:rFonts w:eastAsia="Times New Roman" w:cs="Arial"/>
                <w:sz w:val="16"/>
                <w:szCs w:val="16"/>
                <w:lang w:eastAsia="en-GB"/>
              </w:rPr>
              <w:t>Er</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O323</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28</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HLA-DR</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168</w:t>
            </w:r>
            <w:r w:rsidRPr="002454F1">
              <w:rPr>
                <w:rFonts w:eastAsia="Times New Roman" w:cs="Arial"/>
                <w:sz w:val="16"/>
                <w:szCs w:val="16"/>
                <w:lang w:eastAsia="en-GB"/>
              </w:rPr>
              <w:t>Er</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L243</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29</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CD45RA</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169</w:t>
            </w:r>
            <w:r w:rsidRPr="002454F1">
              <w:rPr>
                <w:rFonts w:eastAsia="Times New Roman" w:cs="Arial"/>
                <w:sz w:val="16"/>
                <w:szCs w:val="16"/>
                <w:lang w:eastAsia="en-GB"/>
              </w:rPr>
              <w:t>Tm</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HI100</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30</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CD3</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170</w:t>
            </w:r>
            <w:r w:rsidRPr="002454F1">
              <w:rPr>
                <w:rFonts w:eastAsia="Times New Roman" w:cs="Arial"/>
                <w:sz w:val="16"/>
                <w:szCs w:val="16"/>
                <w:lang w:eastAsia="en-GB"/>
              </w:rPr>
              <w:t>Er</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UCHT1</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31</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CD28</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171</w:t>
            </w:r>
            <w:r w:rsidRPr="002454F1">
              <w:rPr>
                <w:rFonts w:eastAsia="Times New Roman" w:cs="Arial"/>
                <w:sz w:val="16"/>
                <w:szCs w:val="16"/>
                <w:lang w:eastAsia="en-GB"/>
              </w:rPr>
              <w:t>Yb</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CD28,2</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32</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CD38</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172</w:t>
            </w:r>
            <w:r w:rsidRPr="002454F1">
              <w:rPr>
                <w:rFonts w:eastAsia="Times New Roman" w:cs="Arial"/>
                <w:sz w:val="16"/>
                <w:szCs w:val="16"/>
                <w:lang w:eastAsia="en-GB"/>
              </w:rPr>
              <w:t>Yb</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HIT2</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33</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CD45RO</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173</w:t>
            </w:r>
            <w:r w:rsidRPr="002454F1">
              <w:rPr>
                <w:rFonts w:eastAsia="Times New Roman" w:cs="Arial"/>
                <w:sz w:val="16"/>
                <w:szCs w:val="16"/>
                <w:lang w:eastAsia="en-GB"/>
              </w:rPr>
              <w:t>Yb</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UCHL1</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34</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NKp46</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174</w:t>
            </w:r>
            <w:r w:rsidRPr="002454F1">
              <w:rPr>
                <w:rFonts w:eastAsia="Times New Roman" w:cs="Arial"/>
                <w:sz w:val="16"/>
                <w:szCs w:val="16"/>
                <w:lang w:eastAsia="en-GB"/>
              </w:rPr>
              <w:t>Yb</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9,00E+02</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BioLegend</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35</w:t>
            </w:r>
          </w:p>
        </w:tc>
        <w:tc>
          <w:tcPr>
            <w:tcW w:w="1067"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PD-1</w:t>
            </w:r>
          </w:p>
        </w:tc>
        <w:tc>
          <w:tcPr>
            <w:tcW w:w="822" w:type="dxa"/>
            <w:tcBorders>
              <w:top w:val="nil"/>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175</w:t>
            </w:r>
            <w:r w:rsidRPr="002454F1">
              <w:rPr>
                <w:rFonts w:eastAsia="Times New Roman" w:cs="Arial"/>
                <w:sz w:val="16"/>
                <w:szCs w:val="16"/>
                <w:lang w:eastAsia="en-GB"/>
              </w:rPr>
              <w:t>Lu</w:t>
            </w:r>
          </w:p>
        </w:tc>
        <w:tc>
          <w:tcPr>
            <w:tcW w:w="1698"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EH 12,2H7</w:t>
            </w:r>
          </w:p>
        </w:tc>
        <w:tc>
          <w:tcPr>
            <w:tcW w:w="179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r w:rsidR="00D92356" w:rsidRPr="002454F1" w:rsidTr="00D92356">
        <w:trPr>
          <w:trHeight w:val="170"/>
        </w:trPr>
        <w:tc>
          <w:tcPr>
            <w:tcW w:w="549" w:type="dxa"/>
            <w:tcBorders>
              <w:top w:val="nil"/>
              <w:bottom w:val="single" w:sz="12" w:space="0" w:color="auto"/>
            </w:tcBorders>
            <w:shd w:val="clear" w:color="auto" w:fill="auto"/>
            <w:vAlign w:val="center"/>
            <w:hideMark/>
          </w:tcPr>
          <w:p w:rsidR="00D92356" w:rsidRPr="002454F1" w:rsidRDefault="00D92356" w:rsidP="00D92356">
            <w:pPr>
              <w:spacing w:after="0" w:line="240" w:lineRule="auto"/>
              <w:jc w:val="center"/>
              <w:rPr>
                <w:rFonts w:eastAsia="Times New Roman" w:cs="Arial"/>
                <w:sz w:val="16"/>
                <w:szCs w:val="16"/>
                <w:lang w:eastAsia="en-GB"/>
              </w:rPr>
            </w:pPr>
            <w:r w:rsidRPr="002454F1">
              <w:rPr>
                <w:rFonts w:eastAsia="Times New Roman" w:cs="Arial"/>
                <w:sz w:val="16"/>
                <w:szCs w:val="16"/>
                <w:lang w:eastAsia="en-GB"/>
              </w:rPr>
              <w:t>36</w:t>
            </w:r>
          </w:p>
        </w:tc>
        <w:tc>
          <w:tcPr>
            <w:tcW w:w="1067" w:type="dxa"/>
            <w:tcBorders>
              <w:top w:val="nil"/>
              <w:bottom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CD56</w:t>
            </w:r>
          </w:p>
        </w:tc>
        <w:tc>
          <w:tcPr>
            <w:tcW w:w="822" w:type="dxa"/>
            <w:tcBorders>
              <w:top w:val="nil"/>
              <w:bottom w:val="single" w:sz="12" w:space="0" w:color="auto"/>
            </w:tcBorders>
            <w:shd w:val="clear" w:color="000000" w:fill="FFFFFF"/>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vertAlign w:val="superscript"/>
                <w:lang w:eastAsia="en-GB"/>
              </w:rPr>
              <w:t>176</w:t>
            </w:r>
            <w:r w:rsidRPr="002454F1">
              <w:rPr>
                <w:rFonts w:eastAsia="Times New Roman" w:cs="Arial"/>
                <w:sz w:val="16"/>
                <w:szCs w:val="16"/>
                <w:lang w:eastAsia="en-GB"/>
              </w:rPr>
              <w:t>Yb</w:t>
            </w:r>
          </w:p>
        </w:tc>
        <w:tc>
          <w:tcPr>
            <w:tcW w:w="1698" w:type="dxa"/>
            <w:tcBorders>
              <w:top w:val="nil"/>
              <w:bottom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NCAM16,2</w:t>
            </w:r>
          </w:p>
        </w:tc>
        <w:tc>
          <w:tcPr>
            <w:tcW w:w="1792" w:type="dxa"/>
            <w:tcBorders>
              <w:top w:val="nil"/>
              <w:bottom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proofErr w:type="spellStart"/>
            <w:r w:rsidRPr="002454F1">
              <w:rPr>
                <w:rFonts w:eastAsia="Times New Roman" w:cs="Arial"/>
                <w:sz w:val="16"/>
                <w:szCs w:val="16"/>
                <w:lang w:eastAsia="en-GB"/>
              </w:rPr>
              <w:t>Fluidigm</w:t>
            </w:r>
            <w:proofErr w:type="spellEnd"/>
          </w:p>
        </w:tc>
        <w:tc>
          <w:tcPr>
            <w:tcW w:w="982" w:type="dxa"/>
            <w:tcBorders>
              <w:top w:val="nil"/>
              <w:bottom w:val="single" w:sz="12" w:space="0" w:color="auto"/>
            </w:tcBorders>
            <w:shd w:val="clear" w:color="auto" w:fill="auto"/>
            <w:vAlign w:val="center"/>
            <w:hideMark/>
          </w:tcPr>
          <w:p w:rsidR="00D92356" w:rsidRPr="002454F1" w:rsidRDefault="00D92356" w:rsidP="00D92356">
            <w:pPr>
              <w:spacing w:after="0" w:line="240" w:lineRule="auto"/>
              <w:rPr>
                <w:rFonts w:eastAsia="Times New Roman" w:cs="Arial"/>
                <w:sz w:val="16"/>
                <w:szCs w:val="16"/>
                <w:lang w:eastAsia="en-GB"/>
              </w:rPr>
            </w:pPr>
            <w:r w:rsidRPr="002454F1">
              <w:rPr>
                <w:rFonts w:eastAsia="Times New Roman" w:cs="Arial"/>
                <w:sz w:val="16"/>
                <w:szCs w:val="16"/>
                <w:lang w:eastAsia="en-GB"/>
              </w:rPr>
              <w:t>Mouse</w:t>
            </w:r>
          </w:p>
        </w:tc>
      </w:tr>
    </w:tbl>
    <w:p w:rsidR="00947B56" w:rsidRDefault="00D92356" w:rsidP="00D92356">
      <w:pPr>
        <w:spacing w:line="240" w:lineRule="auto"/>
        <w:rPr>
          <w:lang w:val="en-US"/>
        </w:rPr>
      </w:pPr>
      <w:r>
        <w:rPr>
          <w:lang w:val="en-US"/>
        </w:rPr>
        <w:t xml:space="preserve"> </w:t>
      </w:r>
    </w:p>
    <w:p w:rsidR="00947B56" w:rsidRDefault="00947B56">
      <w:pPr>
        <w:rPr>
          <w:lang w:val="en-US"/>
        </w:rPr>
      </w:pPr>
      <w:r>
        <w:rPr>
          <w:lang w:val="en-US"/>
        </w:rPr>
        <w:br w:type="page"/>
      </w:r>
    </w:p>
    <w:p w:rsidR="00D92356" w:rsidRPr="001C60C2" w:rsidRDefault="00947B56" w:rsidP="00D92356">
      <w:pPr>
        <w:spacing w:line="240" w:lineRule="auto"/>
        <w:rPr>
          <w:lang w:val="en-US"/>
        </w:rPr>
      </w:pPr>
      <w:r>
        <w:rPr>
          <w:b/>
          <w:lang w:val="en-US"/>
        </w:rPr>
        <w:lastRenderedPageBreak/>
        <w:t xml:space="preserve">Supplementary </w:t>
      </w:r>
      <w:r w:rsidRPr="00CF5556">
        <w:rPr>
          <w:b/>
          <w:lang w:val="en-US"/>
        </w:rPr>
        <w:t xml:space="preserve">Table </w:t>
      </w:r>
      <w:r>
        <w:rPr>
          <w:b/>
          <w:lang w:val="en-US"/>
        </w:rPr>
        <w:t>S3.</w:t>
      </w:r>
      <w:r w:rsidRPr="00CF5556">
        <w:rPr>
          <w:b/>
          <w:lang w:val="en-US"/>
        </w:rPr>
        <w:t xml:space="preserve"> </w:t>
      </w:r>
      <w:r w:rsidR="004A5B7D" w:rsidRPr="004A5B7D">
        <w:rPr>
          <w:lang w:val="en-US"/>
        </w:rPr>
        <w:t>Standard</w:t>
      </w:r>
      <w:r w:rsidR="004A5B7D">
        <w:rPr>
          <w:lang w:val="en-US"/>
        </w:rPr>
        <w:t xml:space="preserve"> therapy of HPV16+ OPSCC patients</w:t>
      </w:r>
    </w:p>
    <w:tbl>
      <w:tblPr>
        <w:tblW w:w="5778" w:type="dxa"/>
        <w:tblLook w:val="04A0" w:firstRow="1" w:lastRow="0" w:firstColumn="1" w:lastColumn="0" w:noHBand="0" w:noVBand="1"/>
      </w:tblPr>
      <w:tblGrid>
        <w:gridCol w:w="2376"/>
        <w:gridCol w:w="567"/>
        <w:gridCol w:w="1134"/>
        <w:gridCol w:w="567"/>
        <w:gridCol w:w="1134"/>
      </w:tblGrid>
      <w:tr w:rsidR="004A5B7D" w:rsidRPr="002454F1" w:rsidTr="00180A6B">
        <w:trPr>
          <w:trHeight w:val="170"/>
        </w:trPr>
        <w:tc>
          <w:tcPr>
            <w:tcW w:w="2376" w:type="dxa"/>
            <w:tcBorders>
              <w:top w:val="single" w:sz="12" w:space="0" w:color="auto"/>
            </w:tcBorders>
            <w:shd w:val="clear" w:color="auto" w:fill="auto"/>
            <w:vAlign w:val="center"/>
            <w:hideMark/>
          </w:tcPr>
          <w:p w:rsidR="004A5B7D" w:rsidRPr="002454F1" w:rsidRDefault="004A5B7D" w:rsidP="00136359">
            <w:pPr>
              <w:spacing w:after="0" w:line="240" w:lineRule="auto"/>
              <w:rPr>
                <w:rFonts w:ascii="Calibri" w:eastAsia="Times New Roman" w:hAnsi="Calibri" w:cs="Arial"/>
                <w:b/>
                <w:color w:val="000000"/>
                <w:sz w:val="16"/>
                <w:szCs w:val="16"/>
                <w:lang w:eastAsia="en-GB"/>
              </w:rPr>
            </w:pPr>
          </w:p>
        </w:tc>
        <w:tc>
          <w:tcPr>
            <w:tcW w:w="1701" w:type="dxa"/>
            <w:gridSpan w:val="2"/>
            <w:tcBorders>
              <w:top w:val="single" w:sz="12" w:space="0" w:color="auto"/>
            </w:tcBorders>
            <w:shd w:val="clear" w:color="auto" w:fill="auto"/>
            <w:vAlign w:val="center"/>
            <w:hideMark/>
          </w:tcPr>
          <w:p w:rsidR="004A5B7D" w:rsidRDefault="004A5B7D" w:rsidP="00947B56">
            <w:pPr>
              <w:spacing w:after="0" w:line="240" w:lineRule="auto"/>
              <w:rPr>
                <w:rFonts w:ascii="Calibri" w:eastAsia="Times New Roman" w:hAnsi="Calibri" w:cs="Arial"/>
                <w:b/>
                <w:color w:val="000000"/>
                <w:sz w:val="16"/>
                <w:szCs w:val="16"/>
                <w:lang w:eastAsia="en-GB"/>
              </w:rPr>
            </w:pPr>
            <w:r>
              <w:rPr>
                <w:rFonts w:ascii="Calibri" w:eastAsia="Times New Roman" w:hAnsi="Calibri" w:cs="Arial"/>
                <w:b/>
                <w:color w:val="000000"/>
                <w:sz w:val="16"/>
                <w:szCs w:val="16"/>
                <w:lang w:eastAsia="en-GB"/>
              </w:rPr>
              <w:t xml:space="preserve">IR- </w:t>
            </w:r>
          </w:p>
        </w:tc>
        <w:tc>
          <w:tcPr>
            <w:tcW w:w="1701" w:type="dxa"/>
            <w:gridSpan w:val="2"/>
            <w:tcBorders>
              <w:top w:val="single" w:sz="12" w:space="0" w:color="auto"/>
            </w:tcBorders>
            <w:shd w:val="clear" w:color="auto" w:fill="auto"/>
            <w:vAlign w:val="center"/>
            <w:hideMark/>
          </w:tcPr>
          <w:p w:rsidR="004A5B7D" w:rsidRDefault="004A5B7D" w:rsidP="004A5B7D">
            <w:pPr>
              <w:spacing w:after="0" w:line="240" w:lineRule="auto"/>
              <w:rPr>
                <w:rFonts w:ascii="Calibri" w:eastAsia="Times New Roman" w:hAnsi="Calibri" w:cs="Arial"/>
                <w:b/>
                <w:color w:val="000000"/>
                <w:sz w:val="16"/>
                <w:szCs w:val="16"/>
                <w:lang w:eastAsia="en-GB"/>
              </w:rPr>
            </w:pPr>
            <w:r>
              <w:rPr>
                <w:rFonts w:ascii="Calibri" w:eastAsia="Times New Roman" w:hAnsi="Calibri" w:cs="Arial"/>
                <w:b/>
                <w:color w:val="000000"/>
                <w:sz w:val="16"/>
                <w:szCs w:val="16"/>
                <w:lang w:eastAsia="en-GB"/>
              </w:rPr>
              <w:t xml:space="preserve">IR+ </w:t>
            </w:r>
          </w:p>
        </w:tc>
      </w:tr>
      <w:tr w:rsidR="004A5B7D" w:rsidRPr="002454F1" w:rsidTr="004A5B7D">
        <w:trPr>
          <w:trHeight w:val="170"/>
        </w:trPr>
        <w:tc>
          <w:tcPr>
            <w:tcW w:w="2376" w:type="dxa"/>
            <w:tcBorders>
              <w:bottom w:val="single" w:sz="12" w:space="0" w:color="auto"/>
            </w:tcBorders>
            <w:shd w:val="clear" w:color="auto" w:fill="auto"/>
            <w:vAlign w:val="center"/>
          </w:tcPr>
          <w:p w:rsidR="004A5B7D" w:rsidRPr="002454F1" w:rsidRDefault="004A5B7D" w:rsidP="00136359">
            <w:pPr>
              <w:spacing w:after="0" w:line="240" w:lineRule="auto"/>
              <w:rPr>
                <w:rFonts w:ascii="Calibri" w:eastAsia="Times New Roman" w:hAnsi="Calibri" w:cs="Arial"/>
                <w:b/>
                <w:color w:val="000000"/>
                <w:sz w:val="16"/>
                <w:szCs w:val="16"/>
                <w:lang w:eastAsia="en-GB"/>
              </w:rPr>
            </w:pPr>
          </w:p>
        </w:tc>
        <w:tc>
          <w:tcPr>
            <w:tcW w:w="567" w:type="dxa"/>
            <w:tcBorders>
              <w:bottom w:val="single" w:sz="12" w:space="0" w:color="auto"/>
            </w:tcBorders>
            <w:shd w:val="clear" w:color="auto" w:fill="auto"/>
            <w:vAlign w:val="center"/>
          </w:tcPr>
          <w:p w:rsidR="004A5B7D" w:rsidRDefault="004A5B7D" w:rsidP="00947B56">
            <w:pPr>
              <w:spacing w:after="0" w:line="240" w:lineRule="auto"/>
              <w:rPr>
                <w:rFonts w:ascii="Calibri" w:eastAsia="Times New Roman" w:hAnsi="Calibri" w:cs="Arial"/>
                <w:b/>
                <w:color w:val="000000"/>
                <w:sz w:val="16"/>
                <w:szCs w:val="16"/>
                <w:lang w:eastAsia="en-GB"/>
              </w:rPr>
            </w:pPr>
            <w:r>
              <w:rPr>
                <w:rFonts w:ascii="Calibri" w:eastAsia="Times New Roman" w:hAnsi="Calibri" w:cs="Arial"/>
                <w:b/>
                <w:color w:val="000000"/>
                <w:sz w:val="16"/>
                <w:szCs w:val="16"/>
                <w:lang w:eastAsia="en-GB"/>
              </w:rPr>
              <w:t>(n)</w:t>
            </w:r>
          </w:p>
        </w:tc>
        <w:tc>
          <w:tcPr>
            <w:tcW w:w="1134" w:type="dxa"/>
            <w:tcBorders>
              <w:bottom w:val="single" w:sz="12" w:space="0" w:color="auto"/>
            </w:tcBorders>
          </w:tcPr>
          <w:p w:rsidR="004A5B7D" w:rsidRDefault="004A5B7D" w:rsidP="00947B56">
            <w:pPr>
              <w:spacing w:after="0" w:line="240" w:lineRule="auto"/>
              <w:rPr>
                <w:rFonts w:ascii="Calibri" w:eastAsia="Times New Roman" w:hAnsi="Calibri" w:cs="Arial"/>
                <w:b/>
                <w:color w:val="000000"/>
                <w:sz w:val="16"/>
                <w:szCs w:val="16"/>
                <w:lang w:eastAsia="en-GB"/>
              </w:rPr>
            </w:pPr>
            <w:r>
              <w:rPr>
                <w:rFonts w:ascii="Calibri" w:eastAsia="Times New Roman" w:hAnsi="Calibri" w:cs="Arial"/>
                <w:b/>
                <w:color w:val="000000"/>
                <w:sz w:val="16"/>
                <w:szCs w:val="16"/>
                <w:lang w:eastAsia="en-GB"/>
              </w:rPr>
              <w:t>(%)</w:t>
            </w:r>
          </w:p>
        </w:tc>
        <w:tc>
          <w:tcPr>
            <w:tcW w:w="567" w:type="dxa"/>
            <w:tcBorders>
              <w:bottom w:val="single" w:sz="12" w:space="0" w:color="auto"/>
            </w:tcBorders>
            <w:shd w:val="clear" w:color="auto" w:fill="auto"/>
            <w:vAlign w:val="center"/>
          </w:tcPr>
          <w:p w:rsidR="004A5B7D" w:rsidRDefault="004A5B7D" w:rsidP="00136359">
            <w:pPr>
              <w:spacing w:after="0" w:line="240" w:lineRule="auto"/>
              <w:rPr>
                <w:rFonts w:ascii="Calibri" w:eastAsia="Times New Roman" w:hAnsi="Calibri" w:cs="Arial"/>
                <w:b/>
                <w:color w:val="000000"/>
                <w:sz w:val="16"/>
                <w:szCs w:val="16"/>
                <w:lang w:eastAsia="en-GB"/>
              </w:rPr>
            </w:pPr>
            <w:r>
              <w:rPr>
                <w:rFonts w:ascii="Calibri" w:eastAsia="Times New Roman" w:hAnsi="Calibri" w:cs="Arial"/>
                <w:b/>
                <w:color w:val="000000"/>
                <w:sz w:val="16"/>
                <w:szCs w:val="16"/>
                <w:lang w:eastAsia="en-GB"/>
              </w:rPr>
              <w:t>(n)</w:t>
            </w:r>
          </w:p>
        </w:tc>
        <w:tc>
          <w:tcPr>
            <w:tcW w:w="1134" w:type="dxa"/>
            <w:tcBorders>
              <w:bottom w:val="single" w:sz="12" w:space="0" w:color="auto"/>
            </w:tcBorders>
          </w:tcPr>
          <w:p w:rsidR="004A5B7D" w:rsidRDefault="004A5B7D" w:rsidP="00136359">
            <w:pPr>
              <w:spacing w:after="0" w:line="240" w:lineRule="auto"/>
              <w:rPr>
                <w:rFonts w:ascii="Calibri" w:eastAsia="Times New Roman" w:hAnsi="Calibri" w:cs="Arial"/>
                <w:b/>
                <w:color w:val="000000"/>
                <w:sz w:val="16"/>
                <w:szCs w:val="16"/>
                <w:lang w:eastAsia="en-GB"/>
              </w:rPr>
            </w:pPr>
            <w:r>
              <w:rPr>
                <w:rFonts w:ascii="Calibri" w:eastAsia="Times New Roman" w:hAnsi="Calibri" w:cs="Arial"/>
                <w:b/>
                <w:color w:val="000000"/>
                <w:sz w:val="16"/>
                <w:szCs w:val="16"/>
                <w:lang w:eastAsia="en-GB"/>
              </w:rPr>
              <w:t>(%)</w:t>
            </w:r>
          </w:p>
        </w:tc>
      </w:tr>
      <w:tr w:rsidR="004A5B7D" w:rsidRPr="002454F1" w:rsidTr="004A5B7D">
        <w:trPr>
          <w:trHeight w:val="170"/>
        </w:trPr>
        <w:tc>
          <w:tcPr>
            <w:tcW w:w="2376" w:type="dxa"/>
            <w:tcBorders>
              <w:top w:val="single" w:sz="12" w:space="0" w:color="auto"/>
            </w:tcBorders>
            <w:shd w:val="clear" w:color="auto" w:fill="auto"/>
            <w:vAlign w:val="center"/>
            <w:hideMark/>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Total</w:t>
            </w:r>
          </w:p>
        </w:tc>
        <w:tc>
          <w:tcPr>
            <w:tcW w:w="567" w:type="dxa"/>
            <w:tcBorders>
              <w:top w:val="single" w:sz="12" w:space="0" w:color="auto"/>
            </w:tcBorders>
            <w:shd w:val="clear" w:color="auto" w:fill="auto"/>
            <w:vAlign w:val="center"/>
            <w:hideMark/>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16</w:t>
            </w:r>
          </w:p>
        </w:tc>
        <w:tc>
          <w:tcPr>
            <w:tcW w:w="1134" w:type="dxa"/>
            <w:tcBorders>
              <w:top w:val="single" w:sz="12" w:space="0" w:color="auto"/>
            </w:tcBorders>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(100%)</w:t>
            </w:r>
          </w:p>
        </w:tc>
        <w:tc>
          <w:tcPr>
            <w:tcW w:w="567" w:type="dxa"/>
            <w:tcBorders>
              <w:top w:val="single" w:sz="12" w:space="0" w:color="auto"/>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29</w:t>
            </w:r>
          </w:p>
        </w:tc>
        <w:tc>
          <w:tcPr>
            <w:tcW w:w="1134" w:type="dxa"/>
            <w:tcBorders>
              <w:top w:val="single" w:sz="12" w:space="0" w:color="auto"/>
            </w:tcBorders>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(100%)</w:t>
            </w:r>
          </w:p>
        </w:tc>
      </w:tr>
      <w:tr w:rsidR="004A5B7D" w:rsidRPr="002454F1" w:rsidTr="004A5B7D">
        <w:trPr>
          <w:trHeight w:val="170"/>
        </w:trPr>
        <w:tc>
          <w:tcPr>
            <w:tcW w:w="2376" w:type="dxa"/>
            <w:tcBorders>
              <w:top w:val="nil"/>
            </w:tcBorders>
            <w:shd w:val="clear" w:color="auto" w:fill="auto"/>
            <w:vAlign w:val="center"/>
            <w:hideMark/>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RT</w:t>
            </w:r>
          </w:p>
        </w:tc>
        <w:tc>
          <w:tcPr>
            <w:tcW w:w="567" w:type="dxa"/>
            <w:tcBorders>
              <w:top w:val="nil"/>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9</w:t>
            </w:r>
          </w:p>
        </w:tc>
        <w:tc>
          <w:tcPr>
            <w:tcW w:w="1134" w:type="dxa"/>
            <w:tcBorders>
              <w:top w:val="nil"/>
            </w:tcBorders>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(56.2%)</w:t>
            </w:r>
          </w:p>
        </w:tc>
        <w:tc>
          <w:tcPr>
            <w:tcW w:w="567" w:type="dxa"/>
            <w:tcBorders>
              <w:top w:val="nil"/>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17</w:t>
            </w:r>
          </w:p>
        </w:tc>
        <w:tc>
          <w:tcPr>
            <w:tcW w:w="1134" w:type="dxa"/>
            <w:tcBorders>
              <w:top w:val="nil"/>
            </w:tcBorders>
          </w:tcPr>
          <w:p w:rsidR="004A5B7D" w:rsidRPr="002454F1" w:rsidRDefault="004A5B7D" w:rsidP="004A5B7D">
            <w:pPr>
              <w:spacing w:after="0" w:line="240" w:lineRule="auto"/>
              <w:rPr>
                <w:rFonts w:eastAsia="Times New Roman" w:cs="Arial"/>
                <w:sz w:val="16"/>
                <w:szCs w:val="16"/>
                <w:lang w:eastAsia="en-GB"/>
              </w:rPr>
            </w:pPr>
            <w:r>
              <w:rPr>
                <w:rFonts w:eastAsia="Times New Roman" w:cs="Arial"/>
                <w:sz w:val="16"/>
                <w:szCs w:val="16"/>
                <w:lang w:eastAsia="en-GB"/>
              </w:rPr>
              <w:t>(58.7%)</w:t>
            </w:r>
          </w:p>
        </w:tc>
      </w:tr>
      <w:tr w:rsidR="004A5B7D" w:rsidRPr="002454F1" w:rsidTr="004A5B7D">
        <w:trPr>
          <w:trHeight w:val="170"/>
        </w:trPr>
        <w:tc>
          <w:tcPr>
            <w:tcW w:w="2376" w:type="dxa"/>
            <w:tcBorders>
              <w:top w:val="nil"/>
            </w:tcBorders>
            <w:shd w:val="clear" w:color="auto" w:fill="auto"/>
            <w:vAlign w:val="center"/>
            <w:hideMark/>
          </w:tcPr>
          <w:p w:rsidR="004A5B7D" w:rsidRPr="002454F1" w:rsidRDefault="004A5B7D" w:rsidP="004A5B7D">
            <w:pPr>
              <w:spacing w:after="0" w:line="240" w:lineRule="auto"/>
              <w:rPr>
                <w:rFonts w:eastAsia="Times New Roman" w:cs="Arial"/>
                <w:sz w:val="16"/>
                <w:szCs w:val="16"/>
                <w:lang w:eastAsia="en-GB"/>
              </w:rPr>
            </w:pPr>
            <w:r w:rsidRPr="002454F1">
              <w:rPr>
                <w:rFonts w:eastAsia="Times New Roman" w:cs="Arial"/>
                <w:sz w:val="16"/>
                <w:szCs w:val="16"/>
                <w:lang w:eastAsia="en-GB"/>
              </w:rPr>
              <w:t>C</w:t>
            </w:r>
            <w:r>
              <w:rPr>
                <w:rFonts w:eastAsia="Times New Roman" w:cs="Arial"/>
                <w:sz w:val="16"/>
                <w:szCs w:val="16"/>
                <w:lang w:eastAsia="en-GB"/>
              </w:rPr>
              <w:t>H+RT</w:t>
            </w:r>
          </w:p>
        </w:tc>
        <w:tc>
          <w:tcPr>
            <w:tcW w:w="567" w:type="dxa"/>
            <w:tcBorders>
              <w:top w:val="nil"/>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2</w:t>
            </w:r>
          </w:p>
        </w:tc>
        <w:tc>
          <w:tcPr>
            <w:tcW w:w="1134" w:type="dxa"/>
            <w:tcBorders>
              <w:top w:val="nil"/>
            </w:tcBorders>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(12.5%)</w:t>
            </w:r>
          </w:p>
        </w:tc>
        <w:tc>
          <w:tcPr>
            <w:tcW w:w="567" w:type="dxa"/>
            <w:tcBorders>
              <w:top w:val="nil"/>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3</w:t>
            </w:r>
          </w:p>
        </w:tc>
        <w:tc>
          <w:tcPr>
            <w:tcW w:w="1134" w:type="dxa"/>
            <w:tcBorders>
              <w:top w:val="nil"/>
            </w:tcBorders>
          </w:tcPr>
          <w:p w:rsidR="004A5B7D" w:rsidRPr="002454F1" w:rsidRDefault="004A5B7D" w:rsidP="004A5B7D">
            <w:pPr>
              <w:spacing w:after="0" w:line="240" w:lineRule="auto"/>
              <w:rPr>
                <w:rFonts w:eastAsia="Times New Roman" w:cs="Arial"/>
                <w:sz w:val="16"/>
                <w:szCs w:val="16"/>
                <w:lang w:eastAsia="en-GB"/>
              </w:rPr>
            </w:pPr>
            <w:r>
              <w:rPr>
                <w:rFonts w:eastAsia="Times New Roman" w:cs="Arial"/>
                <w:sz w:val="16"/>
                <w:szCs w:val="16"/>
                <w:lang w:eastAsia="en-GB"/>
              </w:rPr>
              <w:t>(10.3%)</w:t>
            </w:r>
          </w:p>
        </w:tc>
      </w:tr>
      <w:tr w:rsidR="004A5B7D" w:rsidRPr="002454F1" w:rsidTr="004A5B7D">
        <w:trPr>
          <w:trHeight w:val="170"/>
        </w:trPr>
        <w:tc>
          <w:tcPr>
            <w:tcW w:w="2376" w:type="dxa"/>
            <w:tcBorders>
              <w:top w:val="nil"/>
            </w:tcBorders>
            <w:shd w:val="clear" w:color="auto" w:fill="auto"/>
            <w:vAlign w:val="center"/>
            <w:hideMark/>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SUR+RT</w:t>
            </w:r>
          </w:p>
        </w:tc>
        <w:tc>
          <w:tcPr>
            <w:tcW w:w="567" w:type="dxa"/>
            <w:tcBorders>
              <w:top w:val="nil"/>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2</w:t>
            </w:r>
          </w:p>
        </w:tc>
        <w:tc>
          <w:tcPr>
            <w:tcW w:w="1134" w:type="dxa"/>
            <w:tcBorders>
              <w:top w:val="nil"/>
            </w:tcBorders>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(12.5%)</w:t>
            </w:r>
          </w:p>
        </w:tc>
        <w:tc>
          <w:tcPr>
            <w:tcW w:w="567" w:type="dxa"/>
            <w:tcBorders>
              <w:top w:val="nil"/>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3</w:t>
            </w:r>
          </w:p>
        </w:tc>
        <w:tc>
          <w:tcPr>
            <w:tcW w:w="1134" w:type="dxa"/>
            <w:tcBorders>
              <w:top w:val="nil"/>
            </w:tcBorders>
          </w:tcPr>
          <w:p w:rsidR="004A5B7D" w:rsidRPr="002454F1" w:rsidRDefault="004A5B7D" w:rsidP="004A5B7D">
            <w:pPr>
              <w:spacing w:after="0" w:line="240" w:lineRule="auto"/>
              <w:rPr>
                <w:rFonts w:eastAsia="Times New Roman" w:cs="Arial"/>
                <w:sz w:val="16"/>
                <w:szCs w:val="16"/>
                <w:lang w:eastAsia="en-GB"/>
              </w:rPr>
            </w:pPr>
            <w:r>
              <w:rPr>
                <w:rFonts w:eastAsia="Times New Roman" w:cs="Arial"/>
                <w:sz w:val="16"/>
                <w:szCs w:val="16"/>
                <w:lang w:eastAsia="en-GB"/>
              </w:rPr>
              <w:t>(10.3%)</w:t>
            </w:r>
          </w:p>
        </w:tc>
      </w:tr>
      <w:tr w:rsidR="004A5B7D" w:rsidRPr="002454F1" w:rsidTr="004A5B7D">
        <w:trPr>
          <w:trHeight w:val="170"/>
        </w:trPr>
        <w:tc>
          <w:tcPr>
            <w:tcW w:w="2376" w:type="dxa"/>
            <w:tcBorders>
              <w:top w:val="nil"/>
              <w:bottom w:val="single" w:sz="12" w:space="0" w:color="auto"/>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 xml:space="preserve">LN </w:t>
            </w:r>
            <w:proofErr w:type="spellStart"/>
            <w:r>
              <w:rPr>
                <w:rFonts w:eastAsia="Times New Roman" w:cs="Arial"/>
                <w:sz w:val="16"/>
                <w:szCs w:val="16"/>
                <w:lang w:eastAsia="en-GB"/>
              </w:rPr>
              <w:t>resection+RT</w:t>
            </w:r>
            <w:proofErr w:type="spellEnd"/>
          </w:p>
        </w:tc>
        <w:tc>
          <w:tcPr>
            <w:tcW w:w="567" w:type="dxa"/>
            <w:tcBorders>
              <w:top w:val="nil"/>
              <w:bottom w:val="single" w:sz="12" w:space="0" w:color="auto"/>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3</w:t>
            </w:r>
          </w:p>
        </w:tc>
        <w:tc>
          <w:tcPr>
            <w:tcW w:w="1134" w:type="dxa"/>
            <w:tcBorders>
              <w:top w:val="nil"/>
              <w:bottom w:val="single" w:sz="12" w:space="0" w:color="auto"/>
            </w:tcBorders>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(18.8%)</w:t>
            </w:r>
          </w:p>
        </w:tc>
        <w:tc>
          <w:tcPr>
            <w:tcW w:w="567" w:type="dxa"/>
            <w:tcBorders>
              <w:top w:val="nil"/>
              <w:bottom w:val="single" w:sz="12" w:space="0" w:color="auto"/>
            </w:tcBorders>
            <w:shd w:val="clear" w:color="auto" w:fill="auto"/>
            <w:vAlign w:val="center"/>
          </w:tcPr>
          <w:p w:rsidR="004A5B7D" w:rsidRPr="002454F1" w:rsidRDefault="004A5B7D" w:rsidP="00136359">
            <w:pPr>
              <w:spacing w:after="0" w:line="240" w:lineRule="auto"/>
              <w:rPr>
                <w:rFonts w:eastAsia="Times New Roman" w:cs="Arial"/>
                <w:sz w:val="16"/>
                <w:szCs w:val="16"/>
                <w:lang w:eastAsia="en-GB"/>
              </w:rPr>
            </w:pPr>
            <w:r>
              <w:rPr>
                <w:rFonts w:eastAsia="Times New Roman" w:cs="Arial"/>
                <w:sz w:val="16"/>
                <w:szCs w:val="16"/>
                <w:lang w:eastAsia="en-GB"/>
              </w:rPr>
              <w:t>6</w:t>
            </w:r>
          </w:p>
        </w:tc>
        <w:tc>
          <w:tcPr>
            <w:tcW w:w="1134" w:type="dxa"/>
            <w:tcBorders>
              <w:top w:val="nil"/>
              <w:bottom w:val="single" w:sz="12" w:space="0" w:color="auto"/>
            </w:tcBorders>
          </w:tcPr>
          <w:p w:rsidR="004A5B7D" w:rsidRPr="002454F1" w:rsidRDefault="004A5B7D" w:rsidP="004A5B7D">
            <w:pPr>
              <w:spacing w:after="0" w:line="240" w:lineRule="auto"/>
              <w:rPr>
                <w:rFonts w:eastAsia="Times New Roman" w:cs="Arial"/>
                <w:sz w:val="16"/>
                <w:szCs w:val="16"/>
                <w:lang w:eastAsia="en-GB"/>
              </w:rPr>
            </w:pPr>
            <w:r>
              <w:rPr>
                <w:rFonts w:eastAsia="Times New Roman" w:cs="Arial"/>
                <w:sz w:val="16"/>
                <w:szCs w:val="16"/>
                <w:lang w:eastAsia="en-GB"/>
              </w:rPr>
              <w:t>(20.7%)</w:t>
            </w:r>
          </w:p>
        </w:tc>
      </w:tr>
    </w:tbl>
    <w:p w:rsidR="00947B56" w:rsidRPr="004A5B7D" w:rsidRDefault="004A5B7D" w:rsidP="00C63A96">
      <w:pPr>
        <w:spacing w:line="480" w:lineRule="auto"/>
        <w:rPr>
          <w:sz w:val="18"/>
          <w:szCs w:val="18"/>
        </w:rPr>
      </w:pPr>
      <w:r>
        <w:rPr>
          <w:sz w:val="18"/>
          <w:szCs w:val="18"/>
        </w:rPr>
        <w:t>RT, radiotherapy</w:t>
      </w:r>
      <w:r w:rsidR="006755EB">
        <w:rPr>
          <w:sz w:val="18"/>
          <w:szCs w:val="18"/>
        </w:rPr>
        <w:t xml:space="preserve"> (up to 70 </w:t>
      </w:r>
      <w:proofErr w:type="spellStart"/>
      <w:r w:rsidR="006755EB">
        <w:rPr>
          <w:sz w:val="18"/>
          <w:szCs w:val="18"/>
        </w:rPr>
        <w:t>Gy</w:t>
      </w:r>
      <w:proofErr w:type="spellEnd"/>
      <w:r w:rsidR="006755EB">
        <w:rPr>
          <w:sz w:val="18"/>
          <w:szCs w:val="18"/>
        </w:rPr>
        <w:t>)</w:t>
      </w:r>
      <w:r>
        <w:rPr>
          <w:sz w:val="18"/>
          <w:szCs w:val="18"/>
        </w:rPr>
        <w:t>. CH, chemotherapy</w:t>
      </w:r>
      <w:r w:rsidR="006755EB">
        <w:rPr>
          <w:sz w:val="18"/>
          <w:szCs w:val="18"/>
        </w:rPr>
        <w:t xml:space="preserve"> consisting of cisplatin</w:t>
      </w:r>
      <w:r>
        <w:rPr>
          <w:sz w:val="18"/>
          <w:szCs w:val="18"/>
        </w:rPr>
        <w:t>. SUR+RT, surgery followed by RT.</w:t>
      </w:r>
    </w:p>
    <w:sectPr w:rsidR="00947B56" w:rsidRPr="004A5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96"/>
    <w:rsid w:val="003047B2"/>
    <w:rsid w:val="00317908"/>
    <w:rsid w:val="00332080"/>
    <w:rsid w:val="0040080D"/>
    <w:rsid w:val="0044367C"/>
    <w:rsid w:val="004A5B7D"/>
    <w:rsid w:val="005552E4"/>
    <w:rsid w:val="00653712"/>
    <w:rsid w:val="006754C6"/>
    <w:rsid w:val="006755EB"/>
    <w:rsid w:val="006D42B2"/>
    <w:rsid w:val="0094482A"/>
    <w:rsid w:val="00947B56"/>
    <w:rsid w:val="00A3420A"/>
    <w:rsid w:val="00A653BA"/>
    <w:rsid w:val="00B438AF"/>
    <w:rsid w:val="00C63A96"/>
    <w:rsid w:val="00D92356"/>
    <w:rsid w:val="00DD42E3"/>
    <w:rsid w:val="00DF2C6D"/>
    <w:rsid w:val="00E6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A96"/>
    <w:rPr>
      <w:sz w:val="16"/>
      <w:szCs w:val="16"/>
    </w:rPr>
  </w:style>
  <w:style w:type="paragraph" w:styleId="CommentText">
    <w:name w:val="annotation text"/>
    <w:basedOn w:val="Normal"/>
    <w:link w:val="CommentTextChar"/>
    <w:uiPriority w:val="99"/>
    <w:unhideWhenUsed/>
    <w:rsid w:val="00C63A96"/>
    <w:pPr>
      <w:spacing w:line="240" w:lineRule="auto"/>
    </w:pPr>
    <w:rPr>
      <w:sz w:val="20"/>
      <w:szCs w:val="20"/>
    </w:rPr>
  </w:style>
  <w:style w:type="character" w:customStyle="1" w:styleId="CommentTextChar">
    <w:name w:val="Comment Text Char"/>
    <w:basedOn w:val="DefaultParagraphFont"/>
    <w:link w:val="CommentText"/>
    <w:uiPriority w:val="99"/>
    <w:rsid w:val="00C63A96"/>
    <w:rPr>
      <w:sz w:val="20"/>
      <w:szCs w:val="20"/>
    </w:rPr>
  </w:style>
  <w:style w:type="character" w:styleId="Hyperlink">
    <w:name w:val="Hyperlink"/>
    <w:basedOn w:val="DefaultParagraphFont"/>
    <w:uiPriority w:val="99"/>
    <w:unhideWhenUsed/>
    <w:rsid w:val="00C63A96"/>
    <w:rPr>
      <w:color w:val="0000FF" w:themeColor="hyperlink"/>
      <w:u w:val="single"/>
    </w:rPr>
  </w:style>
  <w:style w:type="character" w:customStyle="1" w:styleId="current-selection">
    <w:name w:val="current-selection"/>
    <w:basedOn w:val="DefaultParagraphFont"/>
    <w:rsid w:val="00C63A96"/>
  </w:style>
  <w:style w:type="character" w:customStyle="1" w:styleId="a">
    <w:name w:val="_"/>
    <w:basedOn w:val="DefaultParagraphFont"/>
    <w:rsid w:val="00C63A96"/>
  </w:style>
  <w:style w:type="character" w:styleId="Strong">
    <w:name w:val="Strong"/>
    <w:basedOn w:val="DefaultParagraphFont"/>
    <w:uiPriority w:val="22"/>
    <w:qFormat/>
    <w:rsid w:val="00C63A96"/>
    <w:rPr>
      <w:b/>
      <w:bCs/>
    </w:rPr>
  </w:style>
  <w:style w:type="paragraph" w:styleId="BalloonText">
    <w:name w:val="Balloon Text"/>
    <w:basedOn w:val="Normal"/>
    <w:link w:val="BalloonTextChar"/>
    <w:uiPriority w:val="99"/>
    <w:semiHidden/>
    <w:unhideWhenUsed/>
    <w:rsid w:val="00C6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080D"/>
    <w:rPr>
      <w:b/>
      <w:bCs/>
    </w:rPr>
  </w:style>
  <w:style w:type="character" w:customStyle="1" w:styleId="CommentSubjectChar">
    <w:name w:val="Comment Subject Char"/>
    <w:basedOn w:val="CommentTextChar"/>
    <w:link w:val="CommentSubject"/>
    <w:uiPriority w:val="99"/>
    <w:semiHidden/>
    <w:rsid w:val="0040080D"/>
    <w:rPr>
      <w:b/>
      <w:bCs/>
      <w:sz w:val="20"/>
      <w:szCs w:val="20"/>
    </w:rPr>
  </w:style>
  <w:style w:type="table" w:styleId="TableGrid">
    <w:name w:val="Table Grid"/>
    <w:basedOn w:val="TableNormal"/>
    <w:uiPriority w:val="59"/>
    <w:rsid w:val="00D923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rsid w:val="00D92356"/>
    <w:pPr>
      <w:widowControl w:val="0"/>
      <w:spacing w:before="40" w:after="40" w:line="240" w:lineRule="auto"/>
    </w:pPr>
    <w:rPr>
      <w:rFonts w:ascii="Arial" w:eastAsia="Times New Roman" w:hAnsi="Arial" w:cs="Times New Roman"/>
      <w:sz w:val="16"/>
      <w:szCs w:val="20"/>
      <w:lang w:val="en-US"/>
    </w:rPr>
  </w:style>
  <w:style w:type="paragraph" w:customStyle="1" w:styleId="EndNoteBibliography">
    <w:name w:val="EndNote Bibliography"/>
    <w:basedOn w:val="Normal"/>
    <w:link w:val="EndNoteBibliographyChar"/>
    <w:rsid w:val="00D92356"/>
    <w:pPr>
      <w:spacing w:line="240" w:lineRule="auto"/>
    </w:pPr>
    <w:rPr>
      <w:rFonts w:ascii="Calibri" w:eastAsia="Arial Unicode MS" w:hAnsi="Calibri" w:cs="Arial Unicode MS"/>
      <w:noProof/>
      <w:lang w:val="en-US"/>
    </w:rPr>
  </w:style>
  <w:style w:type="character" w:customStyle="1" w:styleId="EndNoteBibliographyChar">
    <w:name w:val="EndNote Bibliography Char"/>
    <w:basedOn w:val="DefaultParagraphFont"/>
    <w:link w:val="EndNoteBibliography"/>
    <w:rsid w:val="00D92356"/>
    <w:rPr>
      <w:rFonts w:ascii="Calibri" w:eastAsia="Arial Unicode MS" w:hAnsi="Calibri" w:cs="Arial Unicode MS"/>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A96"/>
    <w:rPr>
      <w:sz w:val="16"/>
      <w:szCs w:val="16"/>
    </w:rPr>
  </w:style>
  <w:style w:type="paragraph" w:styleId="CommentText">
    <w:name w:val="annotation text"/>
    <w:basedOn w:val="Normal"/>
    <w:link w:val="CommentTextChar"/>
    <w:uiPriority w:val="99"/>
    <w:unhideWhenUsed/>
    <w:rsid w:val="00C63A96"/>
    <w:pPr>
      <w:spacing w:line="240" w:lineRule="auto"/>
    </w:pPr>
    <w:rPr>
      <w:sz w:val="20"/>
      <w:szCs w:val="20"/>
    </w:rPr>
  </w:style>
  <w:style w:type="character" w:customStyle="1" w:styleId="CommentTextChar">
    <w:name w:val="Comment Text Char"/>
    <w:basedOn w:val="DefaultParagraphFont"/>
    <w:link w:val="CommentText"/>
    <w:uiPriority w:val="99"/>
    <w:rsid w:val="00C63A96"/>
    <w:rPr>
      <w:sz w:val="20"/>
      <w:szCs w:val="20"/>
    </w:rPr>
  </w:style>
  <w:style w:type="character" w:styleId="Hyperlink">
    <w:name w:val="Hyperlink"/>
    <w:basedOn w:val="DefaultParagraphFont"/>
    <w:uiPriority w:val="99"/>
    <w:unhideWhenUsed/>
    <w:rsid w:val="00C63A96"/>
    <w:rPr>
      <w:color w:val="0000FF" w:themeColor="hyperlink"/>
      <w:u w:val="single"/>
    </w:rPr>
  </w:style>
  <w:style w:type="character" w:customStyle="1" w:styleId="current-selection">
    <w:name w:val="current-selection"/>
    <w:basedOn w:val="DefaultParagraphFont"/>
    <w:rsid w:val="00C63A96"/>
  </w:style>
  <w:style w:type="character" w:customStyle="1" w:styleId="a">
    <w:name w:val="_"/>
    <w:basedOn w:val="DefaultParagraphFont"/>
    <w:rsid w:val="00C63A96"/>
  </w:style>
  <w:style w:type="character" w:styleId="Strong">
    <w:name w:val="Strong"/>
    <w:basedOn w:val="DefaultParagraphFont"/>
    <w:uiPriority w:val="22"/>
    <w:qFormat/>
    <w:rsid w:val="00C63A96"/>
    <w:rPr>
      <w:b/>
      <w:bCs/>
    </w:rPr>
  </w:style>
  <w:style w:type="paragraph" w:styleId="BalloonText">
    <w:name w:val="Balloon Text"/>
    <w:basedOn w:val="Normal"/>
    <w:link w:val="BalloonTextChar"/>
    <w:uiPriority w:val="99"/>
    <w:semiHidden/>
    <w:unhideWhenUsed/>
    <w:rsid w:val="00C6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080D"/>
    <w:rPr>
      <w:b/>
      <w:bCs/>
    </w:rPr>
  </w:style>
  <w:style w:type="character" w:customStyle="1" w:styleId="CommentSubjectChar">
    <w:name w:val="Comment Subject Char"/>
    <w:basedOn w:val="CommentTextChar"/>
    <w:link w:val="CommentSubject"/>
    <w:uiPriority w:val="99"/>
    <w:semiHidden/>
    <w:rsid w:val="0040080D"/>
    <w:rPr>
      <w:b/>
      <w:bCs/>
      <w:sz w:val="20"/>
      <w:szCs w:val="20"/>
    </w:rPr>
  </w:style>
  <w:style w:type="table" w:styleId="TableGrid">
    <w:name w:val="Table Grid"/>
    <w:basedOn w:val="TableNormal"/>
    <w:uiPriority w:val="59"/>
    <w:rsid w:val="00D923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rsid w:val="00D92356"/>
    <w:pPr>
      <w:widowControl w:val="0"/>
      <w:spacing w:before="40" w:after="40" w:line="240" w:lineRule="auto"/>
    </w:pPr>
    <w:rPr>
      <w:rFonts w:ascii="Arial" w:eastAsia="Times New Roman" w:hAnsi="Arial" w:cs="Times New Roman"/>
      <w:sz w:val="16"/>
      <w:szCs w:val="20"/>
      <w:lang w:val="en-US"/>
    </w:rPr>
  </w:style>
  <w:style w:type="paragraph" w:customStyle="1" w:styleId="EndNoteBibliography">
    <w:name w:val="EndNote Bibliography"/>
    <w:basedOn w:val="Normal"/>
    <w:link w:val="EndNoteBibliographyChar"/>
    <w:rsid w:val="00D92356"/>
    <w:pPr>
      <w:spacing w:line="240" w:lineRule="auto"/>
    </w:pPr>
    <w:rPr>
      <w:rFonts w:ascii="Calibri" w:eastAsia="Arial Unicode MS" w:hAnsi="Calibri" w:cs="Arial Unicode MS"/>
      <w:noProof/>
      <w:lang w:val="en-US"/>
    </w:rPr>
  </w:style>
  <w:style w:type="character" w:customStyle="1" w:styleId="EndNoteBibliographyChar">
    <w:name w:val="EndNote Bibliography Char"/>
    <w:basedOn w:val="DefaultParagraphFont"/>
    <w:link w:val="EndNoteBibliography"/>
    <w:rsid w:val="00D92356"/>
    <w:rPr>
      <w:rFonts w:ascii="Calibri" w:eastAsia="Arial Unicode MS" w:hAnsi="Calibri" w:cs="Arial Unicode M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mt.eu/workgroups/c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C3C5-315F-4E6A-9837-6477453F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7DD5701E</Template>
  <TotalTime>0</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Schoenmaekers-Welters, M.J.P. (ONCO)</dc:creator>
  <cp:lastModifiedBy>Schoenmaekers-Welters, M.J.P. (ONCO)</cp:lastModifiedBy>
  <cp:revision>2</cp:revision>
  <dcterms:created xsi:type="dcterms:W3CDTF">2017-09-15T13:12:00Z</dcterms:created>
  <dcterms:modified xsi:type="dcterms:W3CDTF">2017-09-15T13:12:00Z</dcterms:modified>
</cp:coreProperties>
</file>