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ED3F75" w14:textId="77777777" w:rsidR="00B0178B" w:rsidRDefault="00B0178B" w:rsidP="00B0178B">
      <w:pPr>
        <w:spacing w:line="360" w:lineRule="auto"/>
        <w:jc w:val="both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Supplemental Figures</w:t>
      </w:r>
    </w:p>
    <w:p w14:paraId="40A85BD2" w14:textId="77777777" w:rsidR="00B0178B" w:rsidRDefault="00B0178B" w:rsidP="00B0178B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Supplemental Figure 1.</w:t>
      </w:r>
    </w:p>
    <w:p w14:paraId="15D76BEC" w14:textId="77777777" w:rsidR="00B0178B" w:rsidRDefault="00B0178B" w:rsidP="00B0178B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  <w:r w:rsidRPr="00FC5D79">
        <w:rPr>
          <w:noProof/>
        </w:rPr>
        <w:drawing>
          <wp:inline distT="0" distB="0" distL="0" distR="0" wp14:anchorId="61B8DA39" wp14:editId="0B989F8A">
            <wp:extent cx="6498076" cy="8572597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07045" cy="858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3EE0B" w14:textId="77777777" w:rsidR="00B0178B" w:rsidRDefault="00B0178B" w:rsidP="00B0178B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Supplemental </w:t>
      </w:r>
      <w:r w:rsidRPr="00C656A6">
        <w:rPr>
          <w:rFonts w:ascii="Arial" w:hAnsi="Arial" w:cs="Arial"/>
          <w:b/>
          <w:sz w:val="22"/>
          <w:szCs w:val="22"/>
        </w:rPr>
        <w:t xml:space="preserve">Figure </w:t>
      </w:r>
      <w:r>
        <w:rPr>
          <w:rFonts w:ascii="Arial" w:hAnsi="Arial" w:cs="Arial"/>
          <w:b/>
          <w:sz w:val="22"/>
          <w:szCs w:val="22"/>
        </w:rPr>
        <w:t>1</w:t>
      </w:r>
      <w:r w:rsidRPr="00C656A6">
        <w:rPr>
          <w:rFonts w:ascii="Arial" w:hAnsi="Arial" w:cs="Arial"/>
          <w:b/>
          <w:sz w:val="22"/>
          <w:szCs w:val="22"/>
        </w:rPr>
        <w:t xml:space="preserve">. </w:t>
      </w:r>
      <w:r w:rsidRPr="00031606">
        <w:rPr>
          <w:rFonts w:ascii="Arial" w:hAnsi="Arial" w:cs="Arial"/>
          <w:b/>
          <w:sz w:val="22"/>
          <w:szCs w:val="22"/>
        </w:rPr>
        <w:t xml:space="preserve">Changes in Gene Expression After Nivolumab Therapy Differ Based on Patient Outcome and </w:t>
      </w:r>
      <w:r>
        <w:rPr>
          <w:rFonts w:ascii="Arial" w:hAnsi="Arial" w:cs="Arial"/>
          <w:b/>
          <w:sz w:val="22"/>
          <w:szCs w:val="22"/>
        </w:rPr>
        <w:t>T-cell Subset</w:t>
      </w:r>
      <w:r w:rsidRPr="00C656A6">
        <w:rPr>
          <w:rFonts w:ascii="Arial" w:hAnsi="Arial" w:cs="Arial"/>
          <w:b/>
          <w:sz w:val="22"/>
          <w:szCs w:val="22"/>
        </w:rPr>
        <w:t xml:space="preserve">. </w:t>
      </w:r>
      <w:r w:rsidRPr="005E1C15">
        <w:rPr>
          <w:rFonts w:ascii="Arial" w:hAnsi="Arial" w:cs="Arial"/>
          <w:b/>
          <w:sz w:val="22"/>
          <w:szCs w:val="22"/>
        </w:rPr>
        <w:t>(A)</w:t>
      </w:r>
      <w:r>
        <w:rPr>
          <w:rFonts w:ascii="Arial" w:hAnsi="Arial" w:cs="Arial"/>
          <w:sz w:val="22"/>
          <w:szCs w:val="22"/>
        </w:rPr>
        <w:t xml:space="preserve"> </w:t>
      </w:r>
      <w:r w:rsidRPr="00C656A6">
        <w:rPr>
          <w:rFonts w:ascii="Arial" w:hAnsi="Arial" w:cs="Arial"/>
          <w:sz w:val="22"/>
          <w:szCs w:val="22"/>
        </w:rPr>
        <w:t>Paired (baseline and week 1</w:t>
      </w:r>
      <w:r>
        <w:rPr>
          <w:rFonts w:ascii="Arial" w:hAnsi="Arial" w:cs="Arial"/>
          <w:sz w:val="22"/>
          <w:szCs w:val="22"/>
        </w:rPr>
        <w:t>3</w:t>
      </w:r>
      <w:r w:rsidRPr="00C656A6">
        <w:rPr>
          <w:rFonts w:ascii="Arial" w:hAnsi="Arial" w:cs="Arial"/>
          <w:sz w:val="22"/>
          <w:szCs w:val="22"/>
        </w:rPr>
        <w:t xml:space="preserve"> after </w:t>
      </w:r>
      <w:r>
        <w:rPr>
          <w:rFonts w:ascii="Arial" w:hAnsi="Arial" w:cs="Arial"/>
          <w:sz w:val="22"/>
          <w:szCs w:val="22"/>
        </w:rPr>
        <w:t xml:space="preserve">initiation of </w:t>
      </w:r>
      <w:r w:rsidRPr="00C656A6">
        <w:rPr>
          <w:rFonts w:ascii="Arial" w:hAnsi="Arial" w:cs="Arial"/>
          <w:sz w:val="22"/>
          <w:szCs w:val="22"/>
        </w:rPr>
        <w:t>nivolumab</w:t>
      </w:r>
      <w:r>
        <w:rPr>
          <w:rFonts w:ascii="Arial" w:hAnsi="Arial" w:cs="Arial"/>
          <w:sz w:val="22"/>
          <w:szCs w:val="22"/>
        </w:rPr>
        <w:t xml:space="preserve"> treatment</w:t>
      </w:r>
      <w:r w:rsidRPr="00C656A6">
        <w:rPr>
          <w:rFonts w:ascii="Arial" w:hAnsi="Arial" w:cs="Arial"/>
          <w:sz w:val="22"/>
          <w:szCs w:val="22"/>
        </w:rPr>
        <w:t xml:space="preserve">) patient PBMC </w:t>
      </w:r>
      <w:r>
        <w:rPr>
          <w:rFonts w:ascii="Arial" w:hAnsi="Arial" w:cs="Arial"/>
          <w:sz w:val="22"/>
          <w:szCs w:val="22"/>
        </w:rPr>
        <w:t>were flow sorted for DAPI-CD19-CD56-CD14-CD3+CD4+CD127</w:t>
      </w:r>
      <w:r>
        <w:rPr>
          <w:rFonts w:ascii="Arial" w:hAnsi="Arial" w:cs="Arial"/>
          <w:sz w:val="22"/>
          <w:szCs w:val="22"/>
          <w:vertAlign w:val="superscript"/>
        </w:rPr>
        <w:t>-/low</w:t>
      </w:r>
      <w:r>
        <w:rPr>
          <w:rFonts w:ascii="Arial" w:hAnsi="Arial" w:cs="Arial"/>
          <w:sz w:val="22"/>
          <w:szCs w:val="22"/>
        </w:rPr>
        <w:t xml:space="preserve">CD25+ T-cells </w:t>
      </w:r>
      <w:r w:rsidRPr="00C656A6">
        <w:rPr>
          <w:rFonts w:ascii="Arial" w:hAnsi="Arial" w:cs="Arial"/>
          <w:sz w:val="22"/>
          <w:szCs w:val="22"/>
        </w:rPr>
        <w:t xml:space="preserve">and </w:t>
      </w:r>
      <w:r>
        <w:rPr>
          <w:rFonts w:ascii="Arial" w:hAnsi="Arial" w:cs="Arial"/>
          <w:sz w:val="22"/>
          <w:szCs w:val="22"/>
        </w:rPr>
        <w:t xml:space="preserve">the remainder of the CD4+ population (Tcons). Cells were </w:t>
      </w:r>
      <w:r w:rsidRPr="00C656A6">
        <w:rPr>
          <w:rFonts w:ascii="Arial" w:hAnsi="Arial" w:cs="Arial"/>
          <w:sz w:val="22"/>
          <w:szCs w:val="22"/>
        </w:rPr>
        <w:t xml:space="preserve">assessed by RNA-Seq. </w:t>
      </w:r>
      <w:r w:rsidRPr="00C656A6">
        <w:rPr>
          <w:rFonts w:ascii="Arial" w:hAnsi="Arial" w:cs="Arial"/>
          <w:b/>
          <w:sz w:val="22"/>
          <w:szCs w:val="22"/>
        </w:rPr>
        <w:t>(</w:t>
      </w:r>
      <w:r>
        <w:rPr>
          <w:rFonts w:ascii="Arial" w:hAnsi="Arial" w:cs="Arial"/>
          <w:b/>
          <w:sz w:val="22"/>
          <w:szCs w:val="22"/>
        </w:rPr>
        <w:t>B</w:t>
      </w:r>
      <w:r w:rsidRPr="00C656A6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 xml:space="preserve">Pre-treatment and </w:t>
      </w:r>
      <w:r w:rsidRPr="005E1C15">
        <w:rPr>
          <w:rFonts w:ascii="Arial" w:hAnsi="Arial" w:cs="Arial"/>
          <w:b/>
          <w:sz w:val="22"/>
          <w:szCs w:val="22"/>
        </w:rPr>
        <w:t>(C)</w:t>
      </w:r>
      <w:r>
        <w:rPr>
          <w:rFonts w:ascii="Arial" w:hAnsi="Arial" w:cs="Arial"/>
          <w:sz w:val="22"/>
          <w:szCs w:val="22"/>
        </w:rPr>
        <w:t xml:space="preserve"> post-treatment patient CD4+CD127</w:t>
      </w:r>
      <w:r>
        <w:rPr>
          <w:rFonts w:ascii="Arial" w:hAnsi="Arial" w:cs="Arial"/>
          <w:sz w:val="22"/>
          <w:szCs w:val="22"/>
          <w:vertAlign w:val="superscript"/>
        </w:rPr>
        <w:t>-/low</w:t>
      </w:r>
      <w:r>
        <w:rPr>
          <w:rFonts w:ascii="Arial" w:hAnsi="Arial" w:cs="Arial"/>
          <w:sz w:val="22"/>
          <w:szCs w:val="22"/>
        </w:rPr>
        <w:t xml:space="preserve">CD25+ peripheral blood T-cells were evaluated by intracellular flow cytometry for FOXP3 expression. </w:t>
      </w:r>
      <w:r w:rsidRPr="005E1C15">
        <w:rPr>
          <w:rFonts w:ascii="Arial" w:hAnsi="Arial" w:cs="Arial"/>
          <w:b/>
          <w:sz w:val="22"/>
          <w:szCs w:val="22"/>
        </w:rPr>
        <w:t>(D)</w:t>
      </w:r>
      <w:r>
        <w:rPr>
          <w:rFonts w:ascii="Arial" w:hAnsi="Arial" w:cs="Arial"/>
          <w:sz w:val="22"/>
          <w:szCs w:val="22"/>
        </w:rPr>
        <w:t xml:space="preserve"> </w:t>
      </w:r>
      <w:r w:rsidRPr="00C656A6">
        <w:rPr>
          <w:rFonts w:ascii="Arial" w:hAnsi="Arial" w:cs="Arial"/>
          <w:sz w:val="22"/>
          <w:szCs w:val="22"/>
        </w:rPr>
        <w:t>Venn diagram</w:t>
      </w:r>
      <w:r>
        <w:rPr>
          <w:rFonts w:ascii="Arial" w:hAnsi="Arial" w:cs="Arial"/>
          <w:sz w:val="22"/>
          <w:szCs w:val="22"/>
        </w:rPr>
        <w:t>s</w:t>
      </w:r>
      <w:r w:rsidRPr="00C656A6">
        <w:rPr>
          <w:rFonts w:ascii="Arial" w:hAnsi="Arial" w:cs="Arial"/>
          <w:sz w:val="22"/>
          <w:szCs w:val="22"/>
        </w:rPr>
        <w:t xml:space="preserve"> with </w:t>
      </w:r>
      <w:r>
        <w:rPr>
          <w:rFonts w:ascii="Arial" w:hAnsi="Arial" w:cs="Arial"/>
          <w:sz w:val="22"/>
          <w:szCs w:val="22"/>
        </w:rPr>
        <w:t xml:space="preserve">overlaps in </w:t>
      </w:r>
      <w:r w:rsidRPr="00C656A6">
        <w:rPr>
          <w:rFonts w:ascii="Arial" w:hAnsi="Arial" w:cs="Arial"/>
          <w:sz w:val="22"/>
          <w:szCs w:val="22"/>
        </w:rPr>
        <w:t>significantly changed genes (q&gt;0.0</w:t>
      </w:r>
      <w:r>
        <w:rPr>
          <w:rFonts w:ascii="Arial" w:hAnsi="Arial" w:cs="Arial"/>
          <w:sz w:val="22"/>
          <w:szCs w:val="22"/>
        </w:rPr>
        <w:t>5</w:t>
      </w:r>
      <w:r w:rsidRPr="00C656A6">
        <w:rPr>
          <w:rFonts w:ascii="Arial" w:hAnsi="Arial" w:cs="Arial"/>
          <w:sz w:val="22"/>
          <w:szCs w:val="22"/>
        </w:rPr>
        <w:t xml:space="preserve">, comparing pre- </w:t>
      </w:r>
      <w:r w:rsidRPr="00BC2CFB">
        <w:rPr>
          <w:rFonts w:ascii="Arial" w:hAnsi="Arial" w:cs="Arial"/>
          <w:i/>
          <w:sz w:val="22"/>
          <w:szCs w:val="22"/>
        </w:rPr>
        <w:t>vs</w:t>
      </w:r>
      <w:r w:rsidRPr="00C656A6">
        <w:rPr>
          <w:rFonts w:ascii="Arial" w:hAnsi="Arial" w:cs="Arial"/>
          <w:sz w:val="22"/>
          <w:szCs w:val="22"/>
        </w:rPr>
        <w:t xml:space="preserve">. post </w:t>
      </w:r>
      <w:r>
        <w:rPr>
          <w:rFonts w:ascii="Arial" w:hAnsi="Arial" w:cs="Arial"/>
          <w:sz w:val="22"/>
          <w:szCs w:val="22"/>
        </w:rPr>
        <w:t>samples), in NED Tcons (purple), relapse Tcons (orange), NED CD4+CD127</w:t>
      </w:r>
      <w:r>
        <w:rPr>
          <w:rFonts w:ascii="Arial" w:hAnsi="Arial" w:cs="Arial"/>
          <w:sz w:val="22"/>
          <w:szCs w:val="22"/>
          <w:vertAlign w:val="superscript"/>
        </w:rPr>
        <w:t>-/low</w:t>
      </w:r>
      <w:r>
        <w:rPr>
          <w:rFonts w:ascii="Arial" w:hAnsi="Arial" w:cs="Arial"/>
          <w:sz w:val="22"/>
          <w:szCs w:val="22"/>
        </w:rPr>
        <w:t>CD25+ (blue) and relapse CD4+CD127</w:t>
      </w:r>
      <w:r>
        <w:rPr>
          <w:rFonts w:ascii="Arial" w:hAnsi="Arial" w:cs="Arial"/>
          <w:sz w:val="22"/>
          <w:szCs w:val="22"/>
          <w:vertAlign w:val="superscript"/>
        </w:rPr>
        <w:t>-/low</w:t>
      </w:r>
      <w:r>
        <w:rPr>
          <w:rFonts w:ascii="Arial" w:hAnsi="Arial" w:cs="Arial"/>
          <w:sz w:val="22"/>
          <w:szCs w:val="22"/>
        </w:rPr>
        <w:t>CD25+ (red) are shown</w:t>
      </w:r>
      <w:r w:rsidRPr="00C656A6">
        <w:rPr>
          <w:rFonts w:ascii="Arial" w:hAnsi="Arial" w:cs="Arial"/>
          <w:sz w:val="22"/>
          <w:szCs w:val="22"/>
        </w:rPr>
        <w:t xml:space="preserve">. </w:t>
      </w:r>
      <w:r w:rsidRPr="00C656A6">
        <w:rPr>
          <w:rFonts w:ascii="Arial" w:hAnsi="Arial" w:cs="Arial"/>
          <w:b/>
          <w:sz w:val="22"/>
          <w:szCs w:val="22"/>
        </w:rPr>
        <w:t>(</w:t>
      </w:r>
      <w:r>
        <w:rPr>
          <w:rFonts w:ascii="Arial" w:hAnsi="Arial" w:cs="Arial"/>
          <w:b/>
          <w:sz w:val="22"/>
          <w:szCs w:val="22"/>
        </w:rPr>
        <w:t>E)</w:t>
      </w:r>
      <w:r w:rsidRPr="003D009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Tcon </w:t>
      </w:r>
      <w:r w:rsidRPr="003D0090">
        <w:rPr>
          <w:rFonts w:ascii="Arial" w:hAnsi="Arial" w:cs="Arial"/>
          <w:sz w:val="22"/>
          <w:szCs w:val="22"/>
        </w:rPr>
        <w:t xml:space="preserve">patient genes with </w:t>
      </w:r>
      <w:r>
        <w:rPr>
          <w:rFonts w:ascii="Arial" w:hAnsi="Arial" w:cs="Arial"/>
          <w:sz w:val="22"/>
          <w:szCs w:val="22"/>
        </w:rPr>
        <w:t>significant changes</w:t>
      </w:r>
      <w:r w:rsidRPr="003D0090">
        <w:rPr>
          <w:rFonts w:ascii="Arial" w:hAnsi="Arial" w:cs="Arial"/>
          <w:sz w:val="22"/>
          <w:szCs w:val="22"/>
        </w:rPr>
        <w:t xml:space="preserve"> (increased </w:t>
      </w:r>
      <w:r>
        <w:rPr>
          <w:rFonts w:ascii="Arial" w:hAnsi="Arial" w:cs="Arial"/>
          <w:sz w:val="22"/>
          <w:szCs w:val="22"/>
        </w:rPr>
        <w:t xml:space="preserve">or decreased </w:t>
      </w:r>
      <w:r w:rsidRPr="003D0090">
        <w:rPr>
          <w:rFonts w:ascii="Arial" w:hAnsi="Arial" w:cs="Arial"/>
          <w:sz w:val="22"/>
          <w:szCs w:val="22"/>
        </w:rPr>
        <w:t>levels post-nivolumab) were assessed using GSEA and compared against hallmark gene sets. GSEA hallmark analysis did not return any results for downregulated NED Tcon genes and is consequently not graphed.</w:t>
      </w:r>
      <w:r>
        <w:rPr>
          <w:rFonts w:ascii="Arial" w:hAnsi="Arial" w:cs="Arial"/>
          <w:sz w:val="22"/>
          <w:szCs w:val="22"/>
        </w:rPr>
        <w:t xml:space="preserve"> </w:t>
      </w:r>
      <w:r w:rsidRPr="00907FF1">
        <w:rPr>
          <w:rFonts w:ascii="Arial" w:hAnsi="Arial" w:cs="Arial"/>
          <w:b/>
          <w:sz w:val="22"/>
          <w:szCs w:val="22"/>
        </w:rPr>
        <w:t>(F)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A1417">
        <w:rPr>
          <w:rFonts w:ascii="Arial" w:hAnsi="Arial" w:cs="Arial"/>
          <w:sz w:val="22"/>
          <w:szCs w:val="22"/>
        </w:rPr>
        <w:t>CD4+CD127</w:t>
      </w:r>
      <w:r>
        <w:rPr>
          <w:rFonts w:ascii="Arial" w:hAnsi="Arial" w:cs="Arial"/>
          <w:sz w:val="22"/>
          <w:szCs w:val="22"/>
          <w:vertAlign w:val="superscript"/>
        </w:rPr>
        <w:t>-/low</w:t>
      </w:r>
      <w:r w:rsidRPr="007A1417">
        <w:rPr>
          <w:rFonts w:ascii="Arial" w:hAnsi="Arial" w:cs="Arial"/>
          <w:sz w:val="22"/>
          <w:szCs w:val="22"/>
        </w:rPr>
        <w:t>CD25+</w:t>
      </w:r>
      <w:r>
        <w:rPr>
          <w:rFonts w:ascii="Arial" w:hAnsi="Arial" w:cs="Arial"/>
          <w:sz w:val="22"/>
          <w:szCs w:val="22"/>
        </w:rPr>
        <w:t xml:space="preserve"> hallmark gene sets were likewise assessed. </w:t>
      </w:r>
    </w:p>
    <w:p w14:paraId="22DFBD0B" w14:textId="77777777" w:rsidR="00B0178B" w:rsidRDefault="00B0178B" w:rsidP="00B0178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7C640671" w14:textId="77777777" w:rsidR="00B0178B" w:rsidRDefault="00B0178B" w:rsidP="00B0178B">
      <w:pPr>
        <w:spacing w:line="360" w:lineRule="auto"/>
        <w:jc w:val="both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Supplemental Figure 2.</w:t>
      </w:r>
    </w:p>
    <w:p w14:paraId="245806C7" w14:textId="77777777" w:rsidR="00B0178B" w:rsidRDefault="00B0178B" w:rsidP="00B0178B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419C0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92D3B02" wp14:editId="573DBFAD">
            <wp:extent cx="6583680" cy="28721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8BF28" w14:textId="77777777" w:rsidR="00B0178B" w:rsidRDefault="00B0178B" w:rsidP="00B0178B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4A9A4A95" w14:textId="77777777" w:rsidR="00B0178B" w:rsidRDefault="00B0178B" w:rsidP="00B0178B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Supplemental Figure 2. Flow Cytometry Gating Strategy.</w:t>
      </w:r>
      <w:r w:rsidRPr="0070318D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The general gating strategy for flow cytometry and flow sorting experiments is shown. Initial FSC </w:t>
      </w:r>
      <w:r w:rsidRPr="00BC2CFB">
        <w:rPr>
          <w:rFonts w:ascii="Arial" w:hAnsi="Arial" w:cs="Arial"/>
          <w:i/>
          <w:sz w:val="22"/>
          <w:szCs w:val="22"/>
        </w:rPr>
        <w:t>vs</w:t>
      </w:r>
      <w:r>
        <w:rPr>
          <w:rFonts w:ascii="Arial" w:hAnsi="Arial" w:cs="Arial"/>
          <w:sz w:val="22"/>
          <w:szCs w:val="22"/>
        </w:rPr>
        <w:t xml:space="preserve">. SSC gate was used to gate on cells. FSC-H </w:t>
      </w:r>
      <w:r w:rsidRPr="00BC2CFB">
        <w:rPr>
          <w:rFonts w:ascii="Arial" w:hAnsi="Arial" w:cs="Arial"/>
          <w:i/>
          <w:sz w:val="22"/>
          <w:szCs w:val="22"/>
        </w:rPr>
        <w:t>v</w:t>
      </w:r>
      <w:r>
        <w:rPr>
          <w:rFonts w:ascii="Arial" w:hAnsi="Arial" w:cs="Arial"/>
          <w:sz w:val="22"/>
          <w:szCs w:val="22"/>
        </w:rPr>
        <w:t xml:space="preserve">s. FSC-A and SSC-W </w:t>
      </w:r>
      <w:r w:rsidRPr="00BC2CFB">
        <w:rPr>
          <w:rFonts w:ascii="Arial" w:hAnsi="Arial" w:cs="Arial"/>
          <w:i/>
          <w:sz w:val="22"/>
          <w:szCs w:val="22"/>
        </w:rPr>
        <w:t>vs</w:t>
      </w:r>
      <w:r>
        <w:rPr>
          <w:rFonts w:ascii="Arial" w:hAnsi="Arial" w:cs="Arial"/>
          <w:sz w:val="22"/>
          <w:szCs w:val="22"/>
        </w:rPr>
        <w:t xml:space="preserve">. SSC-A graphs were used to gate out doublets. In some experiments SSC-H </w:t>
      </w:r>
      <w:r w:rsidRPr="00BC2CFB">
        <w:rPr>
          <w:rFonts w:ascii="Arial" w:hAnsi="Arial" w:cs="Arial"/>
          <w:i/>
          <w:sz w:val="22"/>
          <w:szCs w:val="22"/>
        </w:rPr>
        <w:t>vs</w:t>
      </w:r>
      <w:r>
        <w:rPr>
          <w:rFonts w:ascii="Arial" w:hAnsi="Arial" w:cs="Arial"/>
          <w:sz w:val="22"/>
          <w:szCs w:val="22"/>
        </w:rPr>
        <w:t xml:space="preserve">. SSC-A gating was used </w:t>
      </w:r>
      <w:r w:rsidRPr="0046045E">
        <w:rPr>
          <w:rFonts w:ascii="Arial" w:hAnsi="Arial" w:cs="Arial"/>
          <w:i/>
          <w:sz w:val="22"/>
          <w:szCs w:val="22"/>
        </w:rPr>
        <w:t>in lieu</w:t>
      </w:r>
      <w:r>
        <w:rPr>
          <w:rFonts w:ascii="Arial" w:hAnsi="Arial" w:cs="Arial"/>
          <w:sz w:val="22"/>
          <w:szCs w:val="22"/>
        </w:rPr>
        <w:t xml:space="preserve"> of SSC-W </w:t>
      </w:r>
      <w:r w:rsidRPr="00BC2CFB">
        <w:rPr>
          <w:rFonts w:ascii="Arial" w:hAnsi="Arial" w:cs="Arial"/>
          <w:i/>
          <w:sz w:val="22"/>
          <w:szCs w:val="22"/>
        </w:rPr>
        <w:t>vs</w:t>
      </w:r>
      <w:r>
        <w:rPr>
          <w:rFonts w:ascii="Arial" w:hAnsi="Arial" w:cs="Arial"/>
          <w:sz w:val="22"/>
          <w:szCs w:val="22"/>
        </w:rPr>
        <w:t xml:space="preserve">. SSC-A. Viable cells were next gated using an amine reactive viability stain (e.g. LiveDead Near IR) or the DNA intercalating dye DAPI. CD3+ T-cells were next gated (in experiments using CD3 negative isolation, CD3 was not stained for). CD4+ </w:t>
      </w:r>
      <w:r w:rsidRPr="00BC2CFB">
        <w:rPr>
          <w:rFonts w:ascii="Arial" w:hAnsi="Arial" w:cs="Arial"/>
          <w:i/>
          <w:sz w:val="22"/>
          <w:szCs w:val="22"/>
        </w:rPr>
        <w:t>vs</w:t>
      </w:r>
      <w:r>
        <w:rPr>
          <w:rFonts w:ascii="Arial" w:hAnsi="Arial" w:cs="Arial"/>
          <w:sz w:val="22"/>
          <w:szCs w:val="22"/>
        </w:rPr>
        <w:t>. CD8+ T-cells were next gated. CD4+ were further divided into two populations: CD127</w:t>
      </w:r>
      <w:r>
        <w:rPr>
          <w:rFonts w:ascii="Arial" w:hAnsi="Arial" w:cs="Arial"/>
          <w:sz w:val="22"/>
          <w:szCs w:val="22"/>
          <w:vertAlign w:val="superscript"/>
        </w:rPr>
        <w:t>-/low</w:t>
      </w:r>
      <w:r>
        <w:rPr>
          <w:rFonts w:ascii="Arial" w:hAnsi="Arial" w:cs="Arial"/>
          <w:sz w:val="22"/>
          <w:szCs w:val="22"/>
        </w:rPr>
        <w:t xml:space="preserve">CD25+ (Tregs) and the remainder of the CD4+ population (Tcons). For flow sorting, CD19, CD56 and CD8 dump channeled was used to exclude unwanted lineages. In indicated experiments, Tregs were further gated using FOXP3 expression. </w:t>
      </w:r>
    </w:p>
    <w:p w14:paraId="1C2C02EF" w14:textId="77777777" w:rsidR="00B0178B" w:rsidRDefault="00B0178B" w:rsidP="00B0178B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F794544" w14:textId="77777777" w:rsidR="00B0178B" w:rsidRDefault="00B0178B" w:rsidP="00B0178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4A63359E" w14:textId="77777777" w:rsidR="00B0178B" w:rsidRDefault="00B0178B" w:rsidP="00B0178B">
      <w:pPr>
        <w:spacing w:line="360" w:lineRule="auto"/>
        <w:jc w:val="both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Supplemental Figure 3.</w:t>
      </w:r>
    </w:p>
    <w:p w14:paraId="5B0CC829" w14:textId="77777777" w:rsidR="00B0178B" w:rsidRDefault="00B0178B" w:rsidP="00B0178B">
      <w:pPr>
        <w:spacing w:line="360" w:lineRule="auto"/>
        <w:jc w:val="both"/>
        <w:outlineLvl w:val="0"/>
        <w:rPr>
          <w:rFonts w:ascii="Arial" w:hAnsi="Arial" w:cs="Arial"/>
          <w:b/>
          <w:sz w:val="22"/>
          <w:szCs w:val="22"/>
        </w:rPr>
      </w:pPr>
    </w:p>
    <w:p w14:paraId="1467BDF7" w14:textId="77777777" w:rsidR="00B0178B" w:rsidRDefault="00B0178B" w:rsidP="00B0178B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D249E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6EF24BD" wp14:editId="4F615F25">
            <wp:extent cx="6583680" cy="2475230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F63E0" w14:textId="77777777" w:rsidR="00B0178B" w:rsidRDefault="00B0178B" w:rsidP="00B0178B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7CD77C96" w14:textId="77777777" w:rsidR="00B0178B" w:rsidRDefault="00B0178B" w:rsidP="00B0178B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Supplemental Figure 3. Changes in the Percentages of Patient T-cell Populations Expressing Phosphorylated STAT3.  </w:t>
      </w:r>
      <w:r w:rsidRPr="008F2A84">
        <w:rPr>
          <w:rFonts w:ascii="Arial" w:hAnsi="Arial" w:cs="Arial"/>
          <w:sz w:val="22"/>
          <w:szCs w:val="22"/>
        </w:rPr>
        <w:t>Paired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PBMC samples </w:t>
      </w:r>
      <w:r w:rsidRPr="00C656A6">
        <w:rPr>
          <w:rFonts w:ascii="Arial" w:hAnsi="Arial" w:cs="Arial"/>
          <w:sz w:val="22"/>
          <w:szCs w:val="22"/>
        </w:rPr>
        <w:t>(baseline and week 1</w:t>
      </w:r>
      <w:r>
        <w:rPr>
          <w:rFonts w:ascii="Arial" w:hAnsi="Arial" w:cs="Arial"/>
          <w:sz w:val="22"/>
          <w:szCs w:val="22"/>
        </w:rPr>
        <w:t>3</w:t>
      </w:r>
      <w:r w:rsidRPr="00C656A6">
        <w:rPr>
          <w:rFonts w:ascii="Arial" w:hAnsi="Arial" w:cs="Arial"/>
          <w:sz w:val="22"/>
          <w:szCs w:val="22"/>
        </w:rPr>
        <w:t xml:space="preserve"> after </w:t>
      </w:r>
      <w:r>
        <w:rPr>
          <w:rFonts w:ascii="Arial" w:hAnsi="Arial" w:cs="Arial"/>
          <w:sz w:val="22"/>
          <w:szCs w:val="22"/>
        </w:rPr>
        <w:t xml:space="preserve">initiation of </w:t>
      </w:r>
      <w:r w:rsidRPr="00C656A6">
        <w:rPr>
          <w:rFonts w:ascii="Arial" w:hAnsi="Arial" w:cs="Arial"/>
          <w:sz w:val="22"/>
          <w:szCs w:val="22"/>
        </w:rPr>
        <w:t>nivolumab</w:t>
      </w:r>
      <w:r>
        <w:rPr>
          <w:rFonts w:ascii="Arial" w:hAnsi="Arial" w:cs="Arial"/>
          <w:sz w:val="22"/>
          <w:szCs w:val="22"/>
        </w:rPr>
        <w:t xml:space="preserve"> treatment</w:t>
      </w:r>
      <w:r w:rsidRPr="00C656A6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from resected patients treated with adjuvant nivolumab were assessed by flow cytometry and percentages of </w:t>
      </w:r>
      <w:r w:rsidRPr="002B0C68">
        <w:rPr>
          <w:rFonts w:ascii="Arial" w:hAnsi="Arial" w:cs="Arial"/>
          <w:b/>
          <w:sz w:val="22"/>
          <w:szCs w:val="22"/>
        </w:rPr>
        <w:t>(A)</w:t>
      </w:r>
      <w:r>
        <w:rPr>
          <w:rFonts w:ascii="Arial" w:hAnsi="Arial" w:cs="Arial"/>
          <w:sz w:val="22"/>
          <w:szCs w:val="22"/>
        </w:rPr>
        <w:t xml:space="preserve"> CD8+T-cells, </w:t>
      </w:r>
      <w:r w:rsidRPr="002B0C68">
        <w:rPr>
          <w:rFonts w:ascii="Arial" w:hAnsi="Arial" w:cs="Arial"/>
          <w:b/>
          <w:sz w:val="22"/>
          <w:szCs w:val="22"/>
        </w:rPr>
        <w:t>(B)</w:t>
      </w:r>
      <w:r>
        <w:rPr>
          <w:rFonts w:ascii="Arial" w:hAnsi="Arial" w:cs="Arial"/>
          <w:sz w:val="22"/>
          <w:szCs w:val="22"/>
        </w:rPr>
        <w:t xml:space="preserve"> CD4+ Tcons and </w:t>
      </w:r>
      <w:r w:rsidRPr="002B0C68">
        <w:rPr>
          <w:rFonts w:ascii="Arial" w:hAnsi="Arial" w:cs="Arial"/>
          <w:b/>
          <w:sz w:val="22"/>
          <w:szCs w:val="22"/>
        </w:rPr>
        <w:t>(C)</w:t>
      </w:r>
      <w:r>
        <w:rPr>
          <w:rFonts w:ascii="Arial" w:hAnsi="Arial" w:cs="Arial"/>
          <w:sz w:val="22"/>
          <w:szCs w:val="22"/>
        </w:rPr>
        <w:t xml:space="preserve"> Tregs expressing pSTAT3 were assessed. Blue lines connect paired NED patient samples and red, dotted lines connect relapsing patient samples. P-values are reported in the graphs along with average change in means (</w:t>
      </w:r>
      <w:r w:rsidRPr="0051731D">
        <w:rPr>
          <w:rFonts w:ascii="Arial" w:hAnsi="Arial" w:cs="Arial"/>
          <w:sz w:val="22"/>
          <w:szCs w:val="22"/>
        </w:rPr>
        <w:t>∆x̄</w:t>
      </w:r>
      <w:r>
        <w:rPr>
          <w:rFonts w:ascii="Arial" w:hAnsi="Arial" w:cs="Arial"/>
          <w:sz w:val="22"/>
          <w:szCs w:val="22"/>
        </w:rPr>
        <w:t>)</w:t>
      </w:r>
      <w:r w:rsidRPr="0051731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for NED patients. </w:t>
      </w:r>
    </w:p>
    <w:p w14:paraId="71D37C34" w14:textId="77777777" w:rsidR="00B0178B" w:rsidRDefault="00B0178B" w:rsidP="00B0178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5950BE84" w14:textId="77777777" w:rsidR="00B0178B" w:rsidRDefault="00B0178B" w:rsidP="00B0178B">
      <w:pPr>
        <w:spacing w:line="360" w:lineRule="auto"/>
        <w:jc w:val="both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Supplemental Figure 4. </w:t>
      </w:r>
    </w:p>
    <w:p w14:paraId="09A9AFE3" w14:textId="77777777" w:rsidR="00B0178B" w:rsidRDefault="00B0178B" w:rsidP="00B0178B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4DCD5A73" w14:textId="77777777" w:rsidR="00B0178B" w:rsidRDefault="00B0178B" w:rsidP="00B0178B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FB05C4">
        <w:rPr>
          <w:noProof/>
        </w:rPr>
        <w:t xml:space="preserve"> </w:t>
      </w:r>
      <w:r w:rsidRPr="00FB05C4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58BEB47" wp14:editId="43CDDEA8">
            <wp:extent cx="5252936" cy="6504359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482" cy="650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3D673" w14:textId="77777777" w:rsidR="00B0178B" w:rsidRPr="00291494" w:rsidRDefault="00B0178B" w:rsidP="00B0178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Supplemental Figure 4. T-cells express PDL1. (A) </w:t>
      </w:r>
      <w:r>
        <w:rPr>
          <w:rFonts w:ascii="Arial" w:hAnsi="Arial" w:cs="Arial"/>
          <w:sz w:val="22"/>
          <w:szCs w:val="22"/>
        </w:rPr>
        <w:t xml:space="preserve">T-cell populations were evaluated by flow cytometry for expression of PD-1 and PDL1 without (top graphs) or with the addition of CD3/CD28 Dynabead activation (bottom graphs). </w:t>
      </w:r>
      <w:r w:rsidRPr="00F50AC5">
        <w:rPr>
          <w:rFonts w:ascii="Arial" w:hAnsi="Arial" w:cs="Arial"/>
          <w:b/>
          <w:sz w:val="22"/>
          <w:szCs w:val="22"/>
        </w:rPr>
        <w:t>(B-D)</w:t>
      </w:r>
      <w:r>
        <w:rPr>
          <w:rFonts w:ascii="Arial" w:hAnsi="Arial" w:cs="Arial"/>
          <w:sz w:val="22"/>
          <w:szCs w:val="22"/>
        </w:rPr>
        <w:t xml:space="preserve"> Patient CD4+CD127-CD25+ T-cells were evaluated for expression of indicated co-inhibitory markers. Blue lines connect paired NED patient samples and red, dotted lines connect relapsing patient samples. P-values from ratio paired T-tests are reported in the graphs. </w:t>
      </w:r>
    </w:p>
    <w:p w14:paraId="4616F077" w14:textId="77777777" w:rsidR="00B0178B" w:rsidRDefault="00B0178B" w:rsidP="00B0178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7913D447" w14:textId="77777777" w:rsidR="00B0178B" w:rsidRDefault="00B0178B" w:rsidP="00B0178B">
      <w:pPr>
        <w:spacing w:line="360" w:lineRule="auto"/>
        <w:jc w:val="both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Supplemental Figure 5. </w:t>
      </w:r>
    </w:p>
    <w:p w14:paraId="08C399D6" w14:textId="77777777" w:rsidR="00B0178B" w:rsidRDefault="00B0178B" w:rsidP="00B0178B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3419C0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BE3A108" wp14:editId="76A58D1D">
            <wp:extent cx="3826933" cy="3423554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3232" cy="342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16BE6" w14:textId="77777777" w:rsidR="00B0178B" w:rsidRDefault="00B0178B" w:rsidP="00B0178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Supplemental Figure 5. PD-1 Blockade Increases </w:t>
      </w:r>
      <w:r>
        <w:rPr>
          <w:rFonts w:ascii="Arial" w:hAnsi="Arial" w:cs="Arial"/>
          <w:b/>
          <w:i/>
          <w:sz w:val="22"/>
          <w:szCs w:val="22"/>
        </w:rPr>
        <w:t>IL-10</w:t>
      </w:r>
      <w:r>
        <w:rPr>
          <w:rFonts w:ascii="Arial" w:hAnsi="Arial" w:cs="Arial"/>
          <w:b/>
          <w:sz w:val="22"/>
          <w:szCs w:val="22"/>
        </w:rPr>
        <w:t xml:space="preserve"> Expression </w:t>
      </w:r>
      <w:r>
        <w:rPr>
          <w:rFonts w:ascii="Arial" w:hAnsi="Arial" w:cs="Arial"/>
          <w:b/>
          <w:i/>
          <w:sz w:val="22"/>
          <w:szCs w:val="22"/>
        </w:rPr>
        <w:t>in Vitro.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CD3+ T-cells isolated from three baseline patient PBMC samples were cultured overnight with IgG (white bars) or αPD-1 (5ug/mL) (black bars) then activated for six hours using CD3/CD28 Dynabeads. </w:t>
      </w:r>
      <w:r>
        <w:rPr>
          <w:rFonts w:ascii="Arial" w:hAnsi="Arial" w:cs="Arial"/>
          <w:i/>
          <w:sz w:val="22"/>
          <w:szCs w:val="22"/>
        </w:rPr>
        <w:t xml:space="preserve">IL-10 </w:t>
      </w:r>
      <w:r>
        <w:rPr>
          <w:rFonts w:ascii="Arial" w:hAnsi="Arial" w:cs="Arial"/>
          <w:sz w:val="22"/>
          <w:szCs w:val="22"/>
        </w:rPr>
        <w:t xml:space="preserve">gene expression was measured by qRT-PCR. Fold units were calculated relative to 18S rRNA using </w:t>
      </w:r>
      <w:r w:rsidRPr="004D5917">
        <w:rPr>
          <w:rFonts w:ascii="Arial" w:hAnsi="Arial" w:cs="Arial"/>
          <w:sz w:val="22"/>
          <w:szCs w:val="22"/>
        </w:rPr>
        <w:t>∆</w:t>
      </w:r>
      <w:r>
        <w:rPr>
          <w:rFonts w:ascii="Arial" w:hAnsi="Arial" w:cs="Arial"/>
          <w:sz w:val="22"/>
          <w:szCs w:val="22"/>
        </w:rPr>
        <w:t>CT and normalized to IgG non-activated controls (</w:t>
      </w:r>
      <w:r w:rsidRPr="004D5917">
        <w:rPr>
          <w:rFonts w:ascii="Arial" w:hAnsi="Arial" w:cs="Arial"/>
          <w:sz w:val="22"/>
          <w:szCs w:val="22"/>
        </w:rPr>
        <w:t>∆∆</w:t>
      </w:r>
      <w:r>
        <w:rPr>
          <w:rFonts w:ascii="Arial" w:hAnsi="Arial" w:cs="Arial"/>
          <w:sz w:val="22"/>
          <w:szCs w:val="22"/>
        </w:rPr>
        <w:t>CT). Error bars are SEM of technical triplicates.</w:t>
      </w:r>
    </w:p>
    <w:p w14:paraId="12C5497F" w14:textId="77777777" w:rsidR="00B0178B" w:rsidRDefault="00B0178B" w:rsidP="00B0178B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5A1590A" w14:textId="77777777" w:rsidR="00B0178B" w:rsidRDefault="00B0178B" w:rsidP="00B0178B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09E1AE8D" w14:textId="77777777" w:rsidR="00B0178B" w:rsidRDefault="00B0178B" w:rsidP="00B0178B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1F20980" w14:textId="77777777" w:rsidR="00B0178B" w:rsidRDefault="00B0178B" w:rsidP="00B0178B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2D6348C5" w14:textId="77777777" w:rsidR="00B0178B" w:rsidRDefault="00B0178B" w:rsidP="00B0178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54EB7C2A" w14:textId="77777777" w:rsidR="00B0178B" w:rsidRDefault="00B0178B" w:rsidP="00B0178B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Supplemental Figure 6. </w:t>
      </w:r>
    </w:p>
    <w:p w14:paraId="690745DA" w14:textId="77777777" w:rsidR="00B0178B" w:rsidRDefault="00B0178B" w:rsidP="00B0178B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40B87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823903D" wp14:editId="176153FF">
            <wp:extent cx="6265406" cy="7694579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3084" cy="774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F99EE" w14:textId="77777777" w:rsidR="00B0178B" w:rsidRDefault="00B0178B" w:rsidP="00B0178B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0C912238" w14:textId="77777777" w:rsidR="00B0178B" w:rsidRDefault="00B0178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36DA8141" w14:textId="77777777" w:rsidR="00B0178B" w:rsidRDefault="00B0178B" w:rsidP="00B0178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724454">
        <w:rPr>
          <w:rFonts w:ascii="Arial" w:hAnsi="Arial" w:cs="Arial"/>
          <w:b/>
          <w:sz w:val="22"/>
          <w:szCs w:val="22"/>
        </w:rPr>
        <w:lastRenderedPageBreak/>
        <w:t xml:space="preserve">Supplemental Figure </w:t>
      </w:r>
      <w:r>
        <w:rPr>
          <w:rFonts w:ascii="Arial" w:hAnsi="Arial" w:cs="Arial"/>
          <w:b/>
          <w:sz w:val="22"/>
          <w:szCs w:val="22"/>
        </w:rPr>
        <w:t>6</w:t>
      </w:r>
      <w:r w:rsidRPr="00724454">
        <w:rPr>
          <w:rFonts w:ascii="Arial" w:hAnsi="Arial" w:cs="Arial"/>
          <w:b/>
          <w:sz w:val="22"/>
          <w:szCs w:val="22"/>
        </w:rPr>
        <w:t xml:space="preserve">. Paired Analyses of </w:t>
      </w:r>
      <w:r>
        <w:rPr>
          <w:rFonts w:ascii="Arial" w:hAnsi="Arial" w:cs="Arial"/>
          <w:b/>
          <w:i/>
          <w:sz w:val="22"/>
          <w:szCs w:val="22"/>
        </w:rPr>
        <w:t>I</w:t>
      </w:r>
      <w:r w:rsidRPr="00724454">
        <w:rPr>
          <w:rFonts w:ascii="Arial" w:hAnsi="Arial" w:cs="Arial"/>
          <w:b/>
          <w:i/>
          <w:sz w:val="22"/>
          <w:szCs w:val="22"/>
        </w:rPr>
        <w:t xml:space="preserve">n Vitro </w:t>
      </w:r>
      <w:r>
        <w:rPr>
          <w:rFonts w:ascii="Arial" w:hAnsi="Arial" w:cs="Arial"/>
          <w:b/>
          <w:sz w:val="22"/>
          <w:szCs w:val="22"/>
        </w:rPr>
        <w:t>Experiments</w:t>
      </w:r>
      <w:r w:rsidRPr="00724454">
        <w:rPr>
          <w:rFonts w:ascii="Arial" w:hAnsi="Arial" w:cs="Arial"/>
          <w:b/>
          <w:sz w:val="22"/>
          <w:szCs w:val="22"/>
        </w:rPr>
        <w:t xml:space="preserve">. (A) </w:t>
      </w:r>
      <w:r w:rsidRPr="00724454">
        <w:rPr>
          <w:rFonts w:ascii="Arial" w:hAnsi="Arial" w:cs="Arial"/>
          <w:sz w:val="22"/>
          <w:szCs w:val="22"/>
        </w:rPr>
        <w:t>Isolated</w:t>
      </w:r>
      <w:r w:rsidRPr="009C191D">
        <w:rPr>
          <w:rFonts w:ascii="Arial" w:hAnsi="Arial" w:cs="Arial"/>
          <w:sz w:val="22"/>
          <w:szCs w:val="22"/>
        </w:rPr>
        <w:t xml:space="preserve"> baseline patient CD3+ T-cells were cultured with the addition of αPD-1 </w:t>
      </w:r>
      <w:r>
        <w:rPr>
          <w:rFonts w:ascii="Arial" w:hAnsi="Arial" w:cs="Arial"/>
          <w:sz w:val="22"/>
          <w:szCs w:val="22"/>
        </w:rPr>
        <w:t xml:space="preserve">(5ug/mL) </w:t>
      </w:r>
      <w:r w:rsidRPr="009C191D">
        <w:rPr>
          <w:rFonts w:ascii="Arial" w:hAnsi="Arial" w:cs="Arial"/>
          <w:sz w:val="22"/>
          <w:szCs w:val="22"/>
        </w:rPr>
        <w:t>for 48 hours. Tregs were evaluated by flow cytometry for pSTAT3 expression levels.</w:t>
      </w:r>
      <w:r>
        <w:rPr>
          <w:rFonts w:ascii="Arial" w:hAnsi="Arial" w:cs="Arial"/>
          <w:sz w:val="22"/>
          <w:szCs w:val="22"/>
        </w:rPr>
        <w:t xml:space="preserve"> Paired analyses of samples assessed over seven independent experiments are shown.</w:t>
      </w:r>
      <w:r w:rsidRPr="009C191D">
        <w:rPr>
          <w:rFonts w:ascii="Arial" w:hAnsi="Arial" w:cs="Arial"/>
          <w:sz w:val="22"/>
          <w:szCs w:val="22"/>
        </w:rPr>
        <w:t xml:space="preserve"> </w:t>
      </w:r>
      <w:r w:rsidRPr="009C191D">
        <w:rPr>
          <w:rFonts w:ascii="Arial" w:hAnsi="Arial" w:cs="Arial"/>
          <w:b/>
          <w:sz w:val="22"/>
          <w:szCs w:val="22"/>
        </w:rPr>
        <w:t>(B-D)</w:t>
      </w:r>
      <w:r w:rsidRPr="009C191D">
        <w:rPr>
          <w:rFonts w:ascii="Arial" w:hAnsi="Arial" w:cs="Arial"/>
          <w:sz w:val="22"/>
          <w:szCs w:val="22"/>
        </w:rPr>
        <w:t xml:space="preserve"> Isolated baseline patient CD3+ T-cells were cultured with the addition of indicated treatments for two hours and subsequently activated by CD3/CD28 Dynabeads. After 48 or 72 hours, culture supernatants were assessed for IL-10.</w:t>
      </w:r>
      <w:r>
        <w:rPr>
          <w:rFonts w:ascii="Arial" w:hAnsi="Arial" w:cs="Arial"/>
          <w:sz w:val="22"/>
          <w:szCs w:val="22"/>
        </w:rPr>
        <w:t xml:space="preserve"> Paired analyses of samples assessed over five independent experiments are shown. </w:t>
      </w:r>
      <w:r w:rsidRPr="009C191D">
        <w:rPr>
          <w:rFonts w:ascii="Arial" w:hAnsi="Arial" w:cs="Arial"/>
          <w:sz w:val="22"/>
          <w:szCs w:val="22"/>
        </w:rPr>
        <w:t xml:space="preserve"> </w:t>
      </w:r>
      <w:r w:rsidRPr="009C191D">
        <w:rPr>
          <w:rFonts w:ascii="Arial" w:hAnsi="Arial" w:cs="Arial"/>
          <w:b/>
          <w:sz w:val="22"/>
          <w:szCs w:val="22"/>
        </w:rPr>
        <w:t>(E</w:t>
      </w:r>
      <w:r>
        <w:rPr>
          <w:rFonts w:ascii="Arial" w:hAnsi="Arial" w:cs="Arial"/>
          <w:b/>
          <w:sz w:val="22"/>
          <w:szCs w:val="22"/>
        </w:rPr>
        <w:t>-F</w:t>
      </w:r>
      <w:r w:rsidRPr="009C191D">
        <w:rPr>
          <w:rFonts w:ascii="Arial" w:hAnsi="Arial" w:cs="Arial"/>
          <w:b/>
          <w:sz w:val="22"/>
          <w:szCs w:val="22"/>
        </w:rPr>
        <w:t>)</w:t>
      </w:r>
      <w:r w:rsidRPr="009C191D">
        <w:rPr>
          <w:rFonts w:ascii="Arial" w:hAnsi="Arial" w:cs="Arial"/>
          <w:sz w:val="22"/>
          <w:szCs w:val="22"/>
        </w:rPr>
        <w:t xml:space="preserve"> Isolated baseline patient CD3+ T-cells were cultured</w:t>
      </w:r>
      <w:r>
        <w:rPr>
          <w:rFonts w:ascii="Arial" w:hAnsi="Arial" w:cs="Arial"/>
          <w:sz w:val="22"/>
          <w:szCs w:val="22"/>
        </w:rPr>
        <w:t xml:space="preserve"> with IgG or </w:t>
      </w:r>
      <w:r w:rsidRPr="009C191D">
        <w:rPr>
          <w:rFonts w:ascii="Arial" w:hAnsi="Arial" w:cs="Arial"/>
          <w:sz w:val="22"/>
          <w:szCs w:val="22"/>
        </w:rPr>
        <w:t>αPD-1</w:t>
      </w:r>
      <w:r>
        <w:rPr>
          <w:rFonts w:ascii="Arial" w:hAnsi="Arial" w:cs="Arial"/>
          <w:sz w:val="22"/>
          <w:szCs w:val="22"/>
        </w:rPr>
        <w:t xml:space="preserve"> (5ug/mL) </w:t>
      </w:r>
      <w:r w:rsidRPr="00724454">
        <w:rPr>
          <w:rFonts w:ascii="Arial" w:hAnsi="Arial" w:cs="Arial"/>
          <w:b/>
          <w:sz w:val="22"/>
          <w:szCs w:val="22"/>
        </w:rPr>
        <w:t>(E)</w:t>
      </w:r>
      <w:r>
        <w:rPr>
          <w:rFonts w:ascii="Arial" w:hAnsi="Arial" w:cs="Arial"/>
          <w:sz w:val="22"/>
          <w:szCs w:val="22"/>
        </w:rPr>
        <w:t xml:space="preserve"> without or </w:t>
      </w:r>
      <w:r w:rsidRPr="00724454">
        <w:rPr>
          <w:rFonts w:ascii="Arial" w:hAnsi="Arial" w:cs="Arial"/>
          <w:b/>
          <w:sz w:val="22"/>
          <w:szCs w:val="22"/>
        </w:rPr>
        <w:t>(F)</w:t>
      </w:r>
      <w:r>
        <w:rPr>
          <w:rFonts w:ascii="Arial" w:hAnsi="Arial" w:cs="Arial"/>
          <w:sz w:val="22"/>
          <w:szCs w:val="22"/>
        </w:rPr>
        <w:t xml:space="preserve"> with CD3/CD28 Dynabead activation. After 72 hours, cells were assessed by intracellular flow cytometry for CD8+ IL-10 production. Paired samples were assessed over two independent experiments.  </w:t>
      </w:r>
      <w:r w:rsidRPr="00724454">
        <w:rPr>
          <w:rFonts w:ascii="Arial" w:hAnsi="Arial" w:cs="Arial"/>
          <w:b/>
          <w:sz w:val="22"/>
          <w:szCs w:val="22"/>
        </w:rPr>
        <w:t>(G)</w:t>
      </w:r>
      <w:r>
        <w:rPr>
          <w:rFonts w:ascii="Arial" w:hAnsi="Arial" w:cs="Arial"/>
          <w:sz w:val="22"/>
          <w:szCs w:val="22"/>
        </w:rPr>
        <w:t xml:space="preserve"> </w:t>
      </w:r>
      <w:r w:rsidRPr="009C191D">
        <w:rPr>
          <w:rFonts w:ascii="Arial" w:hAnsi="Arial" w:cs="Arial"/>
          <w:sz w:val="22"/>
          <w:szCs w:val="22"/>
        </w:rPr>
        <w:t xml:space="preserve">Isolated baseline patient CD3+ T-cells were cultured with the addition of indicated treatments overnight and subsequently activated by CD3/CD28 Dynabeads. After 48 hours, CD4+CD127-CD25+FOXP3+ cells were assessed for Ki67 expression. </w:t>
      </w:r>
      <w:r>
        <w:rPr>
          <w:rFonts w:ascii="Arial" w:hAnsi="Arial" w:cs="Arial"/>
          <w:sz w:val="22"/>
          <w:szCs w:val="22"/>
        </w:rPr>
        <w:t xml:space="preserve">Paired analyses were assessed over two independent experiments. </w:t>
      </w:r>
      <w:r w:rsidRPr="009C191D">
        <w:rPr>
          <w:rFonts w:ascii="Arial" w:hAnsi="Arial" w:cs="Arial"/>
          <w:b/>
          <w:sz w:val="22"/>
          <w:szCs w:val="22"/>
        </w:rPr>
        <w:t>(</w:t>
      </w:r>
      <w:r>
        <w:rPr>
          <w:rFonts w:ascii="Arial" w:hAnsi="Arial" w:cs="Arial"/>
          <w:b/>
          <w:sz w:val="22"/>
          <w:szCs w:val="22"/>
        </w:rPr>
        <w:t>H-M</w:t>
      </w:r>
      <w:r w:rsidRPr="009C191D">
        <w:rPr>
          <w:rFonts w:ascii="Arial" w:hAnsi="Arial" w:cs="Arial"/>
          <w:b/>
          <w:sz w:val="22"/>
          <w:szCs w:val="22"/>
        </w:rPr>
        <w:t>)</w:t>
      </w:r>
      <w:r w:rsidRPr="009C191D">
        <w:rPr>
          <w:rFonts w:ascii="Arial" w:hAnsi="Arial" w:cs="Arial"/>
          <w:sz w:val="22"/>
          <w:szCs w:val="22"/>
        </w:rPr>
        <w:t xml:space="preserve"> Isolated baseline patient CD3+ T-cells were cultured with the indicated treatments for 48 hours and assessed by flow cytometry for Tregs as a percentage of the CD4+ population. For all plots</w:t>
      </w:r>
      <w:r>
        <w:rPr>
          <w:rFonts w:ascii="Arial" w:hAnsi="Arial" w:cs="Arial"/>
          <w:sz w:val="22"/>
          <w:szCs w:val="22"/>
        </w:rPr>
        <w:t>,</w:t>
      </w:r>
      <w:r w:rsidRPr="009C191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pairs are</w:t>
      </w:r>
      <w:r w:rsidRPr="009C191D">
        <w:rPr>
          <w:rFonts w:ascii="Arial" w:hAnsi="Arial" w:cs="Arial"/>
          <w:sz w:val="22"/>
          <w:szCs w:val="22"/>
        </w:rPr>
        <w:t xml:space="preserve"> based on </w:t>
      </w:r>
      <w:r>
        <w:rPr>
          <w:rFonts w:ascii="Arial" w:hAnsi="Arial" w:cs="Arial"/>
          <w:sz w:val="22"/>
          <w:szCs w:val="22"/>
        </w:rPr>
        <w:t xml:space="preserve">pre- and post- </w:t>
      </w:r>
      <w:r w:rsidRPr="00BC2CFB">
        <w:rPr>
          <w:rFonts w:ascii="Arial" w:hAnsi="Arial" w:cs="Arial"/>
          <w:i/>
          <w:sz w:val="22"/>
          <w:szCs w:val="22"/>
        </w:rPr>
        <w:t>in vitro</w:t>
      </w:r>
      <w:r>
        <w:rPr>
          <w:rFonts w:ascii="Arial" w:hAnsi="Arial" w:cs="Arial"/>
          <w:sz w:val="22"/>
          <w:szCs w:val="22"/>
        </w:rPr>
        <w:t xml:space="preserve"> treatment of the same </w:t>
      </w:r>
      <w:r w:rsidRPr="009C191D">
        <w:rPr>
          <w:rFonts w:ascii="Arial" w:hAnsi="Arial" w:cs="Arial"/>
          <w:sz w:val="22"/>
          <w:szCs w:val="22"/>
        </w:rPr>
        <w:t xml:space="preserve">patient sample. </w:t>
      </w:r>
      <w:r>
        <w:rPr>
          <w:rFonts w:ascii="Arial" w:hAnsi="Arial" w:cs="Arial"/>
          <w:sz w:val="22"/>
          <w:szCs w:val="22"/>
        </w:rPr>
        <w:t xml:space="preserve">Paired samples were assessed in three to seven independent experiments. </w:t>
      </w:r>
      <w:r w:rsidRPr="009C191D">
        <w:rPr>
          <w:rFonts w:ascii="Arial" w:hAnsi="Arial" w:cs="Arial"/>
          <w:sz w:val="22"/>
          <w:szCs w:val="22"/>
        </w:rPr>
        <w:t xml:space="preserve">Accompanying p-values, determined by paired t-tests, are shown in each graph. </w:t>
      </w:r>
    </w:p>
    <w:p w14:paraId="779D7C51" w14:textId="77777777" w:rsidR="0066738D" w:rsidRDefault="00B0178B"/>
    <w:sectPr w:rsidR="0066738D" w:rsidSect="002F414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78B"/>
    <w:rsid w:val="00004F01"/>
    <w:rsid w:val="00011A16"/>
    <w:rsid w:val="00020543"/>
    <w:rsid w:val="00020F47"/>
    <w:rsid w:val="0002616A"/>
    <w:rsid w:val="00026D5B"/>
    <w:rsid w:val="00031398"/>
    <w:rsid w:val="000348BA"/>
    <w:rsid w:val="00037FF4"/>
    <w:rsid w:val="00063B63"/>
    <w:rsid w:val="000766E2"/>
    <w:rsid w:val="00093425"/>
    <w:rsid w:val="000939BE"/>
    <w:rsid w:val="000A1B48"/>
    <w:rsid w:val="000B2D1A"/>
    <w:rsid w:val="000B3DFA"/>
    <w:rsid w:val="000B5759"/>
    <w:rsid w:val="000B7479"/>
    <w:rsid w:val="000C1E60"/>
    <w:rsid w:val="000C6277"/>
    <w:rsid w:val="000C7EC0"/>
    <w:rsid w:val="000E085D"/>
    <w:rsid w:val="000F1DE8"/>
    <w:rsid w:val="00100C8B"/>
    <w:rsid w:val="001033C8"/>
    <w:rsid w:val="0011619A"/>
    <w:rsid w:val="00131B00"/>
    <w:rsid w:val="00134947"/>
    <w:rsid w:val="00140B64"/>
    <w:rsid w:val="0014484C"/>
    <w:rsid w:val="00154208"/>
    <w:rsid w:val="00160D4C"/>
    <w:rsid w:val="0016621D"/>
    <w:rsid w:val="00172C52"/>
    <w:rsid w:val="0018320C"/>
    <w:rsid w:val="0018664F"/>
    <w:rsid w:val="001A4A7D"/>
    <w:rsid w:val="001A728E"/>
    <w:rsid w:val="001C24A2"/>
    <w:rsid w:val="001C3BB0"/>
    <w:rsid w:val="001C5A5E"/>
    <w:rsid w:val="001E2F59"/>
    <w:rsid w:val="0020281F"/>
    <w:rsid w:val="002069F3"/>
    <w:rsid w:val="00206F39"/>
    <w:rsid w:val="00212454"/>
    <w:rsid w:val="002214DD"/>
    <w:rsid w:val="0022291B"/>
    <w:rsid w:val="00226602"/>
    <w:rsid w:val="00236663"/>
    <w:rsid w:val="00241A6E"/>
    <w:rsid w:val="00244546"/>
    <w:rsid w:val="002512FF"/>
    <w:rsid w:val="00280A30"/>
    <w:rsid w:val="00294E2D"/>
    <w:rsid w:val="002B0B8D"/>
    <w:rsid w:val="002B6264"/>
    <w:rsid w:val="002C0452"/>
    <w:rsid w:val="002C590E"/>
    <w:rsid w:val="002D163D"/>
    <w:rsid w:val="002D2A33"/>
    <w:rsid w:val="002D3C8B"/>
    <w:rsid w:val="002F31AA"/>
    <w:rsid w:val="002F414C"/>
    <w:rsid w:val="00301D1A"/>
    <w:rsid w:val="00311243"/>
    <w:rsid w:val="003269FA"/>
    <w:rsid w:val="00334EF9"/>
    <w:rsid w:val="00335857"/>
    <w:rsid w:val="00340D93"/>
    <w:rsid w:val="003428B3"/>
    <w:rsid w:val="003607BC"/>
    <w:rsid w:val="0036271B"/>
    <w:rsid w:val="00364411"/>
    <w:rsid w:val="00371889"/>
    <w:rsid w:val="003760AA"/>
    <w:rsid w:val="003766D3"/>
    <w:rsid w:val="003902F2"/>
    <w:rsid w:val="00393C0C"/>
    <w:rsid w:val="003A03B4"/>
    <w:rsid w:val="003A7ED9"/>
    <w:rsid w:val="003B3C59"/>
    <w:rsid w:val="003C023C"/>
    <w:rsid w:val="003C08D4"/>
    <w:rsid w:val="003D2D2C"/>
    <w:rsid w:val="003D6597"/>
    <w:rsid w:val="004073BA"/>
    <w:rsid w:val="00476B97"/>
    <w:rsid w:val="004A5EF5"/>
    <w:rsid w:val="004B11D7"/>
    <w:rsid w:val="004B2161"/>
    <w:rsid w:val="004B3BEC"/>
    <w:rsid w:val="004B7688"/>
    <w:rsid w:val="004C06CE"/>
    <w:rsid w:val="004C412C"/>
    <w:rsid w:val="004C70F2"/>
    <w:rsid w:val="004C75A9"/>
    <w:rsid w:val="004D16D0"/>
    <w:rsid w:val="004D5C50"/>
    <w:rsid w:val="004E144B"/>
    <w:rsid w:val="004E6F15"/>
    <w:rsid w:val="00523928"/>
    <w:rsid w:val="005253EF"/>
    <w:rsid w:val="00555D66"/>
    <w:rsid w:val="005653DA"/>
    <w:rsid w:val="0056552F"/>
    <w:rsid w:val="005717F1"/>
    <w:rsid w:val="005742E1"/>
    <w:rsid w:val="005751AC"/>
    <w:rsid w:val="00586578"/>
    <w:rsid w:val="0059663E"/>
    <w:rsid w:val="005E79C3"/>
    <w:rsid w:val="005F40EB"/>
    <w:rsid w:val="006046D8"/>
    <w:rsid w:val="00612786"/>
    <w:rsid w:val="006169F3"/>
    <w:rsid w:val="00623BC1"/>
    <w:rsid w:val="00631422"/>
    <w:rsid w:val="00633E4D"/>
    <w:rsid w:val="00636943"/>
    <w:rsid w:val="0064074A"/>
    <w:rsid w:val="00641694"/>
    <w:rsid w:val="00650D42"/>
    <w:rsid w:val="00654A79"/>
    <w:rsid w:val="00657B2C"/>
    <w:rsid w:val="006816EE"/>
    <w:rsid w:val="00682449"/>
    <w:rsid w:val="0068455B"/>
    <w:rsid w:val="00684733"/>
    <w:rsid w:val="006A3593"/>
    <w:rsid w:val="006A61B3"/>
    <w:rsid w:val="006A68B6"/>
    <w:rsid w:val="006B449A"/>
    <w:rsid w:val="006B4697"/>
    <w:rsid w:val="006B5CF0"/>
    <w:rsid w:val="006B608D"/>
    <w:rsid w:val="006B7152"/>
    <w:rsid w:val="006D2E40"/>
    <w:rsid w:val="006D3926"/>
    <w:rsid w:val="006D5072"/>
    <w:rsid w:val="006E1314"/>
    <w:rsid w:val="006E3808"/>
    <w:rsid w:val="006E38BE"/>
    <w:rsid w:val="007141AC"/>
    <w:rsid w:val="00743041"/>
    <w:rsid w:val="00754855"/>
    <w:rsid w:val="00761227"/>
    <w:rsid w:val="00761C4F"/>
    <w:rsid w:val="00765F96"/>
    <w:rsid w:val="00771A97"/>
    <w:rsid w:val="00776DFC"/>
    <w:rsid w:val="0078485F"/>
    <w:rsid w:val="00795981"/>
    <w:rsid w:val="0079694C"/>
    <w:rsid w:val="007A044F"/>
    <w:rsid w:val="00820B9D"/>
    <w:rsid w:val="00825142"/>
    <w:rsid w:val="008305EE"/>
    <w:rsid w:val="00835D62"/>
    <w:rsid w:val="00864A87"/>
    <w:rsid w:val="008807DF"/>
    <w:rsid w:val="00881600"/>
    <w:rsid w:val="00893FCA"/>
    <w:rsid w:val="00894B4E"/>
    <w:rsid w:val="008A33A6"/>
    <w:rsid w:val="008B4F6C"/>
    <w:rsid w:val="008D0286"/>
    <w:rsid w:val="008E0A00"/>
    <w:rsid w:val="008E125E"/>
    <w:rsid w:val="008E4F8E"/>
    <w:rsid w:val="008E7BF4"/>
    <w:rsid w:val="008F02C2"/>
    <w:rsid w:val="008F6850"/>
    <w:rsid w:val="008F69EE"/>
    <w:rsid w:val="00911CC4"/>
    <w:rsid w:val="009215B4"/>
    <w:rsid w:val="00931059"/>
    <w:rsid w:val="00942ACD"/>
    <w:rsid w:val="009468B9"/>
    <w:rsid w:val="00966099"/>
    <w:rsid w:val="00966EF0"/>
    <w:rsid w:val="0097270C"/>
    <w:rsid w:val="00975324"/>
    <w:rsid w:val="00975E30"/>
    <w:rsid w:val="00982ECD"/>
    <w:rsid w:val="009855B9"/>
    <w:rsid w:val="009A055C"/>
    <w:rsid w:val="009C261B"/>
    <w:rsid w:val="009D2F93"/>
    <w:rsid w:val="009D47F7"/>
    <w:rsid w:val="009E6CD5"/>
    <w:rsid w:val="009F31C6"/>
    <w:rsid w:val="00A04103"/>
    <w:rsid w:val="00A250A5"/>
    <w:rsid w:val="00A31036"/>
    <w:rsid w:val="00A310A4"/>
    <w:rsid w:val="00A46475"/>
    <w:rsid w:val="00A56F4F"/>
    <w:rsid w:val="00A632EF"/>
    <w:rsid w:val="00A85C67"/>
    <w:rsid w:val="00A91629"/>
    <w:rsid w:val="00A9552F"/>
    <w:rsid w:val="00A96DC1"/>
    <w:rsid w:val="00AA0009"/>
    <w:rsid w:val="00AA5DCA"/>
    <w:rsid w:val="00AC380A"/>
    <w:rsid w:val="00AD1023"/>
    <w:rsid w:val="00AD2B51"/>
    <w:rsid w:val="00AD4810"/>
    <w:rsid w:val="00AD6761"/>
    <w:rsid w:val="00AF2F64"/>
    <w:rsid w:val="00B0178B"/>
    <w:rsid w:val="00B0447F"/>
    <w:rsid w:val="00B244AF"/>
    <w:rsid w:val="00B33076"/>
    <w:rsid w:val="00B428C7"/>
    <w:rsid w:val="00B45547"/>
    <w:rsid w:val="00B45B4C"/>
    <w:rsid w:val="00B5062B"/>
    <w:rsid w:val="00B506BD"/>
    <w:rsid w:val="00B556CC"/>
    <w:rsid w:val="00B62A14"/>
    <w:rsid w:val="00B7634B"/>
    <w:rsid w:val="00B81F35"/>
    <w:rsid w:val="00B85AD8"/>
    <w:rsid w:val="00BA7E9F"/>
    <w:rsid w:val="00BC51ED"/>
    <w:rsid w:val="00BD5A1B"/>
    <w:rsid w:val="00BD73D3"/>
    <w:rsid w:val="00BE79E0"/>
    <w:rsid w:val="00BF3756"/>
    <w:rsid w:val="00BF4B2D"/>
    <w:rsid w:val="00C15572"/>
    <w:rsid w:val="00C16EAB"/>
    <w:rsid w:val="00C17FCE"/>
    <w:rsid w:val="00C25845"/>
    <w:rsid w:val="00C2627D"/>
    <w:rsid w:val="00C30E4C"/>
    <w:rsid w:val="00C40981"/>
    <w:rsid w:val="00C66A64"/>
    <w:rsid w:val="00C82312"/>
    <w:rsid w:val="00C96AE1"/>
    <w:rsid w:val="00C9706E"/>
    <w:rsid w:val="00CA0CE6"/>
    <w:rsid w:val="00CA41AF"/>
    <w:rsid w:val="00CA50CA"/>
    <w:rsid w:val="00CA69B1"/>
    <w:rsid w:val="00CB0DC0"/>
    <w:rsid w:val="00CB3DCD"/>
    <w:rsid w:val="00CC48B7"/>
    <w:rsid w:val="00CC6B98"/>
    <w:rsid w:val="00CD2225"/>
    <w:rsid w:val="00CF4EAA"/>
    <w:rsid w:val="00D121BE"/>
    <w:rsid w:val="00D26068"/>
    <w:rsid w:val="00D34377"/>
    <w:rsid w:val="00D36EFE"/>
    <w:rsid w:val="00D43390"/>
    <w:rsid w:val="00D61807"/>
    <w:rsid w:val="00D65113"/>
    <w:rsid w:val="00D71676"/>
    <w:rsid w:val="00D7718B"/>
    <w:rsid w:val="00D8680D"/>
    <w:rsid w:val="00D9071B"/>
    <w:rsid w:val="00DA21C4"/>
    <w:rsid w:val="00DA40F3"/>
    <w:rsid w:val="00DA792E"/>
    <w:rsid w:val="00DF40FB"/>
    <w:rsid w:val="00E13D3A"/>
    <w:rsid w:val="00E269AA"/>
    <w:rsid w:val="00E27272"/>
    <w:rsid w:val="00E34D00"/>
    <w:rsid w:val="00E45391"/>
    <w:rsid w:val="00E47C28"/>
    <w:rsid w:val="00E546E5"/>
    <w:rsid w:val="00E71EF2"/>
    <w:rsid w:val="00E857A4"/>
    <w:rsid w:val="00E91B65"/>
    <w:rsid w:val="00E94BBB"/>
    <w:rsid w:val="00E96791"/>
    <w:rsid w:val="00E96983"/>
    <w:rsid w:val="00EA7656"/>
    <w:rsid w:val="00EB0F66"/>
    <w:rsid w:val="00EB3CF8"/>
    <w:rsid w:val="00EB3E62"/>
    <w:rsid w:val="00EC2A6B"/>
    <w:rsid w:val="00EC63EB"/>
    <w:rsid w:val="00ED7712"/>
    <w:rsid w:val="00EE2C02"/>
    <w:rsid w:val="00EE46D6"/>
    <w:rsid w:val="00EF3041"/>
    <w:rsid w:val="00F04721"/>
    <w:rsid w:val="00F06B2A"/>
    <w:rsid w:val="00F200CF"/>
    <w:rsid w:val="00F32328"/>
    <w:rsid w:val="00F408BA"/>
    <w:rsid w:val="00F5737F"/>
    <w:rsid w:val="00F70721"/>
    <w:rsid w:val="00F731D2"/>
    <w:rsid w:val="00F76B9A"/>
    <w:rsid w:val="00F8024D"/>
    <w:rsid w:val="00F9758D"/>
    <w:rsid w:val="00F97825"/>
    <w:rsid w:val="00FD1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D1E221"/>
  <w15:chartTrackingRefBased/>
  <w15:docId w15:val="{8810DB09-EA52-3745-8492-528722085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0178B"/>
    <w:rPr>
      <w:rFonts w:asciiTheme="minorHAnsi" w:hAnsiTheme="minorHAnsi" w:cstheme="min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810</Words>
  <Characters>4618</Characters>
  <Application>Microsoft Office Word</Application>
  <DocSecurity>0</DocSecurity>
  <Lines>38</Lines>
  <Paragraphs>10</Paragraphs>
  <ScaleCrop>false</ScaleCrop>
  <Company/>
  <LinksUpToDate>false</LinksUpToDate>
  <CharactersWithSpaces>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Woods</dc:creator>
  <cp:keywords/>
  <dc:description/>
  <cp:lastModifiedBy>David Woods</cp:lastModifiedBy>
  <cp:revision>1</cp:revision>
  <dcterms:created xsi:type="dcterms:W3CDTF">2018-07-10T13:30:00Z</dcterms:created>
  <dcterms:modified xsi:type="dcterms:W3CDTF">2018-07-10T13:31:00Z</dcterms:modified>
</cp:coreProperties>
</file>