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3848D" w14:textId="77777777" w:rsidR="001A213C" w:rsidRPr="00980FAF" w:rsidRDefault="001A213C" w:rsidP="00980FAF">
      <w:pPr>
        <w:spacing w:line="480" w:lineRule="auto"/>
        <w:jc w:val="both"/>
        <w:rPr>
          <w:rFonts w:ascii="Calibri" w:hAnsi="Calibri"/>
          <w:b/>
          <w:lang w:val="en-US"/>
        </w:rPr>
      </w:pPr>
      <w:r w:rsidRPr="00BB10CF">
        <w:rPr>
          <w:rFonts w:ascii="Calibri" w:hAnsi="Calibri"/>
          <w:b/>
          <w:lang w:val="en-US"/>
        </w:rPr>
        <w:t>Supplemental methods</w:t>
      </w:r>
      <w:r>
        <w:rPr>
          <w:rFonts w:ascii="Calibri" w:hAnsi="Calibri"/>
          <w:b/>
          <w:lang w:val="en-US"/>
        </w:rPr>
        <w:t xml:space="preserve"> and r</w:t>
      </w:r>
      <w:r w:rsidRPr="00980FAF">
        <w:rPr>
          <w:rFonts w:ascii="Calibri" w:hAnsi="Calibri"/>
          <w:b/>
          <w:lang w:val="en-US"/>
        </w:rPr>
        <w:t>esults</w:t>
      </w:r>
    </w:p>
    <w:p w14:paraId="0788FD47" w14:textId="20DEE3AD" w:rsidR="00A02FDA" w:rsidRPr="00980FAF" w:rsidRDefault="00A02FDA" w:rsidP="00980FAF">
      <w:pPr>
        <w:spacing w:line="480" w:lineRule="auto"/>
        <w:jc w:val="both"/>
        <w:rPr>
          <w:u w:val="single"/>
          <w:lang w:val="en-US"/>
        </w:rPr>
      </w:pPr>
      <w:r w:rsidRPr="00980FAF">
        <w:rPr>
          <w:lang w:val="en-US"/>
        </w:rPr>
        <w:t>This section provides detailed information about the patient cohort, imaging protocol, histopathology and image correlations.</w:t>
      </w:r>
      <w:bookmarkStart w:id="0" w:name="_GoBack"/>
      <w:bookmarkEnd w:id="0"/>
    </w:p>
    <w:p w14:paraId="462EABFE" w14:textId="77777777" w:rsidR="00A02FDA" w:rsidRPr="00980FAF" w:rsidRDefault="00A02FDA" w:rsidP="00980FAF">
      <w:pPr>
        <w:spacing w:line="480" w:lineRule="auto"/>
        <w:jc w:val="both"/>
        <w:rPr>
          <w:rFonts w:ascii="Calibri" w:hAnsi="Calibri"/>
          <w:i/>
          <w:lang w:val="en"/>
        </w:rPr>
      </w:pPr>
    </w:p>
    <w:p w14:paraId="27D0D045" w14:textId="77777777" w:rsidR="001A213C" w:rsidRPr="00980FAF" w:rsidRDefault="001A213C" w:rsidP="00980FAF">
      <w:pPr>
        <w:spacing w:line="480" w:lineRule="auto"/>
        <w:jc w:val="both"/>
        <w:rPr>
          <w:rFonts w:ascii="Calibri" w:hAnsi="Calibri"/>
          <w:i/>
          <w:lang w:val="en"/>
        </w:rPr>
      </w:pPr>
      <w:r w:rsidRPr="00980FAF">
        <w:rPr>
          <w:rFonts w:ascii="Calibri" w:hAnsi="Calibri"/>
          <w:i/>
          <w:lang w:val="en"/>
        </w:rPr>
        <w:t>Patient cohorts</w:t>
      </w:r>
    </w:p>
    <w:p w14:paraId="10D29FA4" w14:textId="77777777" w:rsidR="001A213C" w:rsidRPr="00980FAF" w:rsidRDefault="001A213C" w:rsidP="00980FAF">
      <w:pPr>
        <w:spacing w:line="480" w:lineRule="auto"/>
        <w:jc w:val="both"/>
        <w:rPr>
          <w:rFonts w:ascii="Calibri" w:hAnsi="Calibri"/>
          <w:lang w:val="en"/>
        </w:rPr>
      </w:pPr>
      <w:r w:rsidRPr="00980FAF">
        <w:rPr>
          <w:rFonts w:ascii="Calibri" w:hAnsi="Calibri"/>
          <w:lang w:val="en"/>
        </w:rPr>
        <w:t>This study served as a prospective training cohort in the scope of an ongoing prospective diagnostic trial (</w:t>
      </w:r>
      <w:r w:rsidRPr="00980FAF">
        <w:rPr>
          <w:rFonts w:ascii="Calibri" w:hAnsi="Calibri"/>
          <w:lang w:val="en-US"/>
        </w:rPr>
        <w:t>clinicaltrials.gov NCT02659527)</w:t>
      </w:r>
      <w:r w:rsidRPr="00980FAF">
        <w:rPr>
          <w:rFonts w:ascii="Calibri" w:hAnsi="Calibri"/>
          <w:lang w:val="en"/>
        </w:rPr>
        <w:t xml:space="preserve"> applying PSMA-PET/MRI in patients suspicious of having prostate cancer due to elevated PSA levels (validation cohort). The inclusion and exclusion criteria of the training cohort were: </w:t>
      </w:r>
    </w:p>
    <w:p w14:paraId="7B430F5F" w14:textId="77777777" w:rsidR="001A213C" w:rsidRPr="00980FAF" w:rsidRDefault="001A213C" w:rsidP="00980FAF">
      <w:pPr>
        <w:spacing w:line="480" w:lineRule="auto"/>
        <w:jc w:val="both"/>
        <w:rPr>
          <w:rFonts w:ascii="Calibri" w:hAnsi="Calibri"/>
          <w:i/>
          <w:lang w:val="en"/>
        </w:rPr>
      </w:pPr>
      <w:r w:rsidRPr="00980FAF">
        <w:rPr>
          <w:rFonts w:ascii="Calibri" w:hAnsi="Calibri"/>
          <w:i/>
          <w:lang w:val="en"/>
        </w:rPr>
        <w:t>Inclusion Criteria</w:t>
      </w:r>
    </w:p>
    <w:p w14:paraId="56B1A393" w14:textId="77777777" w:rsidR="001A213C" w:rsidRPr="00980FAF" w:rsidRDefault="001A213C" w:rsidP="00980FAF">
      <w:pPr>
        <w:spacing w:line="480" w:lineRule="auto"/>
        <w:jc w:val="both"/>
        <w:rPr>
          <w:rFonts w:ascii="Calibri" w:hAnsi="Calibri"/>
          <w:lang w:val="en"/>
        </w:rPr>
      </w:pPr>
      <w:r w:rsidRPr="00980FAF">
        <w:rPr>
          <w:rFonts w:ascii="Calibri" w:hAnsi="Calibri"/>
          <w:lang w:val="en"/>
        </w:rPr>
        <w:t xml:space="preserve">- </w:t>
      </w:r>
      <w:proofErr w:type="gramStart"/>
      <w:r w:rsidRPr="00980FAF">
        <w:rPr>
          <w:rFonts w:ascii="Calibri" w:hAnsi="Calibri"/>
          <w:lang w:val="en"/>
        </w:rPr>
        <w:t>biopsy</w:t>
      </w:r>
      <w:proofErr w:type="gramEnd"/>
      <w:r w:rsidRPr="00980FAF">
        <w:rPr>
          <w:rFonts w:ascii="Calibri" w:hAnsi="Calibri"/>
          <w:lang w:val="en"/>
        </w:rPr>
        <w:t xml:space="preserve"> proven carcinoma of the prostate</w:t>
      </w:r>
    </w:p>
    <w:p w14:paraId="77DD262D" w14:textId="77777777" w:rsidR="001A213C" w:rsidRPr="00980FAF" w:rsidRDefault="001A213C" w:rsidP="00980FAF">
      <w:pPr>
        <w:pStyle w:val="Listenabsatz"/>
        <w:spacing w:line="480" w:lineRule="auto"/>
        <w:ind w:left="0"/>
        <w:jc w:val="both"/>
        <w:rPr>
          <w:rFonts w:ascii="Calibri" w:hAnsi="Calibri"/>
          <w:lang w:val="en"/>
        </w:rPr>
      </w:pPr>
      <w:r w:rsidRPr="00980FAF">
        <w:rPr>
          <w:rFonts w:ascii="Calibri" w:hAnsi="Calibri"/>
          <w:lang w:val="en"/>
        </w:rPr>
        <w:t>- scheduled radical prostatectomy</w:t>
      </w:r>
    </w:p>
    <w:p w14:paraId="7A0E7C23" w14:textId="77777777" w:rsidR="001A213C" w:rsidRPr="00980FAF" w:rsidRDefault="001A213C" w:rsidP="00980FAF">
      <w:pPr>
        <w:spacing w:line="480" w:lineRule="auto"/>
        <w:jc w:val="both"/>
        <w:rPr>
          <w:rFonts w:ascii="Calibri" w:hAnsi="Calibri"/>
          <w:i/>
          <w:lang w:val="en"/>
        </w:rPr>
      </w:pPr>
      <w:r w:rsidRPr="00980FAF">
        <w:rPr>
          <w:rFonts w:ascii="Calibri" w:hAnsi="Calibri"/>
          <w:i/>
          <w:lang w:val="en"/>
        </w:rPr>
        <w:t>Exclusion Criteria</w:t>
      </w:r>
    </w:p>
    <w:p w14:paraId="18BD4B38" w14:textId="77777777" w:rsidR="001A213C" w:rsidRPr="00980FAF" w:rsidRDefault="001A213C" w:rsidP="00980FAF">
      <w:pPr>
        <w:spacing w:line="480" w:lineRule="auto"/>
        <w:jc w:val="both"/>
        <w:rPr>
          <w:rFonts w:ascii="Calibri" w:hAnsi="Calibri"/>
          <w:lang w:val="en"/>
        </w:rPr>
      </w:pPr>
      <w:r w:rsidRPr="00980FAF">
        <w:rPr>
          <w:rFonts w:ascii="Calibri" w:hAnsi="Calibri"/>
          <w:lang w:val="en"/>
        </w:rPr>
        <w:t xml:space="preserve">- </w:t>
      </w:r>
      <w:proofErr w:type="gramStart"/>
      <w:r w:rsidRPr="00980FAF">
        <w:rPr>
          <w:rFonts w:ascii="Calibri" w:hAnsi="Calibri"/>
          <w:lang w:val="en"/>
        </w:rPr>
        <w:t>antiandrogen</w:t>
      </w:r>
      <w:proofErr w:type="gramEnd"/>
      <w:r w:rsidRPr="00980FAF">
        <w:rPr>
          <w:rFonts w:ascii="Calibri" w:hAnsi="Calibri"/>
          <w:lang w:val="en"/>
        </w:rPr>
        <w:t xml:space="preserve"> therapy</w:t>
      </w:r>
    </w:p>
    <w:p w14:paraId="30FB6A9A" w14:textId="77777777" w:rsidR="001A213C" w:rsidRPr="00980FAF" w:rsidRDefault="001A213C" w:rsidP="00980FAF">
      <w:pPr>
        <w:spacing w:line="480" w:lineRule="auto"/>
        <w:jc w:val="both"/>
        <w:rPr>
          <w:rFonts w:ascii="Calibri" w:hAnsi="Calibri"/>
          <w:lang w:val="en"/>
        </w:rPr>
      </w:pPr>
      <w:r w:rsidRPr="00980FAF">
        <w:rPr>
          <w:rFonts w:ascii="Calibri" w:hAnsi="Calibri"/>
          <w:lang w:val="en"/>
        </w:rPr>
        <w:t xml:space="preserve">- </w:t>
      </w:r>
      <w:proofErr w:type="gramStart"/>
      <w:r w:rsidRPr="00980FAF">
        <w:rPr>
          <w:rFonts w:ascii="Calibri" w:hAnsi="Calibri"/>
          <w:lang w:val="en"/>
        </w:rPr>
        <w:t>patient</w:t>
      </w:r>
      <w:proofErr w:type="gramEnd"/>
      <w:r w:rsidRPr="00980FAF">
        <w:rPr>
          <w:rFonts w:ascii="Calibri" w:hAnsi="Calibri"/>
          <w:lang w:val="en"/>
        </w:rPr>
        <w:t xml:space="preserve"> not eligible for 3 Tesla MRI</w:t>
      </w:r>
    </w:p>
    <w:p w14:paraId="383565D2" w14:textId="77777777" w:rsidR="001A213C" w:rsidRPr="00980FAF" w:rsidRDefault="001A213C" w:rsidP="00980FAF">
      <w:pPr>
        <w:spacing w:line="480" w:lineRule="auto"/>
        <w:jc w:val="both"/>
        <w:rPr>
          <w:rFonts w:ascii="Calibri" w:hAnsi="Calibri"/>
          <w:lang w:val="en"/>
        </w:rPr>
      </w:pPr>
      <w:r w:rsidRPr="00980FAF">
        <w:rPr>
          <w:rFonts w:ascii="Calibri" w:hAnsi="Calibri"/>
          <w:lang w:val="en"/>
        </w:rPr>
        <w:t xml:space="preserve">- </w:t>
      </w:r>
      <w:proofErr w:type="gramStart"/>
      <w:r w:rsidRPr="00980FAF">
        <w:rPr>
          <w:rFonts w:ascii="Calibri" w:hAnsi="Calibri"/>
          <w:lang w:val="en"/>
        </w:rPr>
        <w:t>prostate</w:t>
      </w:r>
      <w:proofErr w:type="gramEnd"/>
      <w:r w:rsidRPr="00980FAF">
        <w:rPr>
          <w:rFonts w:ascii="Calibri" w:hAnsi="Calibri"/>
          <w:lang w:val="en"/>
        </w:rPr>
        <w:t xml:space="preserve"> needle biopsy &lt;21 days before PET/MRI</w:t>
      </w:r>
    </w:p>
    <w:p w14:paraId="738FF4E4" w14:textId="77777777" w:rsidR="001A213C" w:rsidRPr="00980FAF" w:rsidRDefault="001A213C" w:rsidP="00980FAF">
      <w:pPr>
        <w:spacing w:line="480" w:lineRule="auto"/>
        <w:jc w:val="both"/>
        <w:rPr>
          <w:rFonts w:ascii="Calibri" w:hAnsi="Calibri"/>
          <w:lang w:val="en"/>
        </w:rPr>
      </w:pPr>
      <w:r w:rsidRPr="00980FAF">
        <w:rPr>
          <w:rFonts w:ascii="Calibri" w:hAnsi="Calibri"/>
          <w:lang w:val="en"/>
        </w:rPr>
        <w:t>- known active secondary cancer</w:t>
      </w:r>
    </w:p>
    <w:p w14:paraId="74B2B33B" w14:textId="77777777" w:rsidR="001A213C" w:rsidRPr="00980FAF" w:rsidRDefault="001A213C" w:rsidP="00980FAF">
      <w:pPr>
        <w:spacing w:line="480" w:lineRule="auto"/>
        <w:jc w:val="both"/>
        <w:rPr>
          <w:rFonts w:ascii="Calibri" w:hAnsi="Calibri"/>
          <w:lang w:val="en"/>
        </w:rPr>
      </w:pPr>
      <w:r w:rsidRPr="00980FAF">
        <w:rPr>
          <w:rFonts w:ascii="Calibri" w:hAnsi="Calibri"/>
          <w:lang w:val="en"/>
        </w:rPr>
        <w:t xml:space="preserve">- </w:t>
      </w:r>
      <w:proofErr w:type="spellStart"/>
      <w:proofErr w:type="gramStart"/>
      <w:r w:rsidRPr="00980FAF">
        <w:rPr>
          <w:rFonts w:ascii="Calibri" w:hAnsi="Calibri"/>
          <w:lang w:val="en"/>
        </w:rPr>
        <w:t>endorectal</w:t>
      </w:r>
      <w:proofErr w:type="spellEnd"/>
      <w:proofErr w:type="gramEnd"/>
      <w:r w:rsidRPr="00980FAF">
        <w:rPr>
          <w:rFonts w:ascii="Calibri" w:hAnsi="Calibri"/>
          <w:lang w:val="en"/>
        </w:rPr>
        <w:t xml:space="preserve"> coil not applicable (e.g. anus praetor with short rectal stump)</w:t>
      </w:r>
    </w:p>
    <w:p w14:paraId="0692C790" w14:textId="77777777" w:rsidR="001A213C" w:rsidRPr="00980FAF" w:rsidRDefault="001A213C" w:rsidP="00980FAF">
      <w:pPr>
        <w:spacing w:line="480" w:lineRule="auto"/>
        <w:jc w:val="both"/>
        <w:rPr>
          <w:rFonts w:ascii="Calibri" w:hAnsi="Calibri"/>
          <w:lang w:val="en"/>
        </w:rPr>
      </w:pPr>
      <w:r w:rsidRPr="00980FAF">
        <w:rPr>
          <w:rFonts w:ascii="Calibri" w:hAnsi="Calibri"/>
          <w:lang w:val="en"/>
        </w:rPr>
        <w:t>- known anaphylaxis against gadolinium-DOTA</w:t>
      </w:r>
    </w:p>
    <w:p w14:paraId="47FE8CCB" w14:textId="77777777" w:rsidR="001A213C" w:rsidRPr="00980FAF" w:rsidRDefault="001A213C" w:rsidP="00980FAF">
      <w:pPr>
        <w:spacing w:line="480" w:lineRule="auto"/>
        <w:jc w:val="both"/>
        <w:rPr>
          <w:rFonts w:ascii="Calibri" w:hAnsi="Calibri"/>
          <w:lang w:val="en"/>
        </w:rPr>
      </w:pPr>
      <w:r w:rsidRPr="00980FAF">
        <w:rPr>
          <w:rFonts w:ascii="Calibri" w:hAnsi="Calibri"/>
          <w:lang w:val="en"/>
        </w:rPr>
        <w:t xml:space="preserve">- </w:t>
      </w:r>
      <w:proofErr w:type="gramStart"/>
      <w:r w:rsidRPr="00980FAF">
        <w:rPr>
          <w:rFonts w:ascii="Calibri" w:hAnsi="Calibri"/>
          <w:lang w:val="en"/>
        </w:rPr>
        <w:t>patient's</w:t>
      </w:r>
      <w:proofErr w:type="gramEnd"/>
      <w:r w:rsidRPr="00980FAF">
        <w:rPr>
          <w:rFonts w:ascii="Calibri" w:hAnsi="Calibri"/>
          <w:lang w:val="en"/>
        </w:rPr>
        <w:t xml:space="preserve"> written informed consent not given</w:t>
      </w:r>
    </w:p>
    <w:p w14:paraId="0B6C2B67" w14:textId="02119F55" w:rsidR="001A213C" w:rsidRPr="00980FAF" w:rsidRDefault="001A213C" w:rsidP="00980FAF">
      <w:pPr>
        <w:spacing w:line="480" w:lineRule="auto"/>
        <w:rPr>
          <w:rFonts w:ascii="Calibri" w:hAnsi="Calibri"/>
          <w:lang w:val="en"/>
        </w:rPr>
      </w:pPr>
      <w:r w:rsidRPr="00980FAF">
        <w:rPr>
          <w:rFonts w:ascii="Calibri" w:hAnsi="Calibri"/>
          <w:lang w:val="en"/>
        </w:rPr>
        <w:t xml:space="preserve">- </w:t>
      </w:r>
      <w:proofErr w:type="gramStart"/>
      <w:r w:rsidRPr="00980FAF">
        <w:rPr>
          <w:rFonts w:ascii="Calibri" w:hAnsi="Calibri"/>
          <w:lang w:val="en"/>
        </w:rPr>
        <w:t>prostatectomy</w:t>
      </w:r>
      <w:proofErr w:type="gramEnd"/>
      <w:r w:rsidRPr="00980FAF">
        <w:rPr>
          <w:rFonts w:ascii="Calibri" w:hAnsi="Calibri"/>
          <w:lang w:val="en"/>
        </w:rPr>
        <w:t xml:space="preserve"> compound not available for detailed histology</w:t>
      </w:r>
      <w:r w:rsidR="00A14BC4" w:rsidRPr="00980FAF">
        <w:rPr>
          <w:rFonts w:ascii="Calibri" w:hAnsi="Calibri"/>
          <w:lang w:val="en"/>
        </w:rPr>
        <w:t xml:space="preserve"> (in case of radical prostatectomy)</w:t>
      </w:r>
      <w:r w:rsidRPr="00980FAF">
        <w:rPr>
          <w:rFonts w:ascii="Calibri" w:hAnsi="Calibri"/>
          <w:lang w:val="en"/>
        </w:rPr>
        <w:t xml:space="preserve"> </w:t>
      </w:r>
    </w:p>
    <w:p w14:paraId="4FC9D839" w14:textId="77777777" w:rsidR="001A213C" w:rsidRPr="00980FAF" w:rsidRDefault="001A213C" w:rsidP="00980FAF">
      <w:pPr>
        <w:spacing w:line="480" w:lineRule="auto"/>
        <w:jc w:val="both"/>
        <w:rPr>
          <w:rFonts w:ascii="Calibri" w:hAnsi="Calibri"/>
          <w:lang w:val="en"/>
        </w:rPr>
      </w:pPr>
    </w:p>
    <w:p w14:paraId="0D78D954" w14:textId="77777777" w:rsidR="001A213C" w:rsidRPr="00980FAF" w:rsidRDefault="001A213C" w:rsidP="00980FAF">
      <w:pPr>
        <w:spacing w:line="480" w:lineRule="auto"/>
        <w:rPr>
          <w:rFonts w:ascii="Calibri" w:hAnsi="Calibri"/>
          <w:i/>
          <w:lang w:val="en-US"/>
        </w:rPr>
      </w:pPr>
      <w:r w:rsidRPr="00980FAF">
        <w:rPr>
          <w:rFonts w:ascii="Calibri" w:hAnsi="Calibri"/>
          <w:i/>
          <w:lang w:val="en-US"/>
        </w:rPr>
        <w:t>Imaging protocol</w:t>
      </w:r>
    </w:p>
    <w:p w14:paraId="70361E17" w14:textId="77777777" w:rsidR="001A213C" w:rsidRPr="00980FAF" w:rsidRDefault="001A213C" w:rsidP="00980FAF">
      <w:pPr>
        <w:spacing w:line="480" w:lineRule="auto"/>
        <w:rPr>
          <w:rFonts w:ascii="Calibri" w:hAnsi="Calibri"/>
          <w:lang w:val="en-US"/>
        </w:rPr>
      </w:pPr>
      <w:r w:rsidRPr="00980FAF">
        <w:rPr>
          <w:rFonts w:ascii="Calibri" w:hAnsi="Calibri"/>
          <w:lang w:val="en-US"/>
        </w:rPr>
        <w:lastRenderedPageBreak/>
        <w:tab/>
        <w:t>Local and staging PET-MRI</w:t>
      </w:r>
    </w:p>
    <w:p w14:paraId="672D497F" w14:textId="77777777" w:rsidR="001A213C" w:rsidRPr="00980FAF" w:rsidRDefault="001A213C" w:rsidP="00980FAF">
      <w:pPr>
        <w:spacing w:line="480" w:lineRule="auto"/>
        <w:jc w:val="both"/>
        <w:rPr>
          <w:rFonts w:ascii="Calibri" w:hAnsi="Calibri"/>
          <w:lang w:val="en-US"/>
        </w:rPr>
      </w:pPr>
      <w:r w:rsidRPr="00980FAF">
        <w:rPr>
          <w:rFonts w:ascii="Calibri" w:hAnsi="Calibri"/>
          <w:lang w:val="en-US"/>
        </w:rPr>
        <w:t xml:space="preserve">All PET-MRI examinations were performed using a hybrid PET-MRI system (Biograph </w:t>
      </w:r>
      <w:proofErr w:type="spellStart"/>
      <w:r w:rsidRPr="00980FAF">
        <w:rPr>
          <w:rFonts w:ascii="Calibri" w:hAnsi="Calibri"/>
          <w:lang w:val="en-US"/>
        </w:rPr>
        <w:t>mMR</w:t>
      </w:r>
      <w:proofErr w:type="spellEnd"/>
      <w:r w:rsidRPr="00980FAF">
        <w:rPr>
          <w:rFonts w:ascii="Calibri" w:hAnsi="Calibri"/>
          <w:lang w:val="en-US"/>
        </w:rPr>
        <w:t xml:space="preserve">, Siemens, Germany) capable of simultaneous data acquisition. The system consists of an MRI-compatible state-of the art PET detector integrated in a 3.0-T whole-body MRI scanner. In short, the PET detector technology relies on lutetium </w:t>
      </w:r>
      <w:proofErr w:type="spellStart"/>
      <w:r w:rsidRPr="00980FAF">
        <w:rPr>
          <w:rFonts w:ascii="Calibri" w:hAnsi="Calibri"/>
          <w:lang w:val="en-US"/>
        </w:rPr>
        <w:t>oxyorthosilicate</w:t>
      </w:r>
      <w:proofErr w:type="spellEnd"/>
      <w:r w:rsidRPr="00980FAF">
        <w:rPr>
          <w:rFonts w:ascii="Calibri" w:hAnsi="Calibri"/>
          <w:lang w:val="en-US"/>
        </w:rPr>
        <w:t xml:space="preserve"> scintillation crystals in combination with MRI-compatible avalanche photodiodes instead of photomultiplier tubes. The PET component uses a 3-dimensional (3D) acquisition technique and offers an axial FOV of approximately 23 cm and a transversal FOV of 45 cm. The gradient system of the MRI scanner operates with a maximum gradient strength of 45 </w:t>
      </w:r>
      <w:proofErr w:type="spellStart"/>
      <w:r w:rsidRPr="00980FAF">
        <w:rPr>
          <w:rFonts w:ascii="Calibri" w:hAnsi="Calibri"/>
          <w:lang w:val="en-US"/>
        </w:rPr>
        <w:t>mT</w:t>
      </w:r>
      <w:proofErr w:type="spellEnd"/>
      <w:r w:rsidRPr="00980FAF">
        <w:rPr>
          <w:rFonts w:ascii="Calibri" w:hAnsi="Calibri"/>
          <w:lang w:val="en-US"/>
        </w:rPr>
        <w:t xml:space="preserve">/m and a slew rate of 200 T/m/s in all 3 axes. </w:t>
      </w:r>
    </w:p>
    <w:p w14:paraId="4F6971C4" w14:textId="77777777" w:rsidR="001A213C" w:rsidRPr="00980FAF" w:rsidRDefault="001A213C" w:rsidP="00980FAF">
      <w:pPr>
        <w:spacing w:line="480" w:lineRule="auto"/>
        <w:jc w:val="both"/>
        <w:rPr>
          <w:rFonts w:ascii="Calibri" w:hAnsi="Calibri"/>
          <w:lang w:val="en-US"/>
        </w:rPr>
      </w:pPr>
    </w:p>
    <w:p w14:paraId="1B3E43DF" w14:textId="77777777" w:rsidR="001A213C" w:rsidRPr="00980FAF" w:rsidRDefault="001A213C" w:rsidP="00980FAF">
      <w:pPr>
        <w:spacing w:line="480" w:lineRule="auto"/>
        <w:jc w:val="both"/>
        <w:rPr>
          <w:rFonts w:ascii="Calibri" w:hAnsi="Calibri"/>
          <w:lang w:val="en-US"/>
        </w:rPr>
      </w:pPr>
      <w:r w:rsidRPr="00980FAF">
        <w:rPr>
          <w:rFonts w:ascii="Calibri" w:hAnsi="Calibri"/>
          <w:lang w:val="en-US"/>
        </w:rPr>
        <w:tab/>
        <w:t xml:space="preserve">PET studies </w:t>
      </w:r>
    </w:p>
    <w:p w14:paraId="3EBE896B" w14:textId="50A0BA41" w:rsidR="001A213C" w:rsidRPr="00980FAF" w:rsidRDefault="001A213C" w:rsidP="00980FAF">
      <w:pPr>
        <w:spacing w:line="480" w:lineRule="auto"/>
        <w:jc w:val="both"/>
        <w:rPr>
          <w:rFonts w:ascii="Calibri" w:hAnsi="Calibri"/>
          <w:lang w:val="en-US"/>
        </w:rPr>
      </w:pPr>
      <w:r w:rsidRPr="00980FAF">
        <w:rPr>
          <w:rFonts w:ascii="Calibri" w:hAnsi="Calibri"/>
          <w:lang w:val="en-US"/>
        </w:rPr>
        <w:t xml:space="preserve">Patients received PET/MRI scans, starting with a 45 minutes local list mode scan immediately after the injection of 2 </w:t>
      </w:r>
      <w:proofErr w:type="spellStart"/>
      <w:r w:rsidRPr="00980FAF">
        <w:rPr>
          <w:rFonts w:ascii="Calibri" w:hAnsi="Calibri"/>
          <w:lang w:val="en-US"/>
        </w:rPr>
        <w:t>MBq</w:t>
      </w:r>
      <w:proofErr w:type="spellEnd"/>
      <w:r w:rsidRPr="00980FAF">
        <w:rPr>
          <w:rFonts w:ascii="Calibri" w:hAnsi="Calibri"/>
          <w:lang w:val="en-US"/>
        </w:rPr>
        <w:t xml:space="preserve">/kg body weight </w:t>
      </w:r>
      <w:r w:rsidRPr="00980FAF">
        <w:rPr>
          <w:lang w:val="es-ES"/>
        </w:rPr>
        <w:t>[</w:t>
      </w:r>
      <w:r w:rsidRPr="00980FAF">
        <w:rPr>
          <w:vertAlign w:val="superscript"/>
          <w:lang w:val="es-ES"/>
        </w:rPr>
        <w:t>68</w:t>
      </w:r>
      <w:r w:rsidRPr="00980FAF">
        <w:rPr>
          <w:lang w:val="es-ES"/>
        </w:rPr>
        <w:t>Ga</w:t>
      </w:r>
      <w:proofErr w:type="gramStart"/>
      <w:r w:rsidRPr="00980FAF">
        <w:rPr>
          <w:lang w:val="es-ES"/>
        </w:rPr>
        <w:t>]Ga</w:t>
      </w:r>
      <w:proofErr w:type="gramEnd"/>
      <w:r w:rsidRPr="00980FAF">
        <w:rPr>
          <w:lang w:val="es-ES"/>
        </w:rPr>
        <w:t xml:space="preserve">-PSMA-11 (PSMA) </w:t>
      </w:r>
      <w:r w:rsidRPr="00980FAF">
        <w:rPr>
          <w:rFonts w:ascii="Calibri" w:hAnsi="Calibri"/>
          <w:lang w:val="en-US"/>
        </w:rPr>
        <w:t>intravenously</w:t>
      </w:r>
      <w:r w:rsidR="00033C94" w:rsidRPr="00980FAF">
        <w:rPr>
          <w:rFonts w:ascii="Calibri" w:hAnsi="Calibri"/>
          <w:lang w:val="en-US"/>
        </w:rPr>
        <w:t xml:space="preserve"> while acquiring the prostate MRI sequences</w:t>
      </w:r>
      <w:r w:rsidRPr="00980FAF">
        <w:rPr>
          <w:rFonts w:ascii="Calibri" w:hAnsi="Calibri"/>
          <w:lang w:val="en-US"/>
        </w:rPr>
        <w:t>. Patients were hydrated with 500 ml sodium chloride 30 minutes before</w:t>
      </w:r>
      <w:r w:rsidR="00033C94" w:rsidRPr="00980FAF">
        <w:rPr>
          <w:rFonts w:ascii="Calibri" w:hAnsi="Calibri"/>
          <w:lang w:val="en-US"/>
        </w:rPr>
        <w:t>.</w:t>
      </w:r>
      <w:r w:rsidRPr="00980FAF">
        <w:rPr>
          <w:rFonts w:ascii="Calibri" w:hAnsi="Calibri"/>
          <w:lang w:val="en-US"/>
        </w:rPr>
        <w:t xml:space="preserve"> 20mg furosemide was injected intravenously before the PSMA application</w:t>
      </w:r>
      <w:r w:rsidR="00033C94" w:rsidRPr="00980FAF">
        <w:rPr>
          <w:rFonts w:ascii="Calibri" w:hAnsi="Calibri"/>
          <w:lang w:val="en-US"/>
        </w:rPr>
        <w:t xml:space="preserve"> for forced diuresis</w:t>
      </w:r>
      <w:r w:rsidRPr="00980FAF">
        <w:rPr>
          <w:rFonts w:ascii="Calibri" w:hAnsi="Calibri"/>
          <w:lang w:val="en-US"/>
        </w:rPr>
        <w:t xml:space="preserve">. </w:t>
      </w:r>
      <w:r w:rsidR="00033C94" w:rsidRPr="00980FAF">
        <w:rPr>
          <w:rFonts w:ascii="Calibri" w:hAnsi="Calibri"/>
          <w:lang w:val="en-US"/>
        </w:rPr>
        <w:t>P</w:t>
      </w:r>
      <w:r w:rsidRPr="00980FAF">
        <w:rPr>
          <w:rFonts w:ascii="Calibri" w:hAnsi="Calibri"/>
          <w:lang w:val="en-US"/>
        </w:rPr>
        <w:t xml:space="preserve">atients received a bladder catheter before the PET/MRI examinations to ensure stable assessment of the prostatic region. The final whole body scan was performed with 4 bed positions, 4 minutes </w:t>
      </w:r>
      <w:proofErr w:type="spellStart"/>
      <w:r w:rsidRPr="00980FAF">
        <w:rPr>
          <w:rFonts w:ascii="Calibri" w:hAnsi="Calibri"/>
          <w:lang w:val="en-US"/>
        </w:rPr>
        <w:t>sinogram</w:t>
      </w:r>
      <w:proofErr w:type="spellEnd"/>
      <w:r w:rsidRPr="00980FAF">
        <w:rPr>
          <w:rFonts w:ascii="Calibri" w:hAnsi="Calibri"/>
          <w:lang w:val="en-US"/>
        </w:rPr>
        <w:t xml:space="preserve"> mode each. Reconstruction parameters for PET were: 3 iterations/ 21 subsets for static images; 1 frame/2 minutes with 3 iterations/21 subsets for </w:t>
      </w:r>
      <w:proofErr w:type="spellStart"/>
      <w:r w:rsidRPr="00980FAF">
        <w:rPr>
          <w:rFonts w:ascii="Calibri" w:hAnsi="Calibri"/>
          <w:lang w:val="en-US"/>
        </w:rPr>
        <w:t>listmode</w:t>
      </w:r>
      <w:proofErr w:type="spellEnd"/>
      <w:r w:rsidRPr="00980FAF">
        <w:rPr>
          <w:rFonts w:ascii="Calibri" w:hAnsi="Calibri"/>
          <w:lang w:val="en-US"/>
        </w:rPr>
        <w:t xml:space="preserve"> PSMA data as well as the summation of the last 10 minutes PSMA acquisition for visual analysis. Nuclear medicine assessment was performed using 35-45 minutes summed frames of the local PSMA-PET fused with T2w HR sequences as well as </w:t>
      </w:r>
      <w:r w:rsidRPr="00980FAF">
        <w:rPr>
          <w:rFonts w:ascii="Calibri" w:hAnsi="Calibri"/>
          <w:lang w:val="en-US"/>
        </w:rPr>
        <w:lastRenderedPageBreak/>
        <w:t xml:space="preserve">whole body PET fused with axial T1 VIBE CE fs and coronal T2 HASTE. Hermes Hybrid 3D (Hermes Medical Solutions, Sweden) was used for analyses. </w:t>
      </w:r>
    </w:p>
    <w:p w14:paraId="2EAAABAF" w14:textId="77777777" w:rsidR="001A213C" w:rsidRPr="00980FAF" w:rsidRDefault="001A213C" w:rsidP="00980FAF">
      <w:pPr>
        <w:spacing w:line="480" w:lineRule="auto"/>
        <w:jc w:val="both"/>
        <w:rPr>
          <w:rFonts w:ascii="Calibri" w:hAnsi="Calibri"/>
          <w:lang w:val="en-US"/>
        </w:rPr>
      </w:pPr>
    </w:p>
    <w:p w14:paraId="64891BEF" w14:textId="77777777" w:rsidR="001A213C" w:rsidRPr="00980FAF" w:rsidRDefault="001A213C" w:rsidP="00980FAF">
      <w:pPr>
        <w:spacing w:line="480" w:lineRule="auto"/>
        <w:jc w:val="both"/>
        <w:rPr>
          <w:rFonts w:ascii="Calibri" w:hAnsi="Calibri"/>
          <w:lang w:val="en-US"/>
        </w:rPr>
      </w:pPr>
      <w:r w:rsidRPr="00980FAF">
        <w:rPr>
          <w:rFonts w:ascii="Calibri" w:hAnsi="Calibri"/>
          <w:lang w:val="en-US"/>
        </w:rPr>
        <w:tab/>
        <w:t xml:space="preserve">MRI studies </w:t>
      </w:r>
    </w:p>
    <w:p w14:paraId="7B0184F9" w14:textId="7C662D28" w:rsidR="001A213C" w:rsidRPr="00980FAF" w:rsidRDefault="001A213C" w:rsidP="00980FAF">
      <w:pPr>
        <w:spacing w:line="480" w:lineRule="auto"/>
        <w:jc w:val="both"/>
        <w:rPr>
          <w:rFonts w:ascii="Calibri" w:hAnsi="Calibri"/>
          <w:lang w:val="en-US"/>
        </w:rPr>
      </w:pPr>
      <w:r w:rsidRPr="00980FAF">
        <w:rPr>
          <w:rFonts w:ascii="Calibri" w:hAnsi="Calibri"/>
          <w:lang w:val="en-US"/>
        </w:rPr>
        <w:t xml:space="preserve">Morphological and functional MRI (T2-weighted, DCE-MRI, </w:t>
      </w:r>
      <w:proofErr w:type="gramStart"/>
      <w:r w:rsidRPr="00980FAF">
        <w:rPr>
          <w:rFonts w:ascii="Calibri" w:hAnsi="Calibri"/>
          <w:lang w:val="en-US"/>
        </w:rPr>
        <w:t>DWI</w:t>
      </w:r>
      <w:proofErr w:type="gramEnd"/>
      <w:r w:rsidRPr="00980FAF">
        <w:rPr>
          <w:rFonts w:ascii="Calibri" w:hAnsi="Calibri"/>
          <w:lang w:val="en-US"/>
        </w:rPr>
        <w:t>) was performed according to the European Society of Urogenital Radiology (ESUR) guidelines including Pi-RADS criteria</w:t>
      </w:r>
      <w:r w:rsidR="00033C94" w:rsidRPr="00980FAF">
        <w:rPr>
          <w:rFonts w:ascii="Calibri" w:hAnsi="Calibri"/>
          <w:lang w:val="en-US"/>
        </w:rPr>
        <w:t xml:space="preserve">. The biograph </w:t>
      </w:r>
      <w:proofErr w:type="spellStart"/>
      <w:r w:rsidR="00033C94" w:rsidRPr="00980FAF">
        <w:rPr>
          <w:rFonts w:ascii="Calibri" w:hAnsi="Calibri"/>
          <w:lang w:val="en-US"/>
        </w:rPr>
        <w:t>mMR</w:t>
      </w:r>
      <w:proofErr w:type="spellEnd"/>
      <w:r w:rsidR="00033C94" w:rsidRPr="00980FAF">
        <w:rPr>
          <w:rFonts w:ascii="Calibri" w:hAnsi="Calibri"/>
          <w:lang w:val="en-US"/>
        </w:rPr>
        <w:t xml:space="preserve"> integrates a 3 Tesla MRI with a </w:t>
      </w:r>
      <w:r w:rsidR="00F07951" w:rsidRPr="00980FAF">
        <w:rPr>
          <w:rFonts w:ascii="Calibri" w:hAnsi="Calibri"/>
          <w:lang w:val="en-US"/>
        </w:rPr>
        <w:t xml:space="preserve">gradient strength of 45 </w:t>
      </w:r>
      <w:proofErr w:type="spellStart"/>
      <w:r w:rsidR="00F07951" w:rsidRPr="00980FAF">
        <w:rPr>
          <w:rFonts w:ascii="Calibri" w:hAnsi="Calibri"/>
          <w:lang w:val="en-US"/>
        </w:rPr>
        <w:t>mT</w:t>
      </w:r>
      <w:proofErr w:type="spellEnd"/>
      <w:r w:rsidR="00F07951" w:rsidRPr="00980FAF">
        <w:rPr>
          <w:rFonts w:ascii="Calibri" w:hAnsi="Calibri"/>
          <w:lang w:val="en-US"/>
        </w:rPr>
        <w:t xml:space="preserve">/m @200 T/m/s). An </w:t>
      </w:r>
      <w:proofErr w:type="spellStart"/>
      <w:r w:rsidR="00F07951" w:rsidRPr="00980FAF">
        <w:rPr>
          <w:rFonts w:ascii="Calibri" w:hAnsi="Calibri"/>
          <w:lang w:val="en-US"/>
        </w:rPr>
        <w:t>endorectal</w:t>
      </w:r>
      <w:proofErr w:type="spellEnd"/>
      <w:r w:rsidR="00F07951" w:rsidRPr="00980FAF">
        <w:rPr>
          <w:rFonts w:ascii="Calibri" w:hAnsi="Calibri"/>
          <w:lang w:val="en-US"/>
        </w:rPr>
        <w:t xml:space="preserve"> coil was applied for improved signal to noise ratio</w:t>
      </w:r>
      <w:proofErr w:type="gramStart"/>
      <w:r w:rsidR="00F07951" w:rsidRPr="00980FAF">
        <w:rPr>
          <w:rFonts w:ascii="Calibri" w:hAnsi="Calibri"/>
          <w:lang w:val="en-US"/>
        </w:rPr>
        <w:t>..</w:t>
      </w:r>
      <w:proofErr w:type="gramEnd"/>
    </w:p>
    <w:p w14:paraId="04574CE8" w14:textId="416FE30C" w:rsidR="001A213C" w:rsidRPr="00980FAF" w:rsidRDefault="001A213C" w:rsidP="00980FAF">
      <w:pPr>
        <w:spacing w:line="480" w:lineRule="auto"/>
        <w:jc w:val="both"/>
        <w:rPr>
          <w:rFonts w:ascii="Calibri" w:hAnsi="Calibri"/>
          <w:lang w:val="en-US"/>
        </w:rPr>
      </w:pPr>
      <w:r w:rsidRPr="00980FAF">
        <w:rPr>
          <w:rFonts w:ascii="Calibri" w:hAnsi="Calibri"/>
          <w:lang w:val="en-US"/>
        </w:rPr>
        <w:t xml:space="preserve">Data for T2w sequences were: Pelvis: Matrix size: 235x512, in-plane resolution: 1.1x0.8x5mm; </w:t>
      </w:r>
      <w:proofErr w:type="spellStart"/>
      <w:r w:rsidRPr="00980FAF">
        <w:rPr>
          <w:rFonts w:ascii="Calibri" w:hAnsi="Calibri"/>
          <w:lang w:val="en-US"/>
        </w:rPr>
        <w:t>FoV</w:t>
      </w:r>
      <w:proofErr w:type="spellEnd"/>
      <w:r w:rsidRPr="00980FAF">
        <w:rPr>
          <w:rFonts w:ascii="Calibri" w:hAnsi="Calibri"/>
          <w:lang w:val="en-US"/>
        </w:rPr>
        <w:t xml:space="preserve">: 262x400mm; TR: 5650ms; TE: 105ms. Prostate: Matrix size: 346x384, in-plane resolution: 0.6x0.5x3mm; </w:t>
      </w:r>
      <w:proofErr w:type="spellStart"/>
      <w:r w:rsidRPr="00980FAF">
        <w:rPr>
          <w:rFonts w:ascii="Calibri" w:hAnsi="Calibri"/>
          <w:lang w:val="en-US"/>
        </w:rPr>
        <w:t>FoV</w:t>
      </w:r>
      <w:proofErr w:type="spellEnd"/>
      <w:r w:rsidRPr="00980FAF">
        <w:rPr>
          <w:rFonts w:ascii="Calibri" w:hAnsi="Calibri"/>
          <w:lang w:val="en-US"/>
        </w:rPr>
        <w:t xml:space="preserve">: 200x200mm; TR: 4000ms; TE: 104ms. Additional T2w 3D SPACE for MPR-reconstructions: Matrix size: 289x320, in-plane resolution: 0.9x0.9x0.9mm; </w:t>
      </w:r>
      <w:proofErr w:type="spellStart"/>
      <w:r w:rsidRPr="00980FAF">
        <w:rPr>
          <w:rFonts w:ascii="Calibri" w:hAnsi="Calibri"/>
          <w:lang w:val="en-US"/>
        </w:rPr>
        <w:t>FoV</w:t>
      </w:r>
      <w:proofErr w:type="spellEnd"/>
      <w:r w:rsidRPr="00980FAF">
        <w:rPr>
          <w:rFonts w:ascii="Calibri" w:hAnsi="Calibri"/>
          <w:lang w:val="en-US"/>
        </w:rPr>
        <w:t xml:space="preserve">: 268x300mm; TR: 1800ms; TE: 128ms. WB (incl. T1-images): T2w HASTE: Matrix size: 256x256, in-plane resolution: 1.56x1.5x6mm; </w:t>
      </w:r>
      <w:proofErr w:type="spellStart"/>
      <w:r w:rsidRPr="00980FAF">
        <w:rPr>
          <w:rFonts w:ascii="Calibri" w:hAnsi="Calibri"/>
          <w:lang w:val="en-US"/>
        </w:rPr>
        <w:t>FoV</w:t>
      </w:r>
      <w:proofErr w:type="spellEnd"/>
      <w:r w:rsidRPr="00980FAF">
        <w:rPr>
          <w:rFonts w:ascii="Calibri" w:hAnsi="Calibri"/>
          <w:lang w:val="en-US"/>
        </w:rPr>
        <w:t xml:space="preserve">: 380x380mm; TR: 1400ms; TE: 121ms. T1 VIBE fs post CE: Matrix size: 195x320, in-plane resolution: 1.6x1.2x3mm; </w:t>
      </w:r>
      <w:proofErr w:type="spellStart"/>
      <w:r w:rsidRPr="00980FAF">
        <w:rPr>
          <w:rFonts w:ascii="Calibri" w:hAnsi="Calibri"/>
          <w:lang w:val="en-US"/>
        </w:rPr>
        <w:t>FoV</w:t>
      </w:r>
      <w:proofErr w:type="spellEnd"/>
      <w:r w:rsidRPr="00980FAF">
        <w:rPr>
          <w:rFonts w:ascii="Calibri" w:hAnsi="Calibri"/>
          <w:lang w:val="en-US"/>
        </w:rPr>
        <w:t xml:space="preserve">: 309x380mm; TR: 4.56ms; TE: 2.03ms.   </w:t>
      </w:r>
    </w:p>
    <w:p w14:paraId="242E0AEB" w14:textId="77777777" w:rsidR="001A213C" w:rsidRPr="00980FAF" w:rsidRDefault="001A213C" w:rsidP="00980FAF">
      <w:pPr>
        <w:spacing w:line="480" w:lineRule="auto"/>
        <w:jc w:val="both"/>
        <w:rPr>
          <w:rFonts w:ascii="Calibri" w:hAnsi="Calibri"/>
          <w:lang w:val="en-US"/>
        </w:rPr>
      </w:pPr>
      <w:r w:rsidRPr="00980FAF">
        <w:rPr>
          <w:rFonts w:ascii="Calibri" w:hAnsi="Calibri"/>
          <w:lang w:val="en-US"/>
        </w:rPr>
        <w:t xml:space="preserve">DCE-MRI images were processed using a quantitative model (parameters </w:t>
      </w:r>
      <w:proofErr w:type="spellStart"/>
      <w:r w:rsidRPr="00980FAF">
        <w:rPr>
          <w:rFonts w:ascii="Calibri" w:hAnsi="Calibri"/>
          <w:lang w:val="en-US"/>
        </w:rPr>
        <w:t>Ktrans</w:t>
      </w:r>
      <w:proofErr w:type="spellEnd"/>
      <w:r w:rsidRPr="00980FAF">
        <w:rPr>
          <w:rFonts w:ascii="Calibri" w:hAnsi="Calibri"/>
          <w:lang w:val="en-US"/>
        </w:rPr>
        <w:t xml:space="preserve"> and </w:t>
      </w:r>
      <w:proofErr w:type="spellStart"/>
      <w:r w:rsidRPr="00980FAF">
        <w:rPr>
          <w:rFonts w:ascii="Calibri" w:hAnsi="Calibri"/>
          <w:lang w:val="en-US"/>
        </w:rPr>
        <w:t>iAUC</w:t>
      </w:r>
      <w:proofErr w:type="spellEnd"/>
      <w:r w:rsidRPr="00980FAF">
        <w:rPr>
          <w:rFonts w:ascii="Calibri" w:hAnsi="Calibri"/>
          <w:lang w:val="en-US"/>
        </w:rPr>
        <w:t xml:space="preserve">). The results were translated in color-coded schemes. biograph </w:t>
      </w:r>
      <w:proofErr w:type="spellStart"/>
      <w:r w:rsidRPr="00980FAF">
        <w:rPr>
          <w:rFonts w:ascii="Calibri" w:hAnsi="Calibri"/>
          <w:lang w:val="en-US"/>
        </w:rPr>
        <w:t>mMR</w:t>
      </w:r>
      <w:proofErr w:type="spellEnd"/>
      <w:r w:rsidRPr="00980FAF">
        <w:rPr>
          <w:rFonts w:ascii="Calibri" w:hAnsi="Calibri"/>
          <w:lang w:val="en-US"/>
        </w:rPr>
        <w:t xml:space="preserve"> Data for DCE-VIBE sequences were: Matrix: 138x192; in-plane resolution: 1.9x1.4x3.6; </w:t>
      </w:r>
      <w:proofErr w:type="spellStart"/>
      <w:r w:rsidRPr="00980FAF">
        <w:rPr>
          <w:rFonts w:ascii="Calibri" w:hAnsi="Calibri"/>
          <w:lang w:val="en-US"/>
        </w:rPr>
        <w:t>FoV</w:t>
      </w:r>
      <w:proofErr w:type="spellEnd"/>
      <w:r w:rsidRPr="00980FAF">
        <w:rPr>
          <w:rFonts w:ascii="Calibri" w:hAnsi="Calibri"/>
          <w:lang w:val="en-US"/>
        </w:rPr>
        <w:t xml:space="preserve">: 260x260mm; 2ml/kg body weight </w:t>
      </w:r>
      <w:proofErr w:type="spellStart"/>
      <w:r w:rsidRPr="00980FAF">
        <w:rPr>
          <w:rFonts w:ascii="Calibri" w:hAnsi="Calibri"/>
          <w:lang w:val="en-US"/>
        </w:rPr>
        <w:t>Gd</w:t>
      </w:r>
      <w:proofErr w:type="spellEnd"/>
      <w:r w:rsidRPr="00980FAF">
        <w:rPr>
          <w:rFonts w:ascii="Calibri" w:hAnsi="Calibri"/>
          <w:lang w:val="en-US"/>
        </w:rPr>
        <w:t>-DOTA (</w:t>
      </w:r>
      <w:proofErr w:type="spellStart"/>
      <w:r w:rsidRPr="00980FAF">
        <w:rPr>
          <w:rFonts w:ascii="Calibri" w:hAnsi="Calibri"/>
          <w:lang w:val="en-US"/>
        </w:rPr>
        <w:t>Dotarem</w:t>
      </w:r>
      <w:proofErr w:type="spellEnd"/>
      <w:r w:rsidRPr="00980FAF">
        <w:rPr>
          <w:rFonts w:ascii="Calibri" w:hAnsi="Calibri"/>
          <w:lang w:val="en-US"/>
        </w:rPr>
        <w:t xml:space="preserve">®, </w:t>
      </w:r>
      <w:proofErr w:type="spellStart"/>
      <w:r w:rsidRPr="00980FAF">
        <w:rPr>
          <w:rFonts w:ascii="Calibri" w:hAnsi="Calibri"/>
          <w:lang w:val="en-US"/>
        </w:rPr>
        <w:t>Guerbet</w:t>
      </w:r>
      <w:proofErr w:type="spellEnd"/>
      <w:r w:rsidRPr="00980FAF">
        <w:rPr>
          <w:rFonts w:ascii="Calibri" w:hAnsi="Calibri"/>
          <w:lang w:val="en-US"/>
        </w:rPr>
        <w:t>, France), administered intravenously as a bolus followed by a 20ml saline flush using a power injector (</w:t>
      </w:r>
      <w:proofErr w:type="spellStart"/>
      <w:r w:rsidRPr="00980FAF">
        <w:rPr>
          <w:rFonts w:ascii="Calibri" w:hAnsi="Calibri"/>
          <w:lang w:val="en-US"/>
        </w:rPr>
        <w:t>Spectris</w:t>
      </w:r>
      <w:proofErr w:type="spellEnd"/>
      <w:r w:rsidRPr="00980FAF">
        <w:rPr>
          <w:rFonts w:ascii="Calibri" w:hAnsi="Calibri"/>
          <w:lang w:val="en-US"/>
        </w:rPr>
        <w:t xml:space="preserve"> Solaris EP®, </w:t>
      </w:r>
      <w:proofErr w:type="spellStart"/>
      <w:r w:rsidRPr="00980FAF">
        <w:rPr>
          <w:rFonts w:ascii="Calibri" w:hAnsi="Calibri"/>
          <w:lang w:val="en-US"/>
        </w:rPr>
        <w:t>Medrad</w:t>
      </w:r>
      <w:proofErr w:type="spellEnd"/>
      <w:r w:rsidRPr="00980FAF">
        <w:rPr>
          <w:rFonts w:ascii="Calibri" w:hAnsi="Calibri"/>
          <w:lang w:val="en-US"/>
        </w:rPr>
        <w:t xml:space="preserve">, Pittsburgh, USA); injection flow: 3ml/sec; 35 images (6:34min) without gap; TR: 5.98; TE: 1.78; T1-mapping: 2, 15, 29 degree flip angle. </w:t>
      </w:r>
    </w:p>
    <w:p w14:paraId="15659A69" w14:textId="77777777" w:rsidR="001A213C" w:rsidRPr="00980FAF" w:rsidRDefault="001A213C" w:rsidP="00980FAF">
      <w:pPr>
        <w:spacing w:line="480" w:lineRule="auto"/>
        <w:jc w:val="both"/>
        <w:rPr>
          <w:rFonts w:ascii="Calibri" w:hAnsi="Calibri"/>
          <w:lang w:val="en-US"/>
        </w:rPr>
      </w:pPr>
      <w:r w:rsidRPr="00980FAF">
        <w:rPr>
          <w:rFonts w:ascii="Calibri" w:hAnsi="Calibri"/>
          <w:lang w:val="en-US"/>
        </w:rPr>
        <w:lastRenderedPageBreak/>
        <w:t xml:space="preserve">DWI B-values acquired were 0, 800, 1400. </w:t>
      </w:r>
      <w:proofErr w:type="gramStart"/>
      <w:r w:rsidRPr="00980FAF">
        <w:rPr>
          <w:rFonts w:ascii="Calibri" w:hAnsi="Calibri"/>
          <w:lang w:val="en-US"/>
        </w:rPr>
        <w:t>biograph</w:t>
      </w:r>
      <w:proofErr w:type="gramEnd"/>
      <w:r w:rsidRPr="00980FAF">
        <w:rPr>
          <w:rFonts w:ascii="Calibri" w:hAnsi="Calibri"/>
          <w:lang w:val="en-US"/>
        </w:rPr>
        <w:t xml:space="preserve"> </w:t>
      </w:r>
      <w:proofErr w:type="spellStart"/>
      <w:r w:rsidRPr="00980FAF">
        <w:rPr>
          <w:rFonts w:ascii="Calibri" w:hAnsi="Calibri"/>
          <w:lang w:val="en-US"/>
        </w:rPr>
        <w:t>mMR</w:t>
      </w:r>
      <w:proofErr w:type="spellEnd"/>
      <w:r w:rsidRPr="00980FAF">
        <w:rPr>
          <w:rFonts w:ascii="Calibri" w:hAnsi="Calibri"/>
          <w:lang w:val="en-US"/>
        </w:rPr>
        <w:t xml:space="preserve"> Data for DWI sequences were: Matrix size: 102x160, in-plane resolution: 2.2x1.6x3.6mm; </w:t>
      </w:r>
      <w:proofErr w:type="spellStart"/>
      <w:r w:rsidRPr="00980FAF">
        <w:rPr>
          <w:rFonts w:ascii="Calibri" w:hAnsi="Calibri"/>
          <w:lang w:val="en-US"/>
        </w:rPr>
        <w:t>FoV</w:t>
      </w:r>
      <w:proofErr w:type="spellEnd"/>
      <w:r w:rsidRPr="00980FAF">
        <w:rPr>
          <w:rFonts w:ascii="Calibri" w:hAnsi="Calibri"/>
          <w:lang w:val="en-US"/>
        </w:rPr>
        <w:t>: 260x221mm; TR: 5400ms; TE: 93ms.</w:t>
      </w:r>
    </w:p>
    <w:p w14:paraId="75E17B18" w14:textId="77777777" w:rsidR="001A213C" w:rsidRPr="00980FAF" w:rsidRDefault="001A213C" w:rsidP="00980FAF">
      <w:pPr>
        <w:spacing w:line="480" w:lineRule="auto"/>
        <w:jc w:val="both"/>
        <w:rPr>
          <w:rFonts w:ascii="Calibri" w:hAnsi="Calibri"/>
          <w:lang w:val="en-US"/>
        </w:rPr>
      </w:pPr>
      <w:r w:rsidRPr="00980FAF">
        <w:rPr>
          <w:rFonts w:ascii="Calibri" w:hAnsi="Calibri"/>
          <w:lang w:val="en-US"/>
        </w:rPr>
        <w:t>MRSI was renounced due to the length of the protocol and patient handling.</w:t>
      </w:r>
    </w:p>
    <w:p w14:paraId="27004DF4" w14:textId="77777777" w:rsidR="002E7E32" w:rsidRPr="00980FAF" w:rsidRDefault="002E7E32" w:rsidP="00980FAF">
      <w:pPr>
        <w:spacing w:line="480" w:lineRule="auto"/>
        <w:jc w:val="both"/>
        <w:rPr>
          <w:lang w:val="en-US"/>
        </w:rPr>
      </w:pPr>
      <w:r w:rsidRPr="00980FAF">
        <w:rPr>
          <w:lang w:val="en-US"/>
        </w:rPr>
        <w:t xml:space="preserve">The whole body MRI from skull base to upper thigh was simultaneously performed with the whole body PET at the end of the investigation with the following parameters: T2w HASTE coronal: Matrix size: 256x256, in-plane resolution: 1.56x1.5x6mm; </w:t>
      </w:r>
      <w:proofErr w:type="spellStart"/>
      <w:r w:rsidRPr="00980FAF">
        <w:rPr>
          <w:lang w:val="en-US"/>
        </w:rPr>
        <w:t>FoV</w:t>
      </w:r>
      <w:proofErr w:type="spellEnd"/>
      <w:r w:rsidRPr="00980FAF">
        <w:rPr>
          <w:lang w:val="en-US"/>
        </w:rPr>
        <w:t xml:space="preserve">: 380x380mm; TR: 1400ms; TE: 121ms. T1 VIBE axial: Matrix size: 195x320, in-plane resolution: 1.6x1.2x3mm; </w:t>
      </w:r>
      <w:proofErr w:type="spellStart"/>
      <w:r w:rsidRPr="00980FAF">
        <w:rPr>
          <w:lang w:val="en-US"/>
        </w:rPr>
        <w:t>FoV</w:t>
      </w:r>
      <w:proofErr w:type="spellEnd"/>
      <w:r w:rsidRPr="00980FAF">
        <w:rPr>
          <w:lang w:val="en-US"/>
        </w:rPr>
        <w:t xml:space="preserve">: 309x380mm; TR: 4.56ms; TE: 2.03ms. </w:t>
      </w:r>
    </w:p>
    <w:p w14:paraId="663C3676" w14:textId="51BB582A" w:rsidR="001A213C" w:rsidRPr="00980FAF" w:rsidRDefault="001A213C" w:rsidP="00980FAF">
      <w:pPr>
        <w:spacing w:line="480" w:lineRule="auto"/>
        <w:jc w:val="both"/>
        <w:rPr>
          <w:rFonts w:ascii="Calibri" w:hAnsi="Calibri"/>
          <w:lang w:val="en-US"/>
        </w:rPr>
      </w:pPr>
      <w:r w:rsidRPr="00980FAF">
        <w:rPr>
          <w:rFonts w:ascii="Calibri" w:hAnsi="Calibri"/>
          <w:lang w:val="en-US"/>
        </w:rPr>
        <w:t xml:space="preserve">MRI data was transferred to a dedicated RAID system. Data analysis was performed with Agfa IMPAXX and </w:t>
      </w:r>
      <w:proofErr w:type="spellStart"/>
      <w:r w:rsidRPr="00980FAF">
        <w:rPr>
          <w:rFonts w:ascii="Calibri" w:hAnsi="Calibri"/>
          <w:lang w:val="en-US"/>
        </w:rPr>
        <w:t>OsiriX</w:t>
      </w:r>
      <w:proofErr w:type="spellEnd"/>
      <w:r w:rsidRPr="00980FAF">
        <w:rPr>
          <w:rFonts w:ascii="Calibri" w:hAnsi="Calibri"/>
          <w:lang w:val="en-US"/>
        </w:rPr>
        <w:t>.</w:t>
      </w:r>
    </w:p>
    <w:p w14:paraId="2F0238B1" w14:textId="77777777" w:rsidR="001A213C" w:rsidRPr="00980FAF" w:rsidRDefault="001A213C" w:rsidP="00980FAF">
      <w:pPr>
        <w:spacing w:line="480" w:lineRule="auto"/>
        <w:jc w:val="both"/>
        <w:rPr>
          <w:rFonts w:ascii="Calibri" w:hAnsi="Calibri"/>
          <w:lang w:val="en-US"/>
        </w:rPr>
      </w:pPr>
    </w:p>
    <w:p w14:paraId="0345A064" w14:textId="77777777" w:rsidR="001A213C" w:rsidRPr="00980FAF" w:rsidRDefault="001A213C" w:rsidP="00980FAF">
      <w:pPr>
        <w:spacing w:line="480" w:lineRule="auto"/>
        <w:jc w:val="both"/>
        <w:rPr>
          <w:rFonts w:cstheme="minorHAnsi"/>
          <w:i/>
          <w:u w:val="single"/>
          <w:lang w:val="en-US"/>
        </w:rPr>
      </w:pPr>
      <w:proofErr w:type="spellStart"/>
      <w:r w:rsidRPr="00980FAF">
        <w:rPr>
          <w:rFonts w:cstheme="minorHAnsi"/>
          <w:i/>
          <w:u w:val="single"/>
          <w:lang w:val="en-US"/>
        </w:rPr>
        <w:t>Histolopathological</w:t>
      </w:r>
      <w:proofErr w:type="spellEnd"/>
      <w:r w:rsidRPr="00980FAF">
        <w:rPr>
          <w:rFonts w:cstheme="minorHAnsi"/>
          <w:i/>
          <w:u w:val="single"/>
          <w:lang w:val="en-US"/>
        </w:rPr>
        <w:t xml:space="preserve"> analysis and image correlation</w:t>
      </w:r>
    </w:p>
    <w:p w14:paraId="2126D7C0" w14:textId="77777777" w:rsidR="001A213C" w:rsidRPr="00980FAF" w:rsidRDefault="001A213C" w:rsidP="00980FAF">
      <w:pPr>
        <w:spacing w:line="480" w:lineRule="auto"/>
        <w:ind w:firstLine="720"/>
        <w:jc w:val="both"/>
        <w:rPr>
          <w:rFonts w:cstheme="minorHAnsi"/>
          <w:lang w:val="en-US"/>
        </w:rPr>
      </w:pPr>
      <w:r w:rsidRPr="00980FAF">
        <w:rPr>
          <w:rFonts w:cstheme="minorHAnsi"/>
          <w:lang w:val="en-US"/>
        </w:rPr>
        <w:t>Histology</w:t>
      </w:r>
    </w:p>
    <w:p w14:paraId="6A2F95CD" w14:textId="77777777" w:rsidR="001A213C" w:rsidRPr="00980FAF" w:rsidRDefault="001A213C" w:rsidP="00980FAF">
      <w:pPr>
        <w:spacing w:line="480" w:lineRule="auto"/>
        <w:jc w:val="both"/>
        <w:rPr>
          <w:rFonts w:cstheme="minorHAnsi"/>
          <w:lang w:val="en-US"/>
        </w:rPr>
      </w:pPr>
      <w:r w:rsidRPr="00980FAF">
        <w:rPr>
          <w:rFonts w:cstheme="minorHAnsi"/>
          <w:lang w:val="en-US"/>
        </w:rPr>
        <w:t xml:space="preserve">After radical </w:t>
      </w:r>
      <w:proofErr w:type="spellStart"/>
      <w:r w:rsidRPr="00980FAF">
        <w:rPr>
          <w:rFonts w:cstheme="minorHAnsi"/>
          <w:lang w:val="en-US"/>
        </w:rPr>
        <w:t>prostatovesiculectomy</w:t>
      </w:r>
      <w:proofErr w:type="spellEnd"/>
      <w:r w:rsidRPr="00980FAF">
        <w:rPr>
          <w:rFonts w:cstheme="minorHAnsi"/>
          <w:lang w:val="en-US"/>
        </w:rPr>
        <w:t xml:space="preserve"> and formaldehyde fixation, the organ was rendered with different colors for each side. The axial slicing was done using a 3mm stable whole mount slicing box with a perpendicular orientation to the </w:t>
      </w:r>
      <w:proofErr w:type="spellStart"/>
      <w:r w:rsidRPr="00980FAF">
        <w:rPr>
          <w:rFonts w:cstheme="minorHAnsi"/>
          <w:lang w:val="en-US"/>
        </w:rPr>
        <w:t>Denonvillier</w:t>
      </w:r>
      <w:proofErr w:type="spellEnd"/>
      <w:r w:rsidRPr="00980FAF">
        <w:rPr>
          <w:rFonts w:cstheme="minorHAnsi"/>
          <w:lang w:val="en-US"/>
        </w:rPr>
        <w:t xml:space="preserve"> fascia. The first apex slice and the last base slice were additionally cut vertically for assessment of the apical or basal pT3a stage and the invasion of seminal vesicles. After embedding and staining with hematoxylin-eosin, the prostate, seminal vesicles, and lymph nodes were assessed in consensus by three experienced pathologists (MS, 35 years of experience; PM, 26 years, SH, 10 years). Tumor edges were dot-marked and whole mount sections were digitalized using a dedicated electronic microscope system (Leica Microsystems GmbH, </w:t>
      </w:r>
      <w:proofErr w:type="spellStart"/>
      <w:r w:rsidRPr="00980FAF">
        <w:rPr>
          <w:rFonts w:cstheme="minorHAnsi"/>
          <w:lang w:val="en-US"/>
        </w:rPr>
        <w:t>Wetzlar</w:t>
      </w:r>
      <w:proofErr w:type="spellEnd"/>
      <w:r w:rsidRPr="00980FAF">
        <w:rPr>
          <w:rFonts w:cstheme="minorHAnsi"/>
          <w:lang w:val="en-US"/>
        </w:rPr>
        <w:t xml:space="preserve">, Germany). </w:t>
      </w:r>
    </w:p>
    <w:p w14:paraId="3E92BB08" w14:textId="77777777" w:rsidR="001A213C" w:rsidRPr="00980FAF" w:rsidRDefault="001A213C" w:rsidP="00980FAF">
      <w:pPr>
        <w:spacing w:line="480" w:lineRule="auto"/>
        <w:jc w:val="both"/>
        <w:rPr>
          <w:rFonts w:cstheme="minorHAnsi"/>
          <w:lang w:val="en-US"/>
        </w:rPr>
      </w:pPr>
    </w:p>
    <w:p w14:paraId="1E1DE86B" w14:textId="77777777" w:rsidR="001A213C" w:rsidRPr="00980FAF" w:rsidRDefault="001A213C" w:rsidP="00980FAF">
      <w:pPr>
        <w:spacing w:line="480" w:lineRule="auto"/>
        <w:ind w:firstLine="720"/>
        <w:jc w:val="both"/>
        <w:rPr>
          <w:rFonts w:cstheme="minorHAnsi"/>
          <w:lang w:val="en-US"/>
        </w:rPr>
      </w:pPr>
      <w:r w:rsidRPr="00980FAF">
        <w:rPr>
          <w:rFonts w:cstheme="minorHAnsi"/>
          <w:lang w:val="en-US"/>
        </w:rPr>
        <w:lastRenderedPageBreak/>
        <w:t>Tumor alignment for detection rate: PET/MRI-Histology</w:t>
      </w:r>
    </w:p>
    <w:p w14:paraId="7C6A016C" w14:textId="7FDC5316" w:rsidR="001A213C" w:rsidRPr="00980FAF" w:rsidRDefault="001A213C" w:rsidP="00980FAF">
      <w:pPr>
        <w:spacing w:line="480" w:lineRule="auto"/>
        <w:jc w:val="both"/>
        <w:rPr>
          <w:rFonts w:cstheme="minorHAnsi"/>
          <w:lang w:val="en-US"/>
        </w:rPr>
      </w:pPr>
      <w:r w:rsidRPr="00980FAF">
        <w:rPr>
          <w:rFonts w:cstheme="minorHAnsi"/>
          <w:lang w:val="en-US"/>
        </w:rPr>
        <w:t xml:space="preserve">Histology and PET/MRI were merged in a side-by-side analysis using a portable software fusion system (Hermes Medical Solutions, Stockholm, Sweden) next to the sorted, reoriented and dot-marked whole-mount sections (MH, PB and SH in consensus). Identical angulation of the histological step sections and the MRI slices was assured by initial perpendicular orientation of the axial MRI sequences to the </w:t>
      </w:r>
      <w:proofErr w:type="spellStart"/>
      <w:r w:rsidRPr="00980FAF">
        <w:rPr>
          <w:rFonts w:cstheme="minorHAnsi"/>
          <w:lang w:val="en-US"/>
        </w:rPr>
        <w:t>Denonvillier</w:t>
      </w:r>
      <w:proofErr w:type="spellEnd"/>
      <w:r w:rsidRPr="00980FAF">
        <w:rPr>
          <w:rFonts w:cstheme="minorHAnsi"/>
          <w:lang w:val="en-US"/>
        </w:rPr>
        <w:t xml:space="preserve"> fascia. Significant angulation errors were not detected in the presented cohort. A matching tumor lesion had to be in the same three-dimensional organ region in both imaging (PET, MRI, </w:t>
      </w:r>
      <w:proofErr w:type="gramStart"/>
      <w:r w:rsidRPr="00980FAF">
        <w:rPr>
          <w:rFonts w:cstheme="minorHAnsi"/>
          <w:lang w:val="en-US"/>
        </w:rPr>
        <w:t>PET</w:t>
      </w:r>
      <w:proofErr w:type="gramEnd"/>
      <w:r w:rsidRPr="00980FAF">
        <w:rPr>
          <w:rFonts w:cstheme="minorHAnsi"/>
          <w:lang w:val="en-US"/>
        </w:rPr>
        <w:t>/MRI) and histology. In addition, the lesion shape as visualized on imaging had to fit the histological one</w:t>
      </w:r>
      <w:r w:rsidR="00EB2F40" w:rsidRPr="00980FAF">
        <w:rPr>
          <w:rFonts w:cstheme="minorHAnsi"/>
          <w:lang w:val="en-US"/>
        </w:rPr>
        <w:t xml:space="preserve"> &gt;50%</w:t>
      </w:r>
      <w:r w:rsidRPr="00980FAF">
        <w:rPr>
          <w:rFonts w:cstheme="minorHAnsi"/>
          <w:lang w:val="en-US"/>
        </w:rPr>
        <w:t xml:space="preserve">. </w:t>
      </w:r>
    </w:p>
    <w:p w14:paraId="09C5810D" w14:textId="77777777" w:rsidR="001A213C" w:rsidRPr="00980FAF" w:rsidRDefault="001A213C" w:rsidP="00980FAF">
      <w:pPr>
        <w:spacing w:line="480" w:lineRule="auto"/>
        <w:jc w:val="both"/>
        <w:rPr>
          <w:rFonts w:cstheme="minorHAnsi"/>
          <w:lang w:val="en-US"/>
        </w:rPr>
      </w:pPr>
    </w:p>
    <w:p w14:paraId="78F48A17" w14:textId="77777777" w:rsidR="001A213C" w:rsidRPr="00980FAF" w:rsidRDefault="001A213C" w:rsidP="00980FAF">
      <w:pPr>
        <w:spacing w:line="480" w:lineRule="auto"/>
        <w:jc w:val="both"/>
        <w:rPr>
          <w:rFonts w:cstheme="minorHAnsi"/>
          <w:lang w:val="en-US"/>
        </w:rPr>
      </w:pPr>
    </w:p>
    <w:p w14:paraId="5862814D" w14:textId="77777777" w:rsidR="001A213C" w:rsidRPr="00980FAF" w:rsidRDefault="001A213C" w:rsidP="00980FAF">
      <w:pPr>
        <w:spacing w:line="480" w:lineRule="auto"/>
        <w:jc w:val="both"/>
        <w:rPr>
          <w:rFonts w:cstheme="minorHAnsi"/>
          <w:lang w:val="en-US"/>
        </w:rPr>
      </w:pPr>
    </w:p>
    <w:p w14:paraId="56074502" w14:textId="77777777" w:rsidR="001A213C" w:rsidRPr="00980FAF" w:rsidRDefault="001A213C" w:rsidP="00980FAF">
      <w:pPr>
        <w:spacing w:line="480" w:lineRule="auto"/>
        <w:jc w:val="both"/>
        <w:rPr>
          <w:rFonts w:cstheme="minorHAnsi"/>
          <w:lang w:val="en-US"/>
        </w:rPr>
      </w:pPr>
    </w:p>
    <w:p w14:paraId="6FEF35FD" w14:textId="77777777" w:rsidR="001A213C" w:rsidRPr="00980FAF" w:rsidRDefault="001A213C" w:rsidP="00980FAF">
      <w:pPr>
        <w:spacing w:line="480" w:lineRule="auto"/>
        <w:jc w:val="both"/>
        <w:rPr>
          <w:rFonts w:cstheme="minorHAnsi"/>
          <w:lang w:val="en-US"/>
        </w:rPr>
      </w:pPr>
    </w:p>
    <w:p w14:paraId="46F72A10" w14:textId="77777777" w:rsidR="001A213C" w:rsidRPr="00980FAF" w:rsidRDefault="001A213C" w:rsidP="00980FAF">
      <w:pPr>
        <w:spacing w:line="480" w:lineRule="auto"/>
        <w:jc w:val="both"/>
        <w:rPr>
          <w:rFonts w:cstheme="minorHAnsi"/>
          <w:lang w:val="en-US"/>
        </w:rPr>
      </w:pPr>
    </w:p>
    <w:p w14:paraId="13158B18" w14:textId="77777777" w:rsidR="001A213C" w:rsidRPr="00980FAF" w:rsidRDefault="001A213C" w:rsidP="00980FAF">
      <w:pPr>
        <w:spacing w:line="480" w:lineRule="auto"/>
        <w:jc w:val="both"/>
        <w:rPr>
          <w:rFonts w:cstheme="minorHAnsi"/>
          <w:lang w:val="en-US"/>
        </w:rPr>
      </w:pPr>
    </w:p>
    <w:p w14:paraId="3C85E50C" w14:textId="77777777" w:rsidR="001A213C" w:rsidRPr="00980FAF" w:rsidRDefault="001A213C" w:rsidP="00980FAF">
      <w:pPr>
        <w:spacing w:line="480" w:lineRule="auto"/>
        <w:jc w:val="both"/>
        <w:rPr>
          <w:rFonts w:cstheme="minorHAnsi"/>
          <w:lang w:val="en-US"/>
        </w:rPr>
      </w:pPr>
    </w:p>
    <w:p w14:paraId="77B0C237" w14:textId="77777777" w:rsidR="001A213C" w:rsidRPr="00980FAF" w:rsidRDefault="001A213C" w:rsidP="00980FAF">
      <w:pPr>
        <w:spacing w:line="480" w:lineRule="auto"/>
        <w:jc w:val="both"/>
        <w:rPr>
          <w:rFonts w:cstheme="minorHAnsi"/>
          <w:lang w:val="en-US"/>
        </w:rPr>
      </w:pPr>
    </w:p>
    <w:p w14:paraId="5317B569" w14:textId="77777777" w:rsidR="001A213C" w:rsidRPr="00980FAF" w:rsidRDefault="001A213C" w:rsidP="00980FAF">
      <w:pPr>
        <w:spacing w:line="480" w:lineRule="auto"/>
        <w:jc w:val="both"/>
        <w:rPr>
          <w:rFonts w:cstheme="minorHAnsi"/>
          <w:lang w:val="en-US"/>
        </w:rPr>
      </w:pPr>
    </w:p>
    <w:p w14:paraId="4F9759AE" w14:textId="77777777" w:rsidR="001A213C" w:rsidRPr="00980FAF" w:rsidRDefault="001A213C" w:rsidP="00980FAF">
      <w:pPr>
        <w:spacing w:line="480" w:lineRule="auto"/>
        <w:jc w:val="both"/>
        <w:rPr>
          <w:rFonts w:cstheme="minorHAnsi"/>
          <w:lang w:val="en-US"/>
        </w:rPr>
      </w:pPr>
    </w:p>
    <w:p w14:paraId="7C584E8F" w14:textId="77777777" w:rsidR="001A213C" w:rsidRPr="00980FAF" w:rsidRDefault="001A213C" w:rsidP="00980FAF">
      <w:pPr>
        <w:spacing w:line="480" w:lineRule="auto"/>
        <w:jc w:val="both"/>
        <w:rPr>
          <w:rFonts w:cstheme="minorHAnsi"/>
          <w:lang w:val="en-US"/>
        </w:rPr>
      </w:pPr>
    </w:p>
    <w:p w14:paraId="62CAC8CC" w14:textId="77777777" w:rsidR="001A213C" w:rsidRPr="00980FAF" w:rsidRDefault="001A213C" w:rsidP="00980FAF">
      <w:pPr>
        <w:spacing w:line="480" w:lineRule="auto"/>
        <w:jc w:val="both"/>
        <w:rPr>
          <w:rFonts w:cstheme="minorHAnsi"/>
          <w:lang w:val="en-US"/>
        </w:rPr>
      </w:pPr>
    </w:p>
    <w:p w14:paraId="188615E6" w14:textId="77777777" w:rsidR="001A213C" w:rsidRPr="00980FAF" w:rsidRDefault="001A213C" w:rsidP="00980FAF">
      <w:pPr>
        <w:spacing w:line="480" w:lineRule="auto"/>
        <w:jc w:val="both"/>
        <w:rPr>
          <w:rFonts w:cstheme="minorHAnsi"/>
          <w:lang w:val="en-US"/>
        </w:rPr>
      </w:pPr>
    </w:p>
    <w:p w14:paraId="6B02DF96" w14:textId="77777777" w:rsidR="001A213C" w:rsidRPr="00980FAF" w:rsidRDefault="001A213C" w:rsidP="00980FAF">
      <w:pPr>
        <w:spacing w:line="480" w:lineRule="auto"/>
        <w:jc w:val="both"/>
        <w:rPr>
          <w:rFonts w:cstheme="minorHAnsi"/>
          <w:lang w:val="en-US"/>
        </w:rPr>
      </w:pPr>
    </w:p>
    <w:p w14:paraId="68485ED2" w14:textId="77777777" w:rsidR="001A213C" w:rsidRPr="00980FAF" w:rsidRDefault="001A213C" w:rsidP="00980FAF">
      <w:pPr>
        <w:spacing w:line="480" w:lineRule="auto"/>
        <w:jc w:val="both"/>
        <w:rPr>
          <w:rFonts w:cstheme="minorHAnsi"/>
          <w:lang w:val="en-US"/>
        </w:rPr>
      </w:pPr>
    </w:p>
    <w:p w14:paraId="3B6A9CB2" w14:textId="77777777" w:rsidR="001A213C" w:rsidRPr="00980FAF" w:rsidRDefault="001A213C" w:rsidP="00980FAF">
      <w:pPr>
        <w:spacing w:line="480" w:lineRule="auto"/>
        <w:jc w:val="both"/>
        <w:rPr>
          <w:rFonts w:cstheme="minorHAnsi"/>
          <w:lang w:val="en-US"/>
        </w:rPr>
      </w:pPr>
    </w:p>
    <w:p w14:paraId="040A1C8E" w14:textId="77777777" w:rsidR="001A213C" w:rsidRPr="00980FAF" w:rsidRDefault="001A213C" w:rsidP="00980FAF">
      <w:pPr>
        <w:spacing w:line="480" w:lineRule="auto"/>
        <w:jc w:val="both"/>
        <w:rPr>
          <w:rFonts w:cstheme="minorHAnsi"/>
          <w:lang w:val="en-US"/>
        </w:rPr>
      </w:pPr>
    </w:p>
    <w:p w14:paraId="12F6166E" w14:textId="77777777" w:rsidR="001A213C" w:rsidRPr="00980FAF" w:rsidRDefault="001A213C" w:rsidP="00980FAF">
      <w:pPr>
        <w:spacing w:line="480" w:lineRule="auto"/>
        <w:jc w:val="both"/>
        <w:rPr>
          <w:rFonts w:cstheme="minorHAnsi"/>
          <w:lang w:val="en-US"/>
        </w:rPr>
      </w:pPr>
    </w:p>
    <w:tbl>
      <w:tblPr>
        <w:tblStyle w:val="Tabellenraster"/>
        <w:tblW w:w="5000" w:type="pct"/>
        <w:tblLook w:val="04A0" w:firstRow="1" w:lastRow="0" w:firstColumn="1" w:lastColumn="0" w:noHBand="0" w:noVBand="1"/>
      </w:tblPr>
      <w:tblGrid>
        <w:gridCol w:w="5921"/>
        <w:gridCol w:w="3089"/>
      </w:tblGrid>
      <w:tr w:rsidR="001A213C" w:rsidRPr="00980FAF" w14:paraId="47D034B5" w14:textId="77777777" w:rsidTr="006030CE">
        <w:tc>
          <w:tcPr>
            <w:tcW w:w="5000" w:type="pct"/>
            <w:gridSpan w:val="2"/>
          </w:tcPr>
          <w:p w14:paraId="05C73F33" w14:textId="77777777" w:rsidR="001A213C" w:rsidRPr="00980FAF" w:rsidRDefault="001A213C" w:rsidP="00980FAF">
            <w:pPr>
              <w:rPr>
                <w:b/>
                <w:lang w:val="en-US"/>
              </w:rPr>
            </w:pPr>
            <w:r w:rsidRPr="00980FAF">
              <w:rPr>
                <w:rFonts w:ascii="Calibri" w:hAnsi="Calibri"/>
                <w:b/>
                <w:lang w:val="en-US"/>
              </w:rPr>
              <w:t xml:space="preserve">Table S1. </w:t>
            </w:r>
            <w:proofErr w:type="spellStart"/>
            <w:r w:rsidRPr="00980FAF">
              <w:rPr>
                <w:rFonts w:ascii="Calibri" w:hAnsi="Calibri"/>
                <w:b/>
                <w:lang w:val="en-US"/>
              </w:rPr>
              <w:t>Clinicopathologic</w:t>
            </w:r>
            <w:proofErr w:type="spellEnd"/>
            <w:r w:rsidRPr="00980FAF">
              <w:rPr>
                <w:rFonts w:ascii="Calibri" w:hAnsi="Calibri"/>
                <w:b/>
                <w:lang w:val="en-US"/>
              </w:rPr>
              <w:t xml:space="preserve"> features of 80 patients staged with </w:t>
            </w:r>
            <w:r w:rsidRPr="00980FAF">
              <w:rPr>
                <w:rFonts w:ascii="Calibri" w:hAnsi="Calibri"/>
                <w:b/>
                <w:lang w:val="es-ES"/>
              </w:rPr>
              <w:t>[</w:t>
            </w:r>
            <w:r w:rsidRPr="00980FAF">
              <w:rPr>
                <w:rFonts w:ascii="Calibri" w:hAnsi="Calibri"/>
                <w:b/>
                <w:vertAlign w:val="superscript"/>
                <w:lang w:val="es-ES"/>
              </w:rPr>
              <w:t>68</w:t>
            </w:r>
            <w:r w:rsidRPr="00980FAF">
              <w:rPr>
                <w:rFonts w:ascii="Calibri" w:hAnsi="Calibri"/>
                <w:b/>
                <w:lang w:val="es-ES"/>
              </w:rPr>
              <w:t xml:space="preserve">Ga]Ga-PSMA-11 </w:t>
            </w:r>
            <w:r w:rsidRPr="00980FAF">
              <w:rPr>
                <w:rFonts w:ascii="Calibri" w:hAnsi="Calibri"/>
                <w:b/>
                <w:lang w:val="en-US"/>
              </w:rPr>
              <w:t>PET/MRI</w:t>
            </w:r>
            <w:r w:rsidRPr="00980FAF">
              <w:rPr>
                <w:rFonts w:ascii="Calibri" w:hAnsi="Calibri"/>
                <w:b/>
                <w:vertAlign w:val="superscript"/>
                <w:lang w:val="en-US"/>
              </w:rPr>
              <w:t xml:space="preserve"> </w:t>
            </w:r>
            <w:r w:rsidRPr="00980FAF">
              <w:rPr>
                <w:rFonts w:ascii="Calibri" w:hAnsi="Calibri"/>
                <w:b/>
                <w:lang w:val="en-US"/>
              </w:rPr>
              <w:t>before definitive treatment with radical prostatectomy</w:t>
            </w:r>
          </w:p>
        </w:tc>
      </w:tr>
      <w:tr w:rsidR="001A213C" w:rsidRPr="00980FAF" w14:paraId="041FD997" w14:textId="77777777" w:rsidTr="006030CE">
        <w:tc>
          <w:tcPr>
            <w:tcW w:w="3286" w:type="pct"/>
          </w:tcPr>
          <w:p w14:paraId="1982F1E7" w14:textId="77777777" w:rsidR="001A213C" w:rsidRPr="00980FAF" w:rsidRDefault="001A213C" w:rsidP="00980FAF">
            <w:pPr>
              <w:rPr>
                <w:lang w:val="en-US"/>
              </w:rPr>
            </w:pPr>
            <w:r w:rsidRPr="00980FAF">
              <w:rPr>
                <w:rFonts w:ascii="Calibri" w:hAnsi="Calibri"/>
                <w:b/>
                <w:lang w:val="en-US"/>
              </w:rPr>
              <w:t>Age (years), median (IQR)</w:t>
            </w:r>
          </w:p>
        </w:tc>
        <w:tc>
          <w:tcPr>
            <w:tcW w:w="1714" w:type="pct"/>
          </w:tcPr>
          <w:p w14:paraId="4F86DED8" w14:textId="77777777" w:rsidR="001A213C" w:rsidRPr="00980FAF" w:rsidRDefault="001A213C" w:rsidP="00980FAF">
            <w:pPr>
              <w:rPr>
                <w:lang w:val="en-US"/>
              </w:rPr>
            </w:pPr>
            <w:r w:rsidRPr="00980FAF">
              <w:rPr>
                <w:lang w:val="en-US"/>
              </w:rPr>
              <w:t>64 (59-71)</w:t>
            </w:r>
          </w:p>
        </w:tc>
      </w:tr>
      <w:tr w:rsidR="001A213C" w:rsidRPr="00980FAF" w14:paraId="6FCF8E5E" w14:textId="77777777" w:rsidTr="006030CE">
        <w:tc>
          <w:tcPr>
            <w:tcW w:w="3286" w:type="pct"/>
          </w:tcPr>
          <w:p w14:paraId="54EB3685" w14:textId="77777777" w:rsidR="001A213C" w:rsidRPr="00980FAF" w:rsidRDefault="001A213C" w:rsidP="00980FAF">
            <w:pPr>
              <w:rPr>
                <w:b/>
                <w:lang w:val="en-US"/>
              </w:rPr>
            </w:pPr>
            <w:r w:rsidRPr="00980FAF">
              <w:rPr>
                <w:b/>
                <w:lang w:val="en-US"/>
              </w:rPr>
              <w:t>PSA (ng/ml)</w:t>
            </w:r>
            <w:r w:rsidRPr="00980FAF">
              <w:rPr>
                <w:rFonts w:ascii="Calibri" w:hAnsi="Calibri"/>
                <w:b/>
                <w:lang w:val="en-US"/>
              </w:rPr>
              <w:t>, median (IQR)</w:t>
            </w:r>
          </w:p>
        </w:tc>
        <w:tc>
          <w:tcPr>
            <w:tcW w:w="1714" w:type="pct"/>
          </w:tcPr>
          <w:p w14:paraId="5E975CCA" w14:textId="77777777" w:rsidR="001A213C" w:rsidRPr="00980FAF" w:rsidRDefault="001A213C" w:rsidP="00980FAF">
            <w:pPr>
              <w:rPr>
                <w:lang w:val="en-US"/>
              </w:rPr>
            </w:pPr>
            <w:r w:rsidRPr="00980FAF">
              <w:rPr>
                <w:lang w:val="en-US"/>
              </w:rPr>
              <w:t>7.63 (5.5-13.4)</w:t>
            </w:r>
          </w:p>
        </w:tc>
      </w:tr>
      <w:tr w:rsidR="001A213C" w:rsidRPr="00980FAF" w14:paraId="207FA43B" w14:textId="77777777" w:rsidTr="006030CE">
        <w:tc>
          <w:tcPr>
            <w:tcW w:w="3286" w:type="pct"/>
          </w:tcPr>
          <w:p w14:paraId="089595F3" w14:textId="77777777" w:rsidR="001A213C" w:rsidRPr="00980FAF" w:rsidRDefault="001A213C" w:rsidP="00980FAF">
            <w:pPr>
              <w:rPr>
                <w:b/>
                <w:lang w:val="en-US"/>
              </w:rPr>
            </w:pPr>
            <w:r w:rsidRPr="00980FAF">
              <w:rPr>
                <w:b/>
                <w:lang w:val="en-US"/>
              </w:rPr>
              <w:t>Primary Gleason pattern at Biopsy, n (%)</w:t>
            </w:r>
          </w:p>
        </w:tc>
        <w:tc>
          <w:tcPr>
            <w:tcW w:w="1714" w:type="pct"/>
          </w:tcPr>
          <w:p w14:paraId="6DA65108" w14:textId="77777777" w:rsidR="001A213C" w:rsidRPr="00980FAF" w:rsidRDefault="001A213C" w:rsidP="00980FAF">
            <w:pPr>
              <w:rPr>
                <w:lang w:val="en-US"/>
              </w:rPr>
            </w:pPr>
          </w:p>
        </w:tc>
      </w:tr>
      <w:tr w:rsidR="001A213C" w:rsidRPr="00980FAF" w14:paraId="06C74B16" w14:textId="77777777" w:rsidTr="006030CE">
        <w:tc>
          <w:tcPr>
            <w:tcW w:w="3286" w:type="pct"/>
          </w:tcPr>
          <w:p w14:paraId="5BCC3CE1" w14:textId="77777777" w:rsidR="001A213C" w:rsidRPr="00980FAF" w:rsidRDefault="001A213C" w:rsidP="00980FAF">
            <w:pPr>
              <w:rPr>
                <w:lang w:val="en-US"/>
              </w:rPr>
            </w:pPr>
            <w:r w:rsidRPr="00980FAF">
              <w:rPr>
                <w:lang w:val="en-US"/>
              </w:rPr>
              <w:t xml:space="preserve">   3</w:t>
            </w:r>
          </w:p>
        </w:tc>
        <w:tc>
          <w:tcPr>
            <w:tcW w:w="1714" w:type="pct"/>
          </w:tcPr>
          <w:p w14:paraId="45486E96" w14:textId="77777777" w:rsidR="001A213C" w:rsidRPr="00980FAF" w:rsidRDefault="001A213C" w:rsidP="00980FAF">
            <w:pPr>
              <w:rPr>
                <w:lang w:val="en-US"/>
              </w:rPr>
            </w:pPr>
            <w:r w:rsidRPr="00980FAF">
              <w:rPr>
                <w:lang w:val="en-US"/>
              </w:rPr>
              <w:t>52 (65.0)</w:t>
            </w:r>
          </w:p>
        </w:tc>
      </w:tr>
      <w:tr w:rsidR="001A213C" w:rsidRPr="00980FAF" w14:paraId="0B2E394B" w14:textId="77777777" w:rsidTr="006030CE">
        <w:tc>
          <w:tcPr>
            <w:tcW w:w="3286" w:type="pct"/>
          </w:tcPr>
          <w:p w14:paraId="26982F42" w14:textId="77777777" w:rsidR="001A213C" w:rsidRPr="00980FAF" w:rsidRDefault="001A213C" w:rsidP="00980FAF">
            <w:pPr>
              <w:rPr>
                <w:lang w:val="en-US"/>
              </w:rPr>
            </w:pPr>
            <w:r w:rsidRPr="00980FAF">
              <w:rPr>
                <w:lang w:val="en-US"/>
              </w:rPr>
              <w:t xml:space="preserve">   4</w:t>
            </w:r>
          </w:p>
        </w:tc>
        <w:tc>
          <w:tcPr>
            <w:tcW w:w="1714" w:type="pct"/>
          </w:tcPr>
          <w:p w14:paraId="3759CD85" w14:textId="77777777" w:rsidR="001A213C" w:rsidRPr="00980FAF" w:rsidRDefault="001A213C" w:rsidP="00980FAF">
            <w:pPr>
              <w:rPr>
                <w:lang w:val="en-US"/>
              </w:rPr>
            </w:pPr>
            <w:r w:rsidRPr="00980FAF">
              <w:rPr>
                <w:lang w:val="en-US"/>
              </w:rPr>
              <w:t>27 (33.8)</w:t>
            </w:r>
          </w:p>
        </w:tc>
      </w:tr>
      <w:tr w:rsidR="001A213C" w:rsidRPr="00980FAF" w14:paraId="6AA6DC17" w14:textId="77777777" w:rsidTr="006030CE">
        <w:tc>
          <w:tcPr>
            <w:tcW w:w="3286" w:type="pct"/>
          </w:tcPr>
          <w:p w14:paraId="07589AC9" w14:textId="77777777" w:rsidR="001A213C" w:rsidRPr="00980FAF" w:rsidRDefault="001A213C" w:rsidP="00980FAF">
            <w:pPr>
              <w:rPr>
                <w:lang w:val="en-US"/>
              </w:rPr>
            </w:pPr>
            <w:r w:rsidRPr="00980FAF">
              <w:rPr>
                <w:lang w:val="en-US"/>
              </w:rPr>
              <w:t xml:space="preserve">   5</w:t>
            </w:r>
          </w:p>
        </w:tc>
        <w:tc>
          <w:tcPr>
            <w:tcW w:w="1714" w:type="pct"/>
          </w:tcPr>
          <w:p w14:paraId="6D36CEC2" w14:textId="77777777" w:rsidR="001A213C" w:rsidRPr="00980FAF" w:rsidRDefault="001A213C" w:rsidP="00980FAF">
            <w:pPr>
              <w:rPr>
                <w:lang w:val="en-US"/>
              </w:rPr>
            </w:pPr>
            <w:r w:rsidRPr="00980FAF">
              <w:rPr>
                <w:lang w:val="en-US"/>
              </w:rPr>
              <w:t>1 (1.2)</w:t>
            </w:r>
          </w:p>
        </w:tc>
      </w:tr>
      <w:tr w:rsidR="001A213C" w:rsidRPr="00980FAF" w14:paraId="04D37ED4" w14:textId="77777777" w:rsidTr="006030CE">
        <w:tc>
          <w:tcPr>
            <w:tcW w:w="3286" w:type="pct"/>
          </w:tcPr>
          <w:p w14:paraId="1E5642B0" w14:textId="77777777" w:rsidR="001A213C" w:rsidRPr="00980FAF" w:rsidRDefault="001A213C" w:rsidP="00980FAF">
            <w:pPr>
              <w:rPr>
                <w:b/>
                <w:lang w:val="en-US"/>
              </w:rPr>
            </w:pPr>
            <w:r w:rsidRPr="00980FAF">
              <w:rPr>
                <w:b/>
                <w:lang w:val="en-US"/>
              </w:rPr>
              <w:t>Secondary Gleason pattern at Biopsy, n (%)</w:t>
            </w:r>
          </w:p>
        </w:tc>
        <w:tc>
          <w:tcPr>
            <w:tcW w:w="1714" w:type="pct"/>
          </w:tcPr>
          <w:p w14:paraId="6E4915BA" w14:textId="77777777" w:rsidR="001A213C" w:rsidRPr="00980FAF" w:rsidRDefault="001A213C" w:rsidP="00980FAF">
            <w:pPr>
              <w:rPr>
                <w:lang w:val="en-US"/>
              </w:rPr>
            </w:pPr>
          </w:p>
        </w:tc>
      </w:tr>
      <w:tr w:rsidR="001A213C" w:rsidRPr="00980FAF" w14:paraId="2EA1B416" w14:textId="77777777" w:rsidTr="006030CE">
        <w:tc>
          <w:tcPr>
            <w:tcW w:w="3286" w:type="pct"/>
          </w:tcPr>
          <w:p w14:paraId="40B5410A" w14:textId="77777777" w:rsidR="001A213C" w:rsidRPr="00980FAF" w:rsidRDefault="001A213C" w:rsidP="00980FAF">
            <w:pPr>
              <w:rPr>
                <w:lang w:val="en-US"/>
              </w:rPr>
            </w:pPr>
            <w:r w:rsidRPr="00980FAF">
              <w:rPr>
                <w:lang w:val="en-US"/>
              </w:rPr>
              <w:t xml:space="preserve">   3</w:t>
            </w:r>
          </w:p>
        </w:tc>
        <w:tc>
          <w:tcPr>
            <w:tcW w:w="1714" w:type="pct"/>
          </w:tcPr>
          <w:p w14:paraId="048CF50D" w14:textId="77777777" w:rsidR="001A213C" w:rsidRPr="00980FAF" w:rsidRDefault="001A213C" w:rsidP="00980FAF">
            <w:pPr>
              <w:rPr>
                <w:lang w:val="en-US"/>
              </w:rPr>
            </w:pPr>
            <w:r w:rsidRPr="00980FAF">
              <w:rPr>
                <w:lang w:val="en-US"/>
              </w:rPr>
              <w:t>29 (36.2)</w:t>
            </w:r>
          </w:p>
        </w:tc>
      </w:tr>
      <w:tr w:rsidR="001A213C" w:rsidRPr="00980FAF" w14:paraId="74443A78" w14:textId="77777777" w:rsidTr="006030CE">
        <w:tc>
          <w:tcPr>
            <w:tcW w:w="3286" w:type="pct"/>
          </w:tcPr>
          <w:p w14:paraId="0C868AF5" w14:textId="77777777" w:rsidR="001A213C" w:rsidRPr="00980FAF" w:rsidRDefault="001A213C" w:rsidP="00980FAF">
            <w:pPr>
              <w:rPr>
                <w:lang w:val="en-US"/>
              </w:rPr>
            </w:pPr>
            <w:r w:rsidRPr="00980FAF">
              <w:rPr>
                <w:lang w:val="en-US"/>
              </w:rPr>
              <w:t xml:space="preserve">   4</w:t>
            </w:r>
          </w:p>
        </w:tc>
        <w:tc>
          <w:tcPr>
            <w:tcW w:w="1714" w:type="pct"/>
          </w:tcPr>
          <w:p w14:paraId="208DA01D" w14:textId="77777777" w:rsidR="001A213C" w:rsidRPr="00980FAF" w:rsidRDefault="001A213C" w:rsidP="00980FAF">
            <w:pPr>
              <w:rPr>
                <w:lang w:val="en-US"/>
              </w:rPr>
            </w:pPr>
            <w:r w:rsidRPr="00980FAF">
              <w:rPr>
                <w:lang w:val="en-US"/>
              </w:rPr>
              <w:t>42 (52.5)</w:t>
            </w:r>
          </w:p>
        </w:tc>
      </w:tr>
      <w:tr w:rsidR="001A213C" w:rsidRPr="00980FAF" w14:paraId="44E8C6BD" w14:textId="77777777" w:rsidTr="006030CE">
        <w:tc>
          <w:tcPr>
            <w:tcW w:w="3286" w:type="pct"/>
          </w:tcPr>
          <w:p w14:paraId="788407CC" w14:textId="77777777" w:rsidR="001A213C" w:rsidRPr="00980FAF" w:rsidRDefault="001A213C" w:rsidP="00980FAF">
            <w:pPr>
              <w:rPr>
                <w:lang w:val="en-US"/>
              </w:rPr>
            </w:pPr>
            <w:r w:rsidRPr="00980FAF">
              <w:rPr>
                <w:lang w:val="en-US"/>
              </w:rPr>
              <w:t xml:space="preserve">   5</w:t>
            </w:r>
          </w:p>
        </w:tc>
        <w:tc>
          <w:tcPr>
            <w:tcW w:w="1714" w:type="pct"/>
          </w:tcPr>
          <w:p w14:paraId="7C2C2733" w14:textId="77777777" w:rsidR="001A213C" w:rsidRPr="00980FAF" w:rsidRDefault="001A213C" w:rsidP="00980FAF">
            <w:pPr>
              <w:rPr>
                <w:lang w:val="en-US"/>
              </w:rPr>
            </w:pPr>
            <w:r w:rsidRPr="00980FAF">
              <w:rPr>
                <w:lang w:val="en-US"/>
              </w:rPr>
              <w:t>9 (11.2)</w:t>
            </w:r>
          </w:p>
        </w:tc>
      </w:tr>
      <w:tr w:rsidR="001A213C" w:rsidRPr="00980FAF" w14:paraId="6EA533CF" w14:textId="77777777" w:rsidTr="006030CE">
        <w:tc>
          <w:tcPr>
            <w:tcW w:w="3286" w:type="pct"/>
          </w:tcPr>
          <w:p w14:paraId="311D1A33" w14:textId="77777777" w:rsidR="001A213C" w:rsidRPr="00980FAF" w:rsidRDefault="001A213C" w:rsidP="00980FAF">
            <w:pPr>
              <w:rPr>
                <w:b/>
                <w:lang w:val="en-US"/>
              </w:rPr>
            </w:pPr>
            <w:r w:rsidRPr="00980FAF">
              <w:rPr>
                <w:b/>
                <w:lang w:val="en-US"/>
              </w:rPr>
              <w:t>Total Gleason Score at Biopsy, n (%)</w:t>
            </w:r>
          </w:p>
        </w:tc>
        <w:tc>
          <w:tcPr>
            <w:tcW w:w="1714" w:type="pct"/>
          </w:tcPr>
          <w:p w14:paraId="4482F2B0" w14:textId="77777777" w:rsidR="001A213C" w:rsidRPr="00980FAF" w:rsidRDefault="001A213C" w:rsidP="00980FAF">
            <w:pPr>
              <w:rPr>
                <w:lang w:val="en-US"/>
              </w:rPr>
            </w:pPr>
          </w:p>
        </w:tc>
      </w:tr>
      <w:tr w:rsidR="001A213C" w:rsidRPr="00980FAF" w14:paraId="162A71E2" w14:textId="77777777" w:rsidTr="006030CE">
        <w:tc>
          <w:tcPr>
            <w:tcW w:w="3286" w:type="pct"/>
          </w:tcPr>
          <w:p w14:paraId="52C17F4A" w14:textId="77777777" w:rsidR="001A213C" w:rsidRPr="00980FAF" w:rsidRDefault="001A213C" w:rsidP="00980FAF">
            <w:pPr>
              <w:rPr>
                <w:lang w:val="en-US"/>
              </w:rPr>
            </w:pPr>
            <w:r w:rsidRPr="00980FAF">
              <w:rPr>
                <w:lang w:val="en-US"/>
              </w:rPr>
              <w:t xml:space="preserve">   6</w:t>
            </w:r>
          </w:p>
        </w:tc>
        <w:tc>
          <w:tcPr>
            <w:tcW w:w="1714" w:type="pct"/>
          </w:tcPr>
          <w:p w14:paraId="643D13B8" w14:textId="77777777" w:rsidR="001A213C" w:rsidRPr="00980FAF" w:rsidRDefault="001A213C" w:rsidP="00980FAF">
            <w:pPr>
              <w:rPr>
                <w:lang w:val="en-US"/>
              </w:rPr>
            </w:pPr>
            <w:r w:rsidRPr="00980FAF">
              <w:rPr>
                <w:lang w:val="en-US"/>
              </w:rPr>
              <w:t>19 (23.8)</w:t>
            </w:r>
          </w:p>
        </w:tc>
      </w:tr>
      <w:tr w:rsidR="001A213C" w:rsidRPr="00980FAF" w14:paraId="34C0D7BC" w14:textId="77777777" w:rsidTr="006030CE">
        <w:tc>
          <w:tcPr>
            <w:tcW w:w="3286" w:type="pct"/>
          </w:tcPr>
          <w:p w14:paraId="755F9E20" w14:textId="77777777" w:rsidR="001A213C" w:rsidRPr="00980FAF" w:rsidRDefault="001A213C" w:rsidP="00980FAF">
            <w:pPr>
              <w:rPr>
                <w:lang w:val="en-US"/>
              </w:rPr>
            </w:pPr>
            <w:r w:rsidRPr="00980FAF">
              <w:rPr>
                <w:lang w:val="en-US"/>
              </w:rPr>
              <w:t xml:space="preserve">   7</w:t>
            </w:r>
          </w:p>
        </w:tc>
        <w:tc>
          <w:tcPr>
            <w:tcW w:w="1714" w:type="pct"/>
          </w:tcPr>
          <w:p w14:paraId="70422636" w14:textId="77777777" w:rsidR="001A213C" w:rsidRPr="00980FAF" w:rsidRDefault="001A213C" w:rsidP="00980FAF">
            <w:pPr>
              <w:rPr>
                <w:lang w:val="en-US"/>
              </w:rPr>
            </w:pPr>
            <w:r w:rsidRPr="00980FAF">
              <w:rPr>
                <w:lang w:val="en-US"/>
              </w:rPr>
              <w:t>39 (48.8)</w:t>
            </w:r>
          </w:p>
        </w:tc>
      </w:tr>
      <w:tr w:rsidR="001A213C" w:rsidRPr="00980FAF" w14:paraId="57CF4C79" w14:textId="77777777" w:rsidTr="006030CE">
        <w:tc>
          <w:tcPr>
            <w:tcW w:w="3286" w:type="pct"/>
          </w:tcPr>
          <w:p w14:paraId="65211359" w14:textId="77777777" w:rsidR="001A213C" w:rsidRPr="00980FAF" w:rsidRDefault="001A213C" w:rsidP="00980FAF">
            <w:pPr>
              <w:rPr>
                <w:lang w:val="en-US"/>
              </w:rPr>
            </w:pPr>
            <w:r w:rsidRPr="00980FAF">
              <w:rPr>
                <w:lang w:val="en-US"/>
              </w:rPr>
              <w:t xml:space="preserve">   ≥8</w:t>
            </w:r>
          </w:p>
        </w:tc>
        <w:tc>
          <w:tcPr>
            <w:tcW w:w="1714" w:type="pct"/>
          </w:tcPr>
          <w:p w14:paraId="40F0252F" w14:textId="77777777" w:rsidR="001A213C" w:rsidRPr="00980FAF" w:rsidRDefault="001A213C" w:rsidP="00980FAF">
            <w:pPr>
              <w:rPr>
                <w:lang w:val="en-US"/>
              </w:rPr>
            </w:pPr>
            <w:r w:rsidRPr="00980FAF">
              <w:rPr>
                <w:lang w:val="en-US"/>
              </w:rPr>
              <w:t>22 (27.5)</w:t>
            </w:r>
          </w:p>
        </w:tc>
      </w:tr>
      <w:tr w:rsidR="001A213C" w:rsidRPr="00980FAF" w14:paraId="30A73FA0" w14:textId="77777777" w:rsidTr="006030CE">
        <w:tc>
          <w:tcPr>
            <w:tcW w:w="3286" w:type="pct"/>
          </w:tcPr>
          <w:p w14:paraId="46B593FA" w14:textId="77777777" w:rsidR="001A213C" w:rsidRPr="00980FAF" w:rsidRDefault="001A213C" w:rsidP="00980FAF">
            <w:pPr>
              <w:rPr>
                <w:b/>
                <w:lang w:val="en-US"/>
              </w:rPr>
            </w:pPr>
            <w:r w:rsidRPr="00980FAF">
              <w:rPr>
                <w:b/>
                <w:lang w:val="en-US"/>
              </w:rPr>
              <w:t>Number of positive cores, median (IQR)</w:t>
            </w:r>
          </w:p>
        </w:tc>
        <w:tc>
          <w:tcPr>
            <w:tcW w:w="1714" w:type="pct"/>
          </w:tcPr>
          <w:p w14:paraId="3EFAA561" w14:textId="77777777" w:rsidR="001A213C" w:rsidRPr="00980FAF" w:rsidRDefault="001A213C" w:rsidP="00980FAF">
            <w:pPr>
              <w:rPr>
                <w:lang w:val="en-US"/>
              </w:rPr>
            </w:pPr>
            <w:r w:rsidRPr="00980FAF">
              <w:rPr>
                <w:lang w:val="en-US"/>
              </w:rPr>
              <w:t>5.00 (3-8)</w:t>
            </w:r>
          </w:p>
        </w:tc>
      </w:tr>
      <w:tr w:rsidR="001A213C" w:rsidRPr="00980FAF" w14:paraId="3B3BF8A3" w14:textId="77777777" w:rsidTr="006030CE">
        <w:tc>
          <w:tcPr>
            <w:tcW w:w="3286" w:type="pct"/>
          </w:tcPr>
          <w:p w14:paraId="1B40983F" w14:textId="77777777" w:rsidR="001A213C" w:rsidRPr="00980FAF" w:rsidRDefault="001A213C" w:rsidP="00980FAF">
            <w:pPr>
              <w:rPr>
                <w:b/>
                <w:lang w:val="en-US"/>
              </w:rPr>
            </w:pPr>
            <w:r w:rsidRPr="00980FAF">
              <w:rPr>
                <w:b/>
                <w:lang w:val="en-US"/>
              </w:rPr>
              <w:t>Number of negative cores, median (IQR)</w:t>
            </w:r>
          </w:p>
        </w:tc>
        <w:tc>
          <w:tcPr>
            <w:tcW w:w="1714" w:type="pct"/>
          </w:tcPr>
          <w:p w14:paraId="181D686E" w14:textId="77777777" w:rsidR="001A213C" w:rsidRPr="00980FAF" w:rsidRDefault="001A213C" w:rsidP="00980FAF">
            <w:pPr>
              <w:rPr>
                <w:lang w:val="en-US"/>
              </w:rPr>
            </w:pPr>
            <w:r w:rsidRPr="00980FAF">
              <w:rPr>
                <w:lang w:val="en-US"/>
              </w:rPr>
              <w:t>7.00 (4-10.25)</w:t>
            </w:r>
          </w:p>
        </w:tc>
      </w:tr>
      <w:tr w:rsidR="001A213C" w:rsidRPr="00980FAF" w14:paraId="3DBD9408" w14:textId="77777777" w:rsidTr="006030CE">
        <w:tc>
          <w:tcPr>
            <w:tcW w:w="3286" w:type="pct"/>
          </w:tcPr>
          <w:p w14:paraId="06BE534B" w14:textId="77777777" w:rsidR="001A213C" w:rsidRPr="00980FAF" w:rsidRDefault="001A213C" w:rsidP="00980FAF">
            <w:pPr>
              <w:rPr>
                <w:b/>
                <w:lang w:val="en-US"/>
              </w:rPr>
            </w:pPr>
            <w:r w:rsidRPr="00980FAF">
              <w:rPr>
                <w:b/>
                <w:lang w:val="en-US"/>
              </w:rPr>
              <w:t>Clinical T staging in PSMA-PET/MRI, n (%)</w:t>
            </w:r>
          </w:p>
        </w:tc>
        <w:tc>
          <w:tcPr>
            <w:tcW w:w="1714" w:type="pct"/>
          </w:tcPr>
          <w:p w14:paraId="4E8E2210" w14:textId="77777777" w:rsidR="001A213C" w:rsidRPr="00980FAF" w:rsidRDefault="001A213C" w:rsidP="00980FAF">
            <w:pPr>
              <w:rPr>
                <w:lang w:val="en-US"/>
              </w:rPr>
            </w:pPr>
          </w:p>
        </w:tc>
      </w:tr>
      <w:tr w:rsidR="001A213C" w:rsidRPr="00980FAF" w14:paraId="2C3534A8" w14:textId="77777777" w:rsidTr="006030CE">
        <w:tc>
          <w:tcPr>
            <w:tcW w:w="3286" w:type="pct"/>
          </w:tcPr>
          <w:p w14:paraId="2CE4D70A" w14:textId="77777777" w:rsidR="001A213C" w:rsidRPr="00980FAF" w:rsidRDefault="001A213C" w:rsidP="00980FAF">
            <w:pPr>
              <w:rPr>
                <w:lang w:val="en-US"/>
              </w:rPr>
            </w:pPr>
            <w:r w:rsidRPr="00980FAF">
              <w:rPr>
                <w:lang w:val="en-US"/>
              </w:rPr>
              <w:t xml:space="preserve">   2</w:t>
            </w:r>
          </w:p>
        </w:tc>
        <w:tc>
          <w:tcPr>
            <w:tcW w:w="1714" w:type="pct"/>
          </w:tcPr>
          <w:p w14:paraId="621A7632" w14:textId="77777777" w:rsidR="001A213C" w:rsidRPr="00980FAF" w:rsidRDefault="001A213C" w:rsidP="00980FAF">
            <w:pPr>
              <w:rPr>
                <w:lang w:val="en-US"/>
              </w:rPr>
            </w:pPr>
            <w:r w:rsidRPr="00980FAF">
              <w:rPr>
                <w:lang w:val="en-US"/>
              </w:rPr>
              <w:t>41 (51.2)</w:t>
            </w:r>
          </w:p>
        </w:tc>
      </w:tr>
      <w:tr w:rsidR="001A213C" w:rsidRPr="00980FAF" w14:paraId="18DD6DF9" w14:textId="77777777" w:rsidTr="006030CE">
        <w:tc>
          <w:tcPr>
            <w:tcW w:w="3286" w:type="pct"/>
          </w:tcPr>
          <w:p w14:paraId="1031D85E" w14:textId="77777777" w:rsidR="001A213C" w:rsidRPr="00980FAF" w:rsidRDefault="001A213C" w:rsidP="00980FAF">
            <w:pPr>
              <w:rPr>
                <w:lang w:val="en-US"/>
              </w:rPr>
            </w:pPr>
            <w:r w:rsidRPr="00980FAF">
              <w:rPr>
                <w:lang w:val="en-US"/>
              </w:rPr>
              <w:t xml:space="preserve">   3a</w:t>
            </w:r>
          </w:p>
        </w:tc>
        <w:tc>
          <w:tcPr>
            <w:tcW w:w="1714" w:type="pct"/>
          </w:tcPr>
          <w:p w14:paraId="63463EA0" w14:textId="77777777" w:rsidR="001A213C" w:rsidRPr="00980FAF" w:rsidRDefault="001A213C" w:rsidP="00980FAF">
            <w:pPr>
              <w:rPr>
                <w:lang w:val="en-US"/>
              </w:rPr>
            </w:pPr>
            <w:r w:rsidRPr="00980FAF">
              <w:rPr>
                <w:lang w:val="en-US"/>
              </w:rPr>
              <w:t>19 (23.8)</w:t>
            </w:r>
          </w:p>
        </w:tc>
      </w:tr>
      <w:tr w:rsidR="001A213C" w:rsidRPr="00980FAF" w14:paraId="6BF59B90" w14:textId="77777777" w:rsidTr="006030CE">
        <w:tc>
          <w:tcPr>
            <w:tcW w:w="3286" w:type="pct"/>
          </w:tcPr>
          <w:p w14:paraId="01D0A7E0" w14:textId="77777777" w:rsidR="001A213C" w:rsidRPr="00980FAF" w:rsidRDefault="001A213C" w:rsidP="00980FAF">
            <w:pPr>
              <w:rPr>
                <w:lang w:val="en-US"/>
              </w:rPr>
            </w:pPr>
            <w:r w:rsidRPr="00980FAF">
              <w:rPr>
                <w:lang w:val="en-US"/>
              </w:rPr>
              <w:t xml:space="preserve">   3b</w:t>
            </w:r>
          </w:p>
        </w:tc>
        <w:tc>
          <w:tcPr>
            <w:tcW w:w="1714" w:type="pct"/>
          </w:tcPr>
          <w:p w14:paraId="3CC4FB9D" w14:textId="77777777" w:rsidR="001A213C" w:rsidRPr="00980FAF" w:rsidRDefault="001A213C" w:rsidP="00980FAF">
            <w:pPr>
              <w:rPr>
                <w:lang w:val="en-US"/>
              </w:rPr>
            </w:pPr>
            <w:r w:rsidRPr="00980FAF">
              <w:rPr>
                <w:lang w:val="en-US"/>
              </w:rPr>
              <w:t>20 (25)</w:t>
            </w:r>
          </w:p>
        </w:tc>
      </w:tr>
      <w:tr w:rsidR="001A213C" w:rsidRPr="00980FAF" w14:paraId="20F4C6EA" w14:textId="77777777" w:rsidTr="006030CE">
        <w:tc>
          <w:tcPr>
            <w:tcW w:w="3286" w:type="pct"/>
          </w:tcPr>
          <w:p w14:paraId="485DD8E0" w14:textId="77777777" w:rsidR="001A213C" w:rsidRPr="00980FAF" w:rsidRDefault="001A213C" w:rsidP="00980FAF">
            <w:pPr>
              <w:rPr>
                <w:lang w:val="en-US"/>
              </w:rPr>
            </w:pPr>
            <w:r w:rsidRPr="00980FAF">
              <w:rPr>
                <w:b/>
                <w:lang w:val="en-US"/>
              </w:rPr>
              <w:t>Positive lymph nodes in PSMA-PET/MRI, n (%)</w:t>
            </w:r>
          </w:p>
        </w:tc>
        <w:tc>
          <w:tcPr>
            <w:tcW w:w="1714" w:type="pct"/>
          </w:tcPr>
          <w:p w14:paraId="5355E310" w14:textId="77777777" w:rsidR="001A213C" w:rsidRPr="00980FAF" w:rsidRDefault="001A213C" w:rsidP="00980FAF">
            <w:pPr>
              <w:rPr>
                <w:lang w:val="en-US"/>
              </w:rPr>
            </w:pPr>
            <w:r w:rsidRPr="00980FAF">
              <w:rPr>
                <w:lang w:val="en-US"/>
              </w:rPr>
              <w:t>11 (13.8)</w:t>
            </w:r>
          </w:p>
        </w:tc>
      </w:tr>
      <w:tr w:rsidR="001A213C" w:rsidRPr="00980FAF" w14:paraId="54FC40DC" w14:textId="77777777" w:rsidTr="006030CE">
        <w:tc>
          <w:tcPr>
            <w:tcW w:w="3286" w:type="pct"/>
          </w:tcPr>
          <w:p w14:paraId="697FBA46" w14:textId="77777777" w:rsidR="001A213C" w:rsidRPr="00980FAF" w:rsidRDefault="001A213C" w:rsidP="00980FAF">
            <w:pPr>
              <w:rPr>
                <w:b/>
                <w:lang w:val="en-US"/>
              </w:rPr>
            </w:pPr>
            <w:r w:rsidRPr="00980FAF">
              <w:rPr>
                <w:b/>
                <w:lang w:val="en-US"/>
              </w:rPr>
              <w:t>Site of positive lymph nodes in PSMA-PET/MRI, n (%)</w:t>
            </w:r>
          </w:p>
        </w:tc>
        <w:tc>
          <w:tcPr>
            <w:tcW w:w="1714" w:type="pct"/>
          </w:tcPr>
          <w:p w14:paraId="641A0344" w14:textId="77777777" w:rsidR="001A213C" w:rsidRPr="00980FAF" w:rsidRDefault="001A213C" w:rsidP="00980FAF">
            <w:pPr>
              <w:rPr>
                <w:lang w:val="en-US"/>
              </w:rPr>
            </w:pPr>
          </w:p>
        </w:tc>
      </w:tr>
      <w:tr w:rsidR="001A213C" w:rsidRPr="00980FAF" w14:paraId="057A7026" w14:textId="77777777" w:rsidTr="006030CE">
        <w:tc>
          <w:tcPr>
            <w:tcW w:w="3286" w:type="pct"/>
          </w:tcPr>
          <w:p w14:paraId="6C512D1B" w14:textId="77777777" w:rsidR="001A213C" w:rsidRPr="00980FAF" w:rsidRDefault="001A213C" w:rsidP="00980FAF">
            <w:pPr>
              <w:rPr>
                <w:b/>
                <w:lang w:val="en-US"/>
              </w:rPr>
            </w:pPr>
            <w:r w:rsidRPr="00980FAF">
              <w:rPr>
                <w:lang w:val="en-US"/>
              </w:rPr>
              <w:t xml:space="preserve">   Bilateral external iliac</w:t>
            </w:r>
          </w:p>
        </w:tc>
        <w:tc>
          <w:tcPr>
            <w:tcW w:w="1714" w:type="pct"/>
          </w:tcPr>
          <w:p w14:paraId="013C6850" w14:textId="77777777" w:rsidR="001A213C" w:rsidRPr="00980FAF" w:rsidRDefault="001A213C" w:rsidP="00980FAF">
            <w:pPr>
              <w:rPr>
                <w:lang w:val="en-US"/>
              </w:rPr>
            </w:pPr>
            <w:r w:rsidRPr="00980FAF">
              <w:rPr>
                <w:lang w:val="en-US"/>
              </w:rPr>
              <w:t>4 (5.0)</w:t>
            </w:r>
          </w:p>
        </w:tc>
      </w:tr>
      <w:tr w:rsidR="001A213C" w:rsidRPr="00980FAF" w14:paraId="01D15DC5" w14:textId="77777777" w:rsidTr="006030CE">
        <w:tc>
          <w:tcPr>
            <w:tcW w:w="3286" w:type="pct"/>
          </w:tcPr>
          <w:p w14:paraId="452D264A" w14:textId="77777777" w:rsidR="001A213C" w:rsidRPr="00980FAF" w:rsidRDefault="001A213C" w:rsidP="00980FAF">
            <w:pPr>
              <w:rPr>
                <w:lang w:val="en-US"/>
              </w:rPr>
            </w:pPr>
            <w:r w:rsidRPr="00980FAF">
              <w:rPr>
                <w:lang w:val="en-US"/>
              </w:rPr>
              <w:t xml:space="preserve">   Left external iliac</w:t>
            </w:r>
          </w:p>
        </w:tc>
        <w:tc>
          <w:tcPr>
            <w:tcW w:w="1714" w:type="pct"/>
          </w:tcPr>
          <w:p w14:paraId="7022CAF7" w14:textId="77777777" w:rsidR="001A213C" w:rsidRPr="00980FAF" w:rsidRDefault="001A213C" w:rsidP="00980FAF">
            <w:pPr>
              <w:rPr>
                <w:lang w:val="en-US"/>
              </w:rPr>
            </w:pPr>
            <w:r w:rsidRPr="00980FAF">
              <w:rPr>
                <w:lang w:val="en-US"/>
              </w:rPr>
              <w:t>1 (1.2)</w:t>
            </w:r>
          </w:p>
        </w:tc>
      </w:tr>
      <w:tr w:rsidR="001A213C" w:rsidRPr="00980FAF" w14:paraId="23F2B5F4" w14:textId="77777777" w:rsidTr="006030CE">
        <w:tc>
          <w:tcPr>
            <w:tcW w:w="3286" w:type="pct"/>
          </w:tcPr>
          <w:p w14:paraId="580701BE" w14:textId="77777777" w:rsidR="001A213C" w:rsidRPr="00980FAF" w:rsidRDefault="001A213C" w:rsidP="00980FAF">
            <w:pPr>
              <w:rPr>
                <w:lang w:val="en-US"/>
              </w:rPr>
            </w:pPr>
            <w:r w:rsidRPr="00980FAF">
              <w:rPr>
                <w:lang w:val="en-US"/>
              </w:rPr>
              <w:t xml:space="preserve">   Left obturator</w:t>
            </w:r>
          </w:p>
        </w:tc>
        <w:tc>
          <w:tcPr>
            <w:tcW w:w="1714" w:type="pct"/>
          </w:tcPr>
          <w:p w14:paraId="1FDAB231" w14:textId="77777777" w:rsidR="001A213C" w:rsidRPr="00980FAF" w:rsidRDefault="001A213C" w:rsidP="00980FAF">
            <w:pPr>
              <w:rPr>
                <w:lang w:val="en-US"/>
              </w:rPr>
            </w:pPr>
            <w:r w:rsidRPr="00980FAF">
              <w:rPr>
                <w:lang w:val="en-US"/>
              </w:rPr>
              <w:t>1 (1.2)</w:t>
            </w:r>
          </w:p>
        </w:tc>
      </w:tr>
      <w:tr w:rsidR="001A213C" w:rsidRPr="00980FAF" w14:paraId="02BE0FD1" w14:textId="77777777" w:rsidTr="006030CE">
        <w:tc>
          <w:tcPr>
            <w:tcW w:w="3286" w:type="pct"/>
          </w:tcPr>
          <w:p w14:paraId="313B154D" w14:textId="77777777" w:rsidR="001A213C" w:rsidRPr="00980FAF" w:rsidRDefault="001A213C" w:rsidP="00980FAF">
            <w:pPr>
              <w:rPr>
                <w:lang w:val="en-US"/>
              </w:rPr>
            </w:pPr>
            <w:r w:rsidRPr="00980FAF">
              <w:rPr>
                <w:lang w:val="en-US"/>
              </w:rPr>
              <w:t xml:space="preserve">   Left pelvis</w:t>
            </w:r>
          </w:p>
        </w:tc>
        <w:tc>
          <w:tcPr>
            <w:tcW w:w="1714" w:type="pct"/>
          </w:tcPr>
          <w:p w14:paraId="42AD05A3" w14:textId="77777777" w:rsidR="001A213C" w:rsidRPr="00980FAF" w:rsidRDefault="001A213C" w:rsidP="00980FAF">
            <w:pPr>
              <w:rPr>
                <w:lang w:val="en-US"/>
              </w:rPr>
            </w:pPr>
            <w:r w:rsidRPr="00980FAF">
              <w:rPr>
                <w:lang w:val="en-US"/>
              </w:rPr>
              <w:t>2 (2.5)</w:t>
            </w:r>
          </w:p>
        </w:tc>
      </w:tr>
      <w:tr w:rsidR="001A213C" w:rsidRPr="00980FAF" w14:paraId="776E4492" w14:textId="77777777" w:rsidTr="006030CE">
        <w:tc>
          <w:tcPr>
            <w:tcW w:w="3286" w:type="pct"/>
          </w:tcPr>
          <w:p w14:paraId="507170FC" w14:textId="77777777" w:rsidR="001A213C" w:rsidRPr="00980FAF" w:rsidRDefault="001A213C" w:rsidP="00980FAF">
            <w:pPr>
              <w:rPr>
                <w:lang w:val="en-US"/>
              </w:rPr>
            </w:pPr>
            <w:r w:rsidRPr="00980FAF">
              <w:rPr>
                <w:lang w:val="en-US"/>
              </w:rPr>
              <w:t xml:space="preserve">   </w:t>
            </w:r>
            <w:proofErr w:type="spellStart"/>
            <w:r w:rsidRPr="00980FAF">
              <w:rPr>
                <w:lang w:val="en-US"/>
              </w:rPr>
              <w:t>Presacral</w:t>
            </w:r>
            <w:proofErr w:type="spellEnd"/>
          </w:p>
        </w:tc>
        <w:tc>
          <w:tcPr>
            <w:tcW w:w="1714" w:type="pct"/>
          </w:tcPr>
          <w:p w14:paraId="2B0845E6" w14:textId="77777777" w:rsidR="001A213C" w:rsidRPr="00980FAF" w:rsidRDefault="001A213C" w:rsidP="00980FAF">
            <w:pPr>
              <w:rPr>
                <w:lang w:val="en-US"/>
              </w:rPr>
            </w:pPr>
            <w:r w:rsidRPr="00980FAF">
              <w:rPr>
                <w:lang w:val="en-US"/>
              </w:rPr>
              <w:t>1 (1.2)</w:t>
            </w:r>
          </w:p>
        </w:tc>
      </w:tr>
      <w:tr w:rsidR="001A213C" w:rsidRPr="00980FAF" w14:paraId="1CCE5EE0" w14:textId="77777777" w:rsidTr="006030CE">
        <w:tc>
          <w:tcPr>
            <w:tcW w:w="3286" w:type="pct"/>
          </w:tcPr>
          <w:p w14:paraId="5C4981D5" w14:textId="77777777" w:rsidR="001A213C" w:rsidRPr="00980FAF" w:rsidRDefault="001A213C" w:rsidP="00980FAF">
            <w:pPr>
              <w:rPr>
                <w:lang w:val="en-US"/>
              </w:rPr>
            </w:pPr>
            <w:r w:rsidRPr="00980FAF">
              <w:rPr>
                <w:lang w:val="en-US"/>
              </w:rPr>
              <w:t xml:space="preserve">   Right external iliac</w:t>
            </w:r>
          </w:p>
        </w:tc>
        <w:tc>
          <w:tcPr>
            <w:tcW w:w="1714" w:type="pct"/>
          </w:tcPr>
          <w:p w14:paraId="0B06BEB2" w14:textId="77777777" w:rsidR="001A213C" w:rsidRPr="00980FAF" w:rsidRDefault="001A213C" w:rsidP="00980FAF">
            <w:pPr>
              <w:rPr>
                <w:lang w:val="en-US"/>
              </w:rPr>
            </w:pPr>
            <w:r w:rsidRPr="00980FAF">
              <w:rPr>
                <w:lang w:val="en-US"/>
              </w:rPr>
              <w:t>1 (1.2)</w:t>
            </w:r>
          </w:p>
        </w:tc>
      </w:tr>
      <w:tr w:rsidR="001A213C" w:rsidRPr="00980FAF" w14:paraId="45C2F6A3" w14:textId="77777777" w:rsidTr="006030CE">
        <w:tc>
          <w:tcPr>
            <w:tcW w:w="3286" w:type="pct"/>
          </w:tcPr>
          <w:p w14:paraId="341A714C" w14:textId="77777777" w:rsidR="001A213C" w:rsidRPr="00980FAF" w:rsidRDefault="001A213C" w:rsidP="00980FAF">
            <w:pPr>
              <w:rPr>
                <w:lang w:val="en-US"/>
              </w:rPr>
            </w:pPr>
            <w:r w:rsidRPr="00980FAF">
              <w:rPr>
                <w:lang w:val="en-US"/>
              </w:rPr>
              <w:t xml:space="preserve">   Right internal iliac</w:t>
            </w:r>
          </w:p>
        </w:tc>
        <w:tc>
          <w:tcPr>
            <w:tcW w:w="1714" w:type="pct"/>
          </w:tcPr>
          <w:p w14:paraId="757933BE" w14:textId="77777777" w:rsidR="001A213C" w:rsidRPr="00980FAF" w:rsidRDefault="001A213C" w:rsidP="00980FAF">
            <w:pPr>
              <w:rPr>
                <w:lang w:val="en-US"/>
              </w:rPr>
            </w:pPr>
            <w:r w:rsidRPr="00980FAF">
              <w:rPr>
                <w:lang w:val="en-US"/>
              </w:rPr>
              <w:t>1 (1.2)</w:t>
            </w:r>
          </w:p>
        </w:tc>
      </w:tr>
      <w:tr w:rsidR="001A213C" w:rsidRPr="00980FAF" w14:paraId="3D2E7A47" w14:textId="77777777" w:rsidTr="006030CE">
        <w:tc>
          <w:tcPr>
            <w:tcW w:w="5000" w:type="pct"/>
            <w:gridSpan w:val="2"/>
          </w:tcPr>
          <w:p w14:paraId="637C935E" w14:textId="77777777" w:rsidR="001A213C" w:rsidRPr="00980FAF" w:rsidRDefault="001A213C" w:rsidP="00980FAF">
            <w:pPr>
              <w:rPr>
                <w:lang w:val="en-US"/>
              </w:rPr>
            </w:pPr>
            <w:r w:rsidRPr="00980FAF">
              <w:rPr>
                <w:rFonts w:ascii="Calibri" w:hAnsi="Calibri"/>
                <w:lang w:val="en-US"/>
              </w:rPr>
              <w:t>IQR = Interquartile range, PSA = prostate specific antigen, PSMA = [</w:t>
            </w:r>
            <w:r w:rsidRPr="00980FAF">
              <w:rPr>
                <w:rFonts w:ascii="Calibri" w:hAnsi="Calibri"/>
                <w:vertAlign w:val="superscript"/>
                <w:lang w:val="en-US"/>
              </w:rPr>
              <w:t>68</w:t>
            </w:r>
            <w:r w:rsidRPr="00980FAF">
              <w:rPr>
                <w:rFonts w:ascii="Calibri" w:hAnsi="Calibri"/>
                <w:lang w:val="en-US"/>
              </w:rPr>
              <w:t>Ga]Ga-PSMA</w:t>
            </w:r>
            <w:r w:rsidRPr="00980FAF">
              <w:rPr>
                <w:rFonts w:ascii="Calibri" w:hAnsi="Calibri"/>
                <w:vertAlign w:val="superscript"/>
                <w:lang w:val="en-US"/>
              </w:rPr>
              <w:t>HBED-CC</w:t>
            </w:r>
            <w:r w:rsidRPr="00980FAF">
              <w:rPr>
                <w:rFonts w:ascii="Calibri" w:hAnsi="Calibri"/>
                <w:lang w:val="en-US"/>
              </w:rPr>
              <w:t xml:space="preserve"> conjugate 11 ligand, PET = positron emission tomography, MRI = magnetic resonance imaging</w:t>
            </w:r>
          </w:p>
        </w:tc>
      </w:tr>
    </w:tbl>
    <w:p w14:paraId="3B15DCAC" w14:textId="77777777" w:rsidR="001A213C" w:rsidRPr="00980FAF" w:rsidRDefault="001A213C" w:rsidP="00980FAF">
      <w:pPr>
        <w:spacing w:line="480" w:lineRule="auto"/>
        <w:jc w:val="both"/>
        <w:rPr>
          <w:rFonts w:ascii="Calibri" w:hAnsi="Calibri"/>
        </w:rPr>
      </w:pPr>
    </w:p>
    <w:p w14:paraId="50BF7505" w14:textId="77777777" w:rsidR="001A213C" w:rsidRPr="00980FAF" w:rsidRDefault="001A213C" w:rsidP="00980FAF">
      <w:pPr>
        <w:spacing w:line="480" w:lineRule="auto"/>
        <w:jc w:val="both"/>
        <w:rPr>
          <w:rFonts w:ascii="Calibri" w:hAnsi="Calibri"/>
        </w:rPr>
      </w:pPr>
    </w:p>
    <w:p w14:paraId="5BF9260B" w14:textId="77777777" w:rsidR="001A213C" w:rsidRPr="00980FAF" w:rsidRDefault="001A213C" w:rsidP="00980FAF">
      <w:pPr>
        <w:spacing w:line="480" w:lineRule="auto"/>
        <w:jc w:val="both"/>
        <w:rPr>
          <w:rFonts w:ascii="Calibri" w:hAnsi="Calibri"/>
        </w:rPr>
      </w:pPr>
    </w:p>
    <w:p w14:paraId="5F49D680" w14:textId="77777777" w:rsidR="001A213C" w:rsidRPr="00980FAF" w:rsidRDefault="001A213C" w:rsidP="00980FAF">
      <w:pPr>
        <w:spacing w:line="480" w:lineRule="auto"/>
        <w:jc w:val="both"/>
        <w:rPr>
          <w:rFonts w:ascii="Calibri" w:hAnsi="Calibri"/>
        </w:rPr>
      </w:pPr>
    </w:p>
    <w:p w14:paraId="499973DD" w14:textId="77777777" w:rsidR="00A961AB" w:rsidRPr="00980FAF" w:rsidRDefault="00A961AB" w:rsidP="00980FAF">
      <w:pPr>
        <w:spacing w:line="480" w:lineRule="auto"/>
        <w:jc w:val="both"/>
        <w:rPr>
          <w:rFonts w:ascii="Calibri" w:hAnsi="Calibri"/>
        </w:rPr>
      </w:pPr>
    </w:p>
    <w:tbl>
      <w:tblPr>
        <w:tblStyle w:val="Tabellenraster"/>
        <w:tblW w:w="5000" w:type="pct"/>
        <w:tblLook w:val="04A0" w:firstRow="1" w:lastRow="0" w:firstColumn="1" w:lastColumn="0" w:noHBand="0" w:noVBand="1"/>
      </w:tblPr>
      <w:tblGrid>
        <w:gridCol w:w="5921"/>
        <w:gridCol w:w="3089"/>
      </w:tblGrid>
      <w:tr w:rsidR="0018723A" w:rsidRPr="00980FAF" w14:paraId="7F6241EE" w14:textId="77777777" w:rsidTr="0018723A">
        <w:tc>
          <w:tcPr>
            <w:tcW w:w="5000" w:type="pct"/>
            <w:gridSpan w:val="2"/>
          </w:tcPr>
          <w:p w14:paraId="65260A33" w14:textId="7AFB92AF" w:rsidR="0018723A" w:rsidRPr="00980FAF" w:rsidRDefault="0018723A" w:rsidP="00980FAF">
            <w:pPr>
              <w:rPr>
                <w:b/>
                <w:lang w:val="en-US"/>
              </w:rPr>
            </w:pPr>
            <w:r w:rsidRPr="00980FAF">
              <w:rPr>
                <w:rFonts w:ascii="Calibri" w:hAnsi="Calibri"/>
                <w:b/>
                <w:lang w:val="en-US"/>
              </w:rPr>
              <w:t xml:space="preserve">Table S2. </w:t>
            </w:r>
            <w:proofErr w:type="spellStart"/>
            <w:r w:rsidR="00A72E0D" w:rsidRPr="00980FAF">
              <w:rPr>
                <w:rFonts w:ascii="Calibri" w:hAnsi="Calibri"/>
                <w:b/>
                <w:lang w:val="en-US"/>
              </w:rPr>
              <w:t>Clinicopathologic</w:t>
            </w:r>
            <w:proofErr w:type="spellEnd"/>
            <w:r w:rsidR="00A72E0D" w:rsidRPr="00980FAF">
              <w:rPr>
                <w:rFonts w:ascii="Calibri" w:hAnsi="Calibri"/>
                <w:b/>
                <w:lang w:val="en-US"/>
              </w:rPr>
              <w:t xml:space="preserve"> features of 41</w:t>
            </w:r>
            <w:r w:rsidRPr="00980FAF">
              <w:rPr>
                <w:rFonts w:ascii="Calibri" w:hAnsi="Calibri"/>
                <w:b/>
                <w:lang w:val="en-US"/>
              </w:rPr>
              <w:t xml:space="preserve"> patients staged with </w:t>
            </w:r>
            <w:r w:rsidRPr="00980FAF">
              <w:rPr>
                <w:rFonts w:ascii="Calibri" w:hAnsi="Calibri"/>
                <w:b/>
                <w:lang w:val="es-ES"/>
              </w:rPr>
              <w:t>[</w:t>
            </w:r>
            <w:r w:rsidRPr="00980FAF">
              <w:rPr>
                <w:rFonts w:ascii="Calibri" w:hAnsi="Calibri"/>
                <w:b/>
                <w:vertAlign w:val="superscript"/>
                <w:lang w:val="es-ES"/>
              </w:rPr>
              <w:t>68</w:t>
            </w:r>
            <w:r w:rsidRPr="00980FAF">
              <w:rPr>
                <w:rFonts w:ascii="Calibri" w:hAnsi="Calibri"/>
                <w:b/>
                <w:lang w:val="es-ES"/>
              </w:rPr>
              <w:t xml:space="preserve">Ga]Ga-PSMA-11 </w:t>
            </w:r>
            <w:r w:rsidRPr="00980FAF">
              <w:rPr>
                <w:rFonts w:ascii="Calibri" w:hAnsi="Calibri"/>
                <w:b/>
                <w:lang w:val="en-US"/>
              </w:rPr>
              <w:t>PET/MRI</w:t>
            </w:r>
            <w:r w:rsidRPr="00980FAF">
              <w:rPr>
                <w:rFonts w:ascii="Calibri" w:hAnsi="Calibri"/>
                <w:b/>
                <w:vertAlign w:val="superscript"/>
                <w:lang w:val="en-US"/>
              </w:rPr>
              <w:t xml:space="preserve"> </w:t>
            </w:r>
            <w:r w:rsidRPr="00980FAF">
              <w:rPr>
                <w:b/>
                <w:lang w:val="en-US"/>
              </w:rPr>
              <w:t>in whom the therapeutic management changed after imaging</w:t>
            </w:r>
          </w:p>
        </w:tc>
      </w:tr>
      <w:tr w:rsidR="0018723A" w:rsidRPr="00980FAF" w14:paraId="576D6817" w14:textId="77777777" w:rsidTr="0018723A">
        <w:tc>
          <w:tcPr>
            <w:tcW w:w="3286" w:type="pct"/>
          </w:tcPr>
          <w:p w14:paraId="77884DE1" w14:textId="77777777" w:rsidR="0018723A" w:rsidRPr="00980FAF" w:rsidRDefault="0018723A" w:rsidP="00980FAF">
            <w:pPr>
              <w:rPr>
                <w:lang w:val="en-US"/>
              </w:rPr>
            </w:pPr>
            <w:r w:rsidRPr="00980FAF">
              <w:rPr>
                <w:rFonts w:ascii="Calibri" w:hAnsi="Calibri"/>
                <w:b/>
                <w:lang w:val="en-US"/>
              </w:rPr>
              <w:t>Age (years), median (IQR)</w:t>
            </w:r>
          </w:p>
        </w:tc>
        <w:tc>
          <w:tcPr>
            <w:tcW w:w="1714" w:type="pct"/>
          </w:tcPr>
          <w:p w14:paraId="4320ABD8" w14:textId="1F85623D" w:rsidR="0018723A" w:rsidRPr="00980FAF" w:rsidRDefault="0018723A" w:rsidP="00980FAF">
            <w:pPr>
              <w:rPr>
                <w:lang w:val="en-US"/>
              </w:rPr>
            </w:pPr>
            <w:r w:rsidRPr="00980FAF">
              <w:rPr>
                <w:lang w:val="en-US"/>
              </w:rPr>
              <w:t xml:space="preserve">65 </w:t>
            </w:r>
            <w:r w:rsidR="00392348" w:rsidRPr="00980FAF">
              <w:rPr>
                <w:lang w:val="en-US"/>
              </w:rPr>
              <w:t>(60-72</w:t>
            </w:r>
            <w:r w:rsidRPr="00980FAF">
              <w:rPr>
                <w:lang w:val="en-US"/>
              </w:rPr>
              <w:t>)</w:t>
            </w:r>
          </w:p>
        </w:tc>
      </w:tr>
      <w:tr w:rsidR="0018723A" w:rsidRPr="00980FAF" w14:paraId="0468D591" w14:textId="77777777" w:rsidTr="0018723A">
        <w:tc>
          <w:tcPr>
            <w:tcW w:w="3286" w:type="pct"/>
          </w:tcPr>
          <w:p w14:paraId="1B3F2668" w14:textId="77777777" w:rsidR="0018723A" w:rsidRPr="00980FAF" w:rsidRDefault="0018723A" w:rsidP="00980FAF">
            <w:pPr>
              <w:rPr>
                <w:b/>
                <w:lang w:val="en-US"/>
              </w:rPr>
            </w:pPr>
            <w:r w:rsidRPr="00980FAF">
              <w:rPr>
                <w:b/>
                <w:lang w:val="en-US"/>
              </w:rPr>
              <w:t>PSA (ng/ml)</w:t>
            </w:r>
            <w:r w:rsidRPr="00980FAF">
              <w:rPr>
                <w:rFonts w:ascii="Calibri" w:hAnsi="Calibri"/>
                <w:b/>
                <w:lang w:val="en-US"/>
              </w:rPr>
              <w:t>, median (IQR)</w:t>
            </w:r>
          </w:p>
        </w:tc>
        <w:tc>
          <w:tcPr>
            <w:tcW w:w="1714" w:type="pct"/>
          </w:tcPr>
          <w:p w14:paraId="60B11468" w14:textId="4E141D5E" w:rsidR="0018723A" w:rsidRPr="00980FAF" w:rsidRDefault="00392348" w:rsidP="00980FAF">
            <w:pPr>
              <w:rPr>
                <w:lang w:val="en-US"/>
              </w:rPr>
            </w:pPr>
            <w:r w:rsidRPr="00980FAF">
              <w:rPr>
                <w:lang w:val="en-US"/>
              </w:rPr>
              <w:t>13.2 (6.6-32</w:t>
            </w:r>
            <w:r w:rsidR="0018723A" w:rsidRPr="00980FAF">
              <w:rPr>
                <w:lang w:val="en-US"/>
              </w:rPr>
              <w:t>)</w:t>
            </w:r>
          </w:p>
        </w:tc>
      </w:tr>
      <w:tr w:rsidR="0018723A" w:rsidRPr="00980FAF" w14:paraId="0EA3E190" w14:textId="77777777" w:rsidTr="0018723A">
        <w:tc>
          <w:tcPr>
            <w:tcW w:w="3286" w:type="pct"/>
          </w:tcPr>
          <w:p w14:paraId="44D5D1D9" w14:textId="77777777" w:rsidR="0018723A" w:rsidRPr="00980FAF" w:rsidRDefault="0018723A" w:rsidP="00980FAF">
            <w:pPr>
              <w:rPr>
                <w:b/>
                <w:lang w:val="en-US"/>
              </w:rPr>
            </w:pPr>
            <w:r w:rsidRPr="00980FAF">
              <w:rPr>
                <w:b/>
                <w:lang w:val="en-US"/>
              </w:rPr>
              <w:t>Primary Gleason pattern at Biopsy, n (%)</w:t>
            </w:r>
          </w:p>
        </w:tc>
        <w:tc>
          <w:tcPr>
            <w:tcW w:w="1714" w:type="pct"/>
          </w:tcPr>
          <w:p w14:paraId="59E0582F" w14:textId="77777777" w:rsidR="0018723A" w:rsidRPr="00980FAF" w:rsidRDefault="0018723A" w:rsidP="00980FAF">
            <w:pPr>
              <w:rPr>
                <w:lang w:val="en-US"/>
              </w:rPr>
            </w:pPr>
          </w:p>
        </w:tc>
      </w:tr>
      <w:tr w:rsidR="0018723A" w:rsidRPr="00980FAF" w14:paraId="7D50C8BD" w14:textId="77777777" w:rsidTr="0018723A">
        <w:tc>
          <w:tcPr>
            <w:tcW w:w="3286" w:type="pct"/>
          </w:tcPr>
          <w:p w14:paraId="401106A9" w14:textId="77777777" w:rsidR="0018723A" w:rsidRPr="00980FAF" w:rsidRDefault="0018723A" w:rsidP="00980FAF">
            <w:pPr>
              <w:rPr>
                <w:lang w:val="en-US"/>
              </w:rPr>
            </w:pPr>
            <w:r w:rsidRPr="00980FAF">
              <w:rPr>
                <w:lang w:val="en-US"/>
              </w:rPr>
              <w:t xml:space="preserve">   3</w:t>
            </w:r>
          </w:p>
        </w:tc>
        <w:tc>
          <w:tcPr>
            <w:tcW w:w="1714" w:type="pct"/>
          </w:tcPr>
          <w:p w14:paraId="683967D2" w14:textId="3FA00068" w:rsidR="0018723A" w:rsidRPr="00980FAF" w:rsidRDefault="00A72E0D" w:rsidP="00980FAF">
            <w:pPr>
              <w:rPr>
                <w:lang w:val="en-US"/>
              </w:rPr>
            </w:pPr>
            <w:r w:rsidRPr="00980FAF">
              <w:rPr>
                <w:lang w:val="en-US"/>
              </w:rPr>
              <w:t>23 (56.1</w:t>
            </w:r>
            <w:r w:rsidR="0018723A" w:rsidRPr="00980FAF">
              <w:rPr>
                <w:lang w:val="en-US"/>
              </w:rPr>
              <w:t>)</w:t>
            </w:r>
          </w:p>
        </w:tc>
      </w:tr>
      <w:tr w:rsidR="0018723A" w:rsidRPr="00980FAF" w14:paraId="49ED248B" w14:textId="77777777" w:rsidTr="0018723A">
        <w:tc>
          <w:tcPr>
            <w:tcW w:w="3286" w:type="pct"/>
          </w:tcPr>
          <w:p w14:paraId="1F31F89E" w14:textId="77777777" w:rsidR="0018723A" w:rsidRPr="00980FAF" w:rsidRDefault="0018723A" w:rsidP="00980FAF">
            <w:pPr>
              <w:rPr>
                <w:lang w:val="en-US"/>
              </w:rPr>
            </w:pPr>
            <w:r w:rsidRPr="00980FAF">
              <w:rPr>
                <w:lang w:val="en-US"/>
              </w:rPr>
              <w:t xml:space="preserve">   4</w:t>
            </w:r>
          </w:p>
        </w:tc>
        <w:tc>
          <w:tcPr>
            <w:tcW w:w="1714" w:type="pct"/>
          </w:tcPr>
          <w:p w14:paraId="5B1B85E9" w14:textId="5B56432A" w:rsidR="0018723A" w:rsidRPr="00980FAF" w:rsidRDefault="00020AA4" w:rsidP="00980FAF">
            <w:pPr>
              <w:rPr>
                <w:lang w:val="en-US"/>
              </w:rPr>
            </w:pPr>
            <w:r w:rsidRPr="00980FAF">
              <w:rPr>
                <w:lang w:val="en-US"/>
              </w:rPr>
              <w:t>15</w:t>
            </w:r>
            <w:r w:rsidR="00C9237A" w:rsidRPr="00980FAF">
              <w:rPr>
                <w:lang w:val="en-US"/>
              </w:rPr>
              <w:t xml:space="preserve"> (36.6</w:t>
            </w:r>
            <w:r w:rsidR="0018723A" w:rsidRPr="00980FAF">
              <w:rPr>
                <w:lang w:val="en-US"/>
              </w:rPr>
              <w:t>)</w:t>
            </w:r>
          </w:p>
        </w:tc>
      </w:tr>
      <w:tr w:rsidR="0018723A" w:rsidRPr="00980FAF" w14:paraId="1CB67FC8" w14:textId="77777777" w:rsidTr="0018723A">
        <w:tc>
          <w:tcPr>
            <w:tcW w:w="3286" w:type="pct"/>
          </w:tcPr>
          <w:p w14:paraId="299FCDBA" w14:textId="77777777" w:rsidR="0018723A" w:rsidRPr="00980FAF" w:rsidRDefault="0018723A" w:rsidP="00980FAF">
            <w:pPr>
              <w:rPr>
                <w:lang w:val="en-US"/>
              </w:rPr>
            </w:pPr>
            <w:r w:rsidRPr="00980FAF">
              <w:rPr>
                <w:lang w:val="en-US"/>
              </w:rPr>
              <w:t xml:space="preserve">   5</w:t>
            </w:r>
          </w:p>
        </w:tc>
        <w:tc>
          <w:tcPr>
            <w:tcW w:w="1714" w:type="pct"/>
          </w:tcPr>
          <w:p w14:paraId="72A41B41" w14:textId="1691E371" w:rsidR="0018723A" w:rsidRPr="00980FAF" w:rsidRDefault="00C9237A" w:rsidP="00980FAF">
            <w:pPr>
              <w:rPr>
                <w:lang w:val="en-US"/>
              </w:rPr>
            </w:pPr>
            <w:r w:rsidRPr="00980FAF">
              <w:rPr>
                <w:lang w:val="en-US"/>
              </w:rPr>
              <w:t xml:space="preserve"> 3 (7.3</w:t>
            </w:r>
            <w:r w:rsidR="0018723A" w:rsidRPr="00980FAF">
              <w:rPr>
                <w:lang w:val="en-US"/>
              </w:rPr>
              <w:t>)</w:t>
            </w:r>
          </w:p>
        </w:tc>
      </w:tr>
      <w:tr w:rsidR="0018723A" w:rsidRPr="00980FAF" w14:paraId="106C2A4B" w14:textId="77777777" w:rsidTr="0018723A">
        <w:tc>
          <w:tcPr>
            <w:tcW w:w="3286" w:type="pct"/>
          </w:tcPr>
          <w:p w14:paraId="2050D62D" w14:textId="77777777" w:rsidR="0018723A" w:rsidRPr="00980FAF" w:rsidRDefault="0018723A" w:rsidP="00980FAF">
            <w:pPr>
              <w:rPr>
                <w:b/>
                <w:lang w:val="en-US"/>
              </w:rPr>
            </w:pPr>
            <w:r w:rsidRPr="00980FAF">
              <w:rPr>
                <w:b/>
                <w:lang w:val="en-US"/>
              </w:rPr>
              <w:t>Secondary Gleason pattern at Biopsy, n (%)</w:t>
            </w:r>
          </w:p>
        </w:tc>
        <w:tc>
          <w:tcPr>
            <w:tcW w:w="1714" w:type="pct"/>
          </w:tcPr>
          <w:p w14:paraId="583550DE" w14:textId="77777777" w:rsidR="0018723A" w:rsidRPr="00980FAF" w:rsidRDefault="0018723A" w:rsidP="00980FAF">
            <w:pPr>
              <w:rPr>
                <w:lang w:val="en-US"/>
              </w:rPr>
            </w:pPr>
          </w:p>
        </w:tc>
      </w:tr>
      <w:tr w:rsidR="0018723A" w:rsidRPr="00980FAF" w14:paraId="20F140B0" w14:textId="77777777" w:rsidTr="0018723A">
        <w:tc>
          <w:tcPr>
            <w:tcW w:w="3286" w:type="pct"/>
          </w:tcPr>
          <w:p w14:paraId="209F4A54" w14:textId="77777777" w:rsidR="0018723A" w:rsidRPr="00980FAF" w:rsidRDefault="0018723A" w:rsidP="00980FAF">
            <w:pPr>
              <w:rPr>
                <w:lang w:val="en-US"/>
              </w:rPr>
            </w:pPr>
            <w:r w:rsidRPr="00980FAF">
              <w:rPr>
                <w:lang w:val="en-US"/>
              </w:rPr>
              <w:t xml:space="preserve">   3</w:t>
            </w:r>
          </w:p>
        </w:tc>
        <w:tc>
          <w:tcPr>
            <w:tcW w:w="1714" w:type="pct"/>
          </w:tcPr>
          <w:p w14:paraId="19F32C25" w14:textId="06267E56" w:rsidR="0018723A" w:rsidRPr="00980FAF" w:rsidRDefault="00C9237A" w:rsidP="00980FAF">
            <w:pPr>
              <w:rPr>
                <w:lang w:val="en-US"/>
              </w:rPr>
            </w:pPr>
            <w:r w:rsidRPr="00980FAF">
              <w:rPr>
                <w:lang w:val="en-US"/>
              </w:rPr>
              <w:t>20 (48.8</w:t>
            </w:r>
            <w:r w:rsidR="0018723A" w:rsidRPr="00980FAF">
              <w:rPr>
                <w:lang w:val="en-US"/>
              </w:rPr>
              <w:t>)</w:t>
            </w:r>
          </w:p>
        </w:tc>
      </w:tr>
      <w:tr w:rsidR="0018723A" w:rsidRPr="00980FAF" w14:paraId="029019CF" w14:textId="77777777" w:rsidTr="0018723A">
        <w:tc>
          <w:tcPr>
            <w:tcW w:w="3286" w:type="pct"/>
          </w:tcPr>
          <w:p w14:paraId="624B7115" w14:textId="77777777" w:rsidR="0018723A" w:rsidRPr="00980FAF" w:rsidRDefault="0018723A" w:rsidP="00980FAF">
            <w:pPr>
              <w:rPr>
                <w:lang w:val="en-US"/>
              </w:rPr>
            </w:pPr>
            <w:r w:rsidRPr="00980FAF">
              <w:rPr>
                <w:lang w:val="en-US"/>
              </w:rPr>
              <w:t xml:space="preserve">   4</w:t>
            </w:r>
          </w:p>
        </w:tc>
        <w:tc>
          <w:tcPr>
            <w:tcW w:w="1714" w:type="pct"/>
          </w:tcPr>
          <w:p w14:paraId="033E27F8" w14:textId="4B8847FD" w:rsidR="0018723A" w:rsidRPr="00980FAF" w:rsidRDefault="00C9237A" w:rsidP="00980FAF">
            <w:pPr>
              <w:rPr>
                <w:lang w:val="en-US"/>
              </w:rPr>
            </w:pPr>
            <w:r w:rsidRPr="00980FAF">
              <w:rPr>
                <w:lang w:val="en-US"/>
              </w:rPr>
              <w:t>11 (26.8</w:t>
            </w:r>
            <w:r w:rsidR="0018723A" w:rsidRPr="00980FAF">
              <w:rPr>
                <w:lang w:val="en-US"/>
              </w:rPr>
              <w:t>)</w:t>
            </w:r>
          </w:p>
        </w:tc>
      </w:tr>
      <w:tr w:rsidR="0018723A" w:rsidRPr="00980FAF" w14:paraId="4C07CF87" w14:textId="77777777" w:rsidTr="0018723A">
        <w:tc>
          <w:tcPr>
            <w:tcW w:w="3286" w:type="pct"/>
          </w:tcPr>
          <w:p w14:paraId="6D3ABCF7" w14:textId="77777777" w:rsidR="0018723A" w:rsidRPr="00980FAF" w:rsidRDefault="0018723A" w:rsidP="00980FAF">
            <w:pPr>
              <w:rPr>
                <w:lang w:val="en-US"/>
              </w:rPr>
            </w:pPr>
            <w:r w:rsidRPr="00980FAF">
              <w:rPr>
                <w:lang w:val="en-US"/>
              </w:rPr>
              <w:t xml:space="preserve">   5</w:t>
            </w:r>
          </w:p>
        </w:tc>
        <w:tc>
          <w:tcPr>
            <w:tcW w:w="1714" w:type="pct"/>
          </w:tcPr>
          <w:p w14:paraId="01704B5D" w14:textId="0A47A9D5" w:rsidR="0018723A" w:rsidRPr="00980FAF" w:rsidRDefault="00C9237A" w:rsidP="00980FAF">
            <w:pPr>
              <w:rPr>
                <w:lang w:val="en-US"/>
              </w:rPr>
            </w:pPr>
            <w:r w:rsidRPr="00980FAF">
              <w:rPr>
                <w:lang w:val="en-US"/>
              </w:rPr>
              <w:t>10 (24.4</w:t>
            </w:r>
            <w:r w:rsidR="0018723A" w:rsidRPr="00980FAF">
              <w:rPr>
                <w:lang w:val="en-US"/>
              </w:rPr>
              <w:t>)</w:t>
            </w:r>
          </w:p>
        </w:tc>
      </w:tr>
      <w:tr w:rsidR="0018723A" w:rsidRPr="00980FAF" w14:paraId="6583786E" w14:textId="77777777" w:rsidTr="0018723A">
        <w:tc>
          <w:tcPr>
            <w:tcW w:w="3286" w:type="pct"/>
          </w:tcPr>
          <w:p w14:paraId="62B15658" w14:textId="77777777" w:rsidR="0018723A" w:rsidRPr="00980FAF" w:rsidRDefault="0018723A" w:rsidP="00980FAF">
            <w:pPr>
              <w:rPr>
                <w:b/>
                <w:lang w:val="en-US"/>
              </w:rPr>
            </w:pPr>
            <w:r w:rsidRPr="00980FAF">
              <w:rPr>
                <w:b/>
                <w:lang w:val="en-US"/>
              </w:rPr>
              <w:t>Total Gleason Score at Biopsy, n (%)</w:t>
            </w:r>
          </w:p>
        </w:tc>
        <w:tc>
          <w:tcPr>
            <w:tcW w:w="1714" w:type="pct"/>
          </w:tcPr>
          <w:p w14:paraId="484A4D47" w14:textId="77777777" w:rsidR="0018723A" w:rsidRPr="00980FAF" w:rsidRDefault="0018723A" w:rsidP="00980FAF">
            <w:pPr>
              <w:rPr>
                <w:lang w:val="en-US"/>
              </w:rPr>
            </w:pPr>
          </w:p>
        </w:tc>
      </w:tr>
      <w:tr w:rsidR="0018723A" w:rsidRPr="00980FAF" w14:paraId="351AA1B5" w14:textId="77777777" w:rsidTr="0018723A">
        <w:tc>
          <w:tcPr>
            <w:tcW w:w="3286" w:type="pct"/>
          </w:tcPr>
          <w:p w14:paraId="7FAFF36B" w14:textId="77777777" w:rsidR="0018723A" w:rsidRPr="00980FAF" w:rsidRDefault="0018723A" w:rsidP="00980FAF">
            <w:pPr>
              <w:rPr>
                <w:lang w:val="en-US"/>
              </w:rPr>
            </w:pPr>
            <w:r w:rsidRPr="00980FAF">
              <w:rPr>
                <w:lang w:val="en-US"/>
              </w:rPr>
              <w:t xml:space="preserve">   6</w:t>
            </w:r>
          </w:p>
        </w:tc>
        <w:tc>
          <w:tcPr>
            <w:tcW w:w="1714" w:type="pct"/>
          </w:tcPr>
          <w:p w14:paraId="1C1A3973" w14:textId="509CB3A7" w:rsidR="0018723A" w:rsidRPr="00980FAF" w:rsidRDefault="00212B9A" w:rsidP="00980FAF">
            <w:pPr>
              <w:rPr>
                <w:lang w:val="en-US"/>
              </w:rPr>
            </w:pPr>
            <w:r w:rsidRPr="00980FAF">
              <w:rPr>
                <w:lang w:val="en-US"/>
              </w:rPr>
              <w:t>15 (36.6</w:t>
            </w:r>
            <w:r w:rsidR="0018723A" w:rsidRPr="00980FAF">
              <w:rPr>
                <w:lang w:val="en-US"/>
              </w:rPr>
              <w:t>)</w:t>
            </w:r>
          </w:p>
        </w:tc>
      </w:tr>
      <w:tr w:rsidR="0018723A" w:rsidRPr="00980FAF" w14:paraId="2D7591FA" w14:textId="77777777" w:rsidTr="0018723A">
        <w:tc>
          <w:tcPr>
            <w:tcW w:w="3286" w:type="pct"/>
          </w:tcPr>
          <w:p w14:paraId="59BA67AE" w14:textId="77777777" w:rsidR="0018723A" w:rsidRPr="00980FAF" w:rsidRDefault="0018723A" w:rsidP="00980FAF">
            <w:pPr>
              <w:rPr>
                <w:lang w:val="en-US"/>
              </w:rPr>
            </w:pPr>
            <w:r w:rsidRPr="00980FAF">
              <w:rPr>
                <w:lang w:val="en-US"/>
              </w:rPr>
              <w:t xml:space="preserve">   7</w:t>
            </w:r>
          </w:p>
        </w:tc>
        <w:tc>
          <w:tcPr>
            <w:tcW w:w="1714" w:type="pct"/>
          </w:tcPr>
          <w:p w14:paraId="5F2870A0" w14:textId="4C900E04" w:rsidR="0018723A" w:rsidRPr="00980FAF" w:rsidRDefault="00212B9A" w:rsidP="00980FAF">
            <w:pPr>
              <w:rPr>
                <w:lang w:val="en-US"/>
              </w:rPr>
            </w:pPr>
            <w:r w:rsidRPr="00980FAF">
              <w:rPr>
                <w:lang w:val="en-US"/>
              </w:rPr>
              <w:t>13 (31.7</w:t>
            </w:r>
            <w:r w:rsidR="0018723A" w:rsidRPr="00980FAF">
              <w:rPr>
                <w:lang w:val="en-US"/>
              </w:rPr>
              <w:t>)</w:t>
            </w:r>
          </w:p>
        </w:tc>
      </w:tr>
      <w:tr w:rsidR="0018723A" w:rsidRPr="00980FAF" w14:paraId="49E55D57" w14:textId="77777777" w:rsidTr="0018723A">
        <w:tc>
          <w:tcPr>
            <w:tcW w:w="3286" w:type="pct"/>
          </w:tcPr>
          <w:p w14:paraId="126DF439" w14:textId="77777777" w:rsidR="0018723A" w:rsidRPr="00980FAF" w:rsidRDefault="0018723A" w:rsidP="00980FAF">
            <w:pPr>
              <w:rPr>
                <w:lang w:val="en-US"/>
              </w:rPr>
            </w:pPr>
            <w:r w:rsidRPr="00980FAF">
              <w:rPr>
                <w:lang w:val="en-US"/>
              </w:rPr>
              <w:t xml:space="preserve">   ≥8</w:t>
            </w:r>
          </w:p>
        </w:tc>
        <w:tc>
          <w:tcPr>
            <w:tcW w:w="1714" w:type="pct"/>
          </w:tcPr>
          <w:p w14:paraId="1F3EDE5D" w14:textId="58556A38" w:rsidR="0018723A" w:rsidRPr="00980FAF" w:rsidRDefault="00212B9A" w:rsidP="00980FAF">
            <w:pPr>
              <w:rPr>
                <w:lang w:val="en-US"/>
              </w:rPr>
            </w:pPr>
            <w:r w:rsidRPr="00980FAF">
              <w:rPr>
                <w:lang w:val="en-US"/>
              </w:rPr>
              <w:t>13 (31.7</w:t>
            </w:r>
            <w:r w:rsidR="0018723A" w:rsidRPr="00980FAF">
              <w:rPr>
                <w:lang w:val="en-US"/>
              </w:rPr>
              <w:t>)</w:t>
            </w:r>
          </w:p>
        </w:tc>
      </w:tr>
      <w:tr w:rsidR="0018723A" w:rsidRPr="00980FAF" w14:paraId="6300F853" w14:textId="77777777" w:rsidTr="0018723A">
        <w:tc>
          <w:tcPr>
            <w:tcW w:w="3286" w:type="pct"/>
          </w:tcPr>
          <w:p w14:paraId="7F3ABE59" w14:textId="77777777" w:rsidR="0018723A" w:rsidRPr="00980FAF" w:rsidRDefault="0018723A" w:rsidP="00980FAF">
            <w:pPr>
              <w:rPr>
                <w:b/>
                <w:lang w:val="en-US"/>
              </w:rPr>
            </w:pPr>
            <w:r w:rsidRPr="00980FAF">
              <w:rPr>
                <w:b/>
                <w:lang w:val="en-US"/>
              </w:rPr>
              <w:t>Number of positive cores, median (IQR)</w:t>
            </w:r>
          </w:p>
        </w:tc>
        <w:tc>
          <w:tcPr>
            <w:tcW w:w="1714" w:type="pct"/>
          </w:tcPr>
          <w:p w14:paraId="0BA5642E" w14:textId="2ED3C64E" w:rsidR="0018723A" w:rsidRPr="00980FAF" w:rsidRDefault="005532DB" w:rsidP="00980FAF">
            <w:pPr>
              <w:rPr>
                <w:lang w:val="en-US"/>
              </w:rPr>
            </w:pPr>
            <w:r w:rsidRPr="00980FAF">
              <w:rPr>
                <w:lang w:val="en-US"/>
              </w:rPr>
              <w:t>6.00 (3-12.5</w:t>
            </w:r>
            <w:r w:rsidR="0018723A" w:rsidRPr="00980FAF">
              <w:rPr>
                <w:lang w:val="en-US"/>
              </w:rPr>
              <w:t>)</w:t>
            </w:r>
          </w:p>
        </w:tc>
      </w:tr>
      <w:tr w:rsidR="0018723A" w:rsidRPr="00980FAF" w14:paraId="7F921962" w14:textId="77777777" w:rsidTr="0018723A">
        <w:tc>
          <w:tcPr>
            <w:tcW w:w="3286" w:type="pct"/>
          </w:tcPr>
          <w:p w14:paraId="37436A29" w14:textId="77777777" w:rsidR="0018723A" w:rsidRPr="00980FAF" w:rsidRDefault="0018723A" w:rsidP="00980FAF">
            <w:pPr>
              <w:rPr>
                <w:b/>
                <w:lang w:val="en-US"/>
              </w:rPr>
            </w:pPr>
            <w:r w:rsidRPr="00980FAF">
              <w:rPr>
                <w:b/>
                <w:lang w:val="en-US"/>
              </w:rPr>
              <w:t>Number of negative cores, median (IQR)</w:t>
            </w:r>
          </w:p>
        </w:tc>
        <w:tc>
          <w:tcPr>
            <w:tcW w:w="1714" w:type="pct"/>
          </w:tcPr>
          <w:p w14:paraId="304C70DA" w14:textId="465BDB0F" w:rsidR="0018723A" w:rsidRPr="00980FAF" w:rsidRDefault="005532DB" w:rsidP="00980FAF">
            <w:pPr>
              <w:rPr>
                <w:lang w:val="en-US"/>
              </w:rPr>
            </w:pPr>
            <w:r w:rsidRPr="00980FAF">
              <w:rPr>
                <w:lang w:val="en-US"/>
              </w:rPr>
              <w:t>5.50 (3.25-7.75</w:t>
            </w:r>
            <w:r w:rsidR="0018723A" w:rsidRPr="00980FAF">
              <w:rPr>
                <w:lang w:val="en-US"/>
              </w:rPr>
              <w:t>)</w:t>
            </w:r>
          </w:p>
        </w:tc>
      </w:tr>
      <w:tr w:rsidR="0018723A" w:rsidRPr="00980FAF" w14:paraId="6EE591D3" w14:textId="77777777" w:rsidTr="0018723A">
        <w:tc>
          <w:tcPr>
            <w:tcW w:w="3286" w:type="pct"/>
          </w:tcPr>
          <w:p w14:paraId="22E4BBAA" w14:textId="77777777" w:rsidR="0018723A" w:rsidRPr="00980FAF" w:rsidRDefault="0018723A" w:rsidP="00980FAF">
            <w:pPr>
              <w:rPr>
                <w:b/>
                <w:lang w:val="en-US"/>
              </w:rPr>
            </w:pPr>
            <w:r w:rsidRPr="00980FAF">
              <w:rPr>
                <w:b/>
                <w:lang w:val="en-US"/>
              </w:rPr>
              <w:t>Clinical T staging in PSMA-PET/MRI, n (%)</w:t>
            </w:r>
          </w:p>
        </w:tc>
        <w:tc>
          <w:tcPr>
            <w:tcW w:w="1714" w:type="pct"/>
          </w:tcPr>
          <w:p w14:paraId="3C00345C" w14:textId="77777777" w:rsidR="0018723A" w:rsidRPr="00980FAF" w:rsidRDefault="0018723A" w:rsidP="00980FAF">
            <w:pPr>
              <w:rPr>
                <w:lang w:val="en-US"/>
              </w:rPr>
            </w:pPr>
          </w:p>
        </w:tc>
      </w:tr>
      <w:tr w:rsidR="00C715EB" w:rsidRPr="00980FAF" w14:paraId="0B590DE8" w14:textId="77777777" w:rsidTr="0018723A">
        <w:tc>
          <w:tcPr>
            <w:tcW w:w="3286" w:type="pct"/>
          </w:tcPr>
          <w:p w14:paraId="3C020A1C" w14:textId="72772C69" w:rsidR="00C715EB" w:rsidRPr="00980FAF" w:rsidRDefault="00C715EB" w:rsidP="00980FAF">
            <w:pPr>
              <w:rPr>
                <w:lang w:val="en-US"/>
              </w:rPr>
            </w:pPr>
            <w:r w:rsidRPr="00980FAF">
              <w:rPr>
                <w:b/>
                <w:lang w:val="en-US"/>
              </w:rPr>
              <w:t xml:space="preserve">  </w:t>
            </w:r>
            <w:r w:rsidRPr="00980FAF">
              <w:rPr>
                <w:lang w:val="en-US"/>
              </w:rPr>
              <w:t xml:space="preserve"> 0</w:t>
            </w:r>
          </w:p>
        </w:tc>
        <w:tc>
          <w:tcPr>
            <w:tcW w:w="1714" w:type="pct"/>
          </w:tcPr>
          <w:p w14:paraId="354AA2EC" w14:textId="60EF9BA6" w:rsidR="00C715EB" w:rsidRPr="00980FAF" w:rsidRDefault="00C715EB" w:rsidP="00980FAF">
            <w:pPr>
              <w:rPr>
                <w:lang w:val="en-US"/>
              </w:rPr>
            </w:pPr>
            <w:r w:rsidRPr="00980FAF">
              <w:rPr>
                <w:lang w:val="en-US"/>
              </w:rPr>
              <w:t>3 (7.3)</w:t>
            </w:r>
          </w:p>
        </w:tc>
      </w:tr>
      <w:tr w:rsidR="0018723A" w:rsidRPr="00980FAF" w14:paraId="43994472" w14:textId="77777777" w:rsidTr="0018723A">
        <w:tc>
          <w:tcPr>
            <w:tcW w:w="3286" w:type="pct"/>
          </w:tcPr>
          <w:p w14:paraId="781834C6" w14:textId="77777777" w:rsidR="0018723A" w:rsidRPr="00980FAF" w:rsidRDefault="0018723A" w:rsidP="00980FAF">
            <w:pPr>
              <w:rPr>
                <w:lang w:val="en-US"/>
              </w:rPr>
            </w:pPr>
            <w:r w:rsidRPr="00980FAF">
              <w:rPr>
                <w:lang w:val="en-US"/>
              </w:rPr>
              <w:t xml:space="preserve">   2</w:t>
            </w:r>
          </w:p>
        </w:tc>
        <w:tc>
          <w:tcPr>
            <w:tcW w:w="1714" w:type="pct"/>
          </w:tcPr>
          <w:p w14:paraId="53AD8A23" w14:textId="5C336808" w:rsidR="0018723A" w:rsidRPr="00980FAF" w:rsidRDefault="00C715EB" w:rsidP="00980FAF">
            <w:pPr>
              <w:rPr>
                <w:lang w:val="en-US"/>
              </w:rPr>
            </w:pPr>
            <w:r w:rsidRPr="00980FAF">
              <w:rPr>
                <w:lang w:val="en-US"/>
              </w:rPr>
              <w:t>17 (41.5</w:t>
            </w:r>
            <w:r w:rsidR="0018723A" w:rsidRPr="00980FAF">
              <w:rPr>
                <w:lang w:val="en-US"/>
              </w:rPr>
              <w:t>)</w:t>
            </w:r>
          </w:p>
        </w:tc>
      </w:tr>
      <w:tr w:rsidR="0018723A" w:rsidRPr="00980FAF" w14:paraId="7C4DAB23" w14:textId="77777777" w:rsidTr="0018723A">
        <w:tc>
          <w:tcPr>
            <w:tcW w:w="3286" w:type="pct"/>
          </w:tcPr>
          <w:p w14:paraId="69E39A2F" w14:textId="77777777" w:rsidR="0018723A" w:rsidRPr="00980FAF" w:rsidRDefault="0018723A" w:rsidP="00980FAF">
            <w:pPr>
              <w:rPr>
                <w:lang w:val="en-US"/>
              </w:rPr>
            </w:pPr>
            <w:r w:rsidRPr="00980FAF">
              <w:rPr>
                <w:lang w:val="en-US"/>
              </w:rPr>
              <w:t xml:space="preserve">   3a</w:t>
            </w:r>
          </w:p>
        </w:tc>
        <w:tc>
          <w:tcPr>
            <w:tcW w:w="1714" w:type="pct"/>
          </w:tcPr>
          <w:p w14:paraId="5B9EF5EF" w14:textId="134DFFE8" w:rsidR="0018723A" w:rsidRPr="00980FAF" w:rsidRDefault="00C715EB" w:rsidP="00980FAF">
            <w:pPr>
              <w:rPr>
                <w:lang w:val="en-US"/>
              </w:rPr>
            </w:pPr>
            <w:r w:rsidRPr="00980FAF">
              <w:rPr>
                <w:lang w:val="en-US"/>
              </w:rPr>
              <w:t>2 (4.9</w:t>
            </w:r>
            <w:r w:rsidR="0018723A" w:rsidRPr="00980FAF">
              <w:rPr>
                <w:lang w:val="en-US"/>
              </w:rPr>
              <w:t>)</w:t>
            </w:r>
          </w:p>
        </w:tc>
      </w:tr>
      <w:tr w:rsidR="0018723A" w:rsidRPr="00980FAF" w14:paraId="4FD9145F" w14:textId="77777777" w:rsidTr="0018723A">
        <w:tc>
          <w:tcPr>
            <w:tcW w:w="3286" w:type="pct"/>
          </w:tcPr>
          <w:p w14:paraId="4AAB4B56" w14:textId="77777777" w:rsidR="0018723A" w:rsidRPr="00980FAF" w:rsidRDefault="0018723A" w:rsidP="00980FAF">
            <w:pPr>
              <w:rPr>
                <w:lang w:val="en-US"/>
              </w:rPr>
            </w:pPr>
            <w:r w:rsidRPr="00980FAF">
              <w:rPr>
                <w:lang w:val="en-US"/>
              </w:rPr>
              <w:t xml:space="preserve">   3b</w:t>
            </w:r>
          </w:p>
        </w:tc>
        <w:tc>
          <w:tcPr>
            <w:tcW w:w="1714" w:type="pct"/>
          </w:tcPr>
          <w:p w14:paraId="2875F231" w14:textId="18AB72DF" w:rsidR="0018723A" w:rsidRPr="00980FAF" w:rsidRDefault="00C715EB" w:rsidP="00980FAF">
            <w:pPr>
              <w:rPr>
                <w:lang w:val="en-US"/>
              </w:rPr>
            </w:pPr>
            <w:r w:rsidRPr="00980FAF">
              <w:rPr>
                <w:lang w:val="en-US"/>
              </w:rPr>
              <w:t>9 (21.9</w:t>
            </w:r>
            <w:r w:rsidR="0018723A" w:rsidRPr="00980FAF">
              <w:rPr>
                <w:lang w:val="en-US"/>
              </w:rPr>
              <w:t>)</w:t>
            </w:r>
          </w:p>
        </w:tc>
      </w:tr>
      <w:tr w:rsidR="00C715EB" w:rsidRPr="00980FAF" w14:paraId="53F7C820" w14:textId="77777777" w:rsidTr="0018723A">
        <w:tc>
          <w:tcPr>
            <w:tcW w:w="3286" w:type="pct"/>
          </w:tcPr>
          <w:p w14:paraId="7EB81C34" w14:textId="63C54BF7" w:rsidR="00C715EB" w:rsidRPr="00980FAF" w:rsidRDefault="00C715EB" w:rsidP="00980FAF">
            <w:pPr>
              <w:rPr>
                <w:lang w:val="en-US"/>
              </w:rPr>
            </w:pPr>
            <w:r w:rsidRPr="00980FAF">
              <w:rPr>
                <w:lang w:val="en-US"/>
              </w:rPr>
              <w:t xml:space="preserve">   4</w:t>
            </w:r>
          </w:p>
        </w:tc>
        <w:tc>
          <w:tcPr>
            <w:tcW w:w="1714" w:type="pct"/>
          </w:tcPr>
          <w:p w14:paraId="781EE302" w14:textId="2300227E" w:rsidR="00C715EB" w:rsidRPr="00980FAF" w:rsidRDefault="00C715EB" w:rsidP="00980FAF">
            <w:pPr>
              <w:rPr>
                <w:lang w:val="en-US"/>
              </w:rPr>
            </w:pPr>
            <w:r w:rsidRPr="00980FAF">
              <w:rPr>
                <w:lang w:val="en-US"/>
              </w:rPr>
              <w:t>10 (24.4)</w:t>
            </w:r>
          </w:p>
        </w:tc>
      </w:tr>
      <w:tr w:rsidR="0018723A" w:rsidRPr="00980FAF" w14:paraId="3B448223" w14:textId="77777777" w:rsidTr="0018723A">
        <w:tc>
          <w:tcPr>
            <w:tcW w:w="3286" w:type="pct"/>
          </w:tcPr>
          <w:p w14:paraId="55EF60CB" w14:textId="64D4C446" w:rsidR="0018723A" w:rsidRPr="00980FAF" w:rsidRDefault="0018723A" w:rsidP="00980FAF">
            <w:pPr>
              <w:rPr>
                <w:lang w:val="en-US"/>
              </w:rPr>
            </w:pPr>
            <w:r w:rsidRPr="00980FAF">
              <w:rPr>
                <w:b/>
                <w:lang w:val="en-US"/>
              </w:rPr>
              <w:t xml:space="preserve">Positive </w:t>
            </w:r>
            <w:r w:rsidR="00F60DF4" w:rsidRPr="00980FAF">
              <w:rPr>
                <w:b/>
                <w:lang w:val="en-US"/>
              </w:rPr>
              <w:t xml:space="preserve">pelvic </w:t>
            </w:r>
            <w:r w:rsidRPr="00980FAF">
              <w:rPr>
                <w:b/>
                <w:lang w:val="en-US"/>
              </w:rPr>
              <w:t>lymph nodes in PSMA-PET/MRI, n (%)</w:t>
            </w:r>
          </w:p>
        </w:tc>
        <w:tc>
          <w:tcPr>
            <w:tcW w:w="1714" w:type="pct"/>
          </w:tcPr>
          <w:p w14:paraId="5B61353E" w14:textId="1B2B3D20" w:rsidR="0018723A" w:rsidRPr="00980FAF" w:rsidRDefault="003B594D" w:rsidP="00980FAF">
            <w:pPr>
              <w:rPr>
                <w:lang w:val="en-US"/>
              </w:rPr>
            </w:pPr>
            <w:r w:rsidRPr="00980FAF">
              <w:rPr>
                <w:lang w:val="en-US"/>
              </w:rPr>
              <w:t>15</w:t>
            </w:r>
            <w:r w:rsidR="00F60DF4" w:rsidRPr="00980FAF">
              <w:rPr>
                <w:lang w:val="en-US"/>
              </w:rPr>
              <w:t xml:space="preserve"> (36.6</w:t>
            </w:r>
            <w:r w:rsidR="0018723A" w:rsidRPr="00980FAF">
              <w:rPr>
                <w:lang w:val="en-US"/>
              </w:rPr>
              <w:t>)</w:t>
            </w:r>
          </w:p>
        </w:tc>
      </w:tr>
      <w:tr w:rsidR="0018723A" w:rsidRPr="00980FAF" w14:paraId="47D32C47" w14:textId="77777777" w:rsidTr="0018723A">
        <w:tc>
          <w:tcPr>
            <w:tcW w:w="3286" w:type="pct"/>
          </w:tcPr>
          <w:p w14:paraId="4E4140CC" w14:textId="65B9422D" w:rsidR="0018723A" w:rsidRPr="00980FAF" w:rsidRDefault="00F60DF4" w:rsidP="00980FAF">
            <w:pPr>
              <w:rPr>
                <w:b/>
                <w:lang w:val="en-US"/>
              </w:rPr>
            </w:pPr>
            <w:r w:rsidRPr="00980FAF">
              <w:rPr>
                <w:b/>
                <w:lang w:val="en-US"/>
              </w:rPr>
              <w:t>Distant metastases</w:t>
            </w:r>
            <w:r w:rsidR="0018723A" w:rsidRPr="00980FAF">
              <w:rPr>
                <w:b/>
                <w:lang w:val="en-US"/>
              </w:rPr>
              <w:t xml:space="preserve"> in PSMA-PET/MRI, n (%)</w:t>
            </w:r>
          </w:p>
        </w:tc>
        <w:tc>
          <w:tcPr>
            <w:tcW w:w="1714" w:type="pct"/>
          </w:tcPr>
          <w:p w14:paraId="385FA1E9" w14:textId="0F2CA05A" w:rsidR="0018723A" w:rsidRPr="00980FAF" w:rsidRDefault="00F60DF4" w:rsidP="00980FAF">
            <w:pPr>
              <w:rPr>
                <w:lang w:val="en-US"/>
              </w:rPr>
            </w:pPr>
            <w:r w:rsidRPr="00980FAF">
              <w:rPr>
                <w:lang w:val="en-US"/>
              </w:rPr>
              <w:t>14 (34.1)</w:t>
            </w:r>
          </w:p>
        </w:tc>
      </w:tr>
      <w:tr w:rsidR="0018723A" w:rsidRPr="00980FAF" w14:paraId="20A64047" w14:textId="77777777" w:rsidTr="0018723A">
        <w:tc>
          <w:tcPr>
            <w:tcW w:w="5000" w:type="pct"/>
            <w:gridSpan w:val="2"/>
          </w:tcPr>
          <w:p w14:paraId="24C1249C" w14:textId="77777777" w:rsidR="0018723A" w:rsidRPr="00980FAF" w:rsidRDefault="0018723A" w:rsidP="00980FAF">
            <w:pPr>
              <w:rPr>
                <w:lang w:val="en-US"/>
              </w:rPr>
            </w:pPr>
            <w:r w:rsidRPr="00980FAF">
              <w:rPr>
                <w:rFonts w:ascii="Calibri" w:hAnsi="Calibri"/>
                <w:lang w:val="en-US"/>
              </w:rPr>
              <w:t>IQR = Interquartile range, PSA = prostate specific antigen, PSMA = [</w:t>
            </w:r>
            <w:r w:rsidRPr="00980FAF">
              <w:rPr>
                <w:rFonts w:ascii="Calibri" w:hAnsi="Calibri"/>
                <w:vertAlign w:val="superscript"/>
                <w:lang w:val="en-US"/>
              </w:rPr>
              <w:t>68</w:t>
            </w:r>
            <w:r w:rsidRPr="00980FAF">
              <w:rPr>
                <w:rFonts w:ascii="Calibri" w:hAnsi="Calibri"/>
                <w:lang w:val="en-US"/>
              </w:rPr>
              <w:t>Ga]Ga-PSMA</w:t>
            </w:r>
            <w:r w:rsidRPr="00980FAF">
              <w:rPr>
                <w:rFonts w:ascii="Calibri" w:hAnsi="Calibri"/>
                <w:vertAlign w:val="superscript"/>
                <w:lang w:val="en-US"/>
              </w:rPr>
              <w:t>HBED-CC</w:t>
            </w:r>
            <w:r w:rsidRPr="00980FAF">
              <w:rPr>
                <w:rFonts w:ascii="Calibri" w:hAnsi="Calibri"/>
                <w:lang w:val="en-US"/>
              </w:rPr>
              <w:t xml:space="preserve"> conjugate 11 ligand, PET = positron emission tomography, MRI = magnetic resonance imaging</w:t>
            </w:r>
          </w:p>
        </w:tc>
      </w:tr>
    </w:tbl>
    <w:p w14:paraId="2EB6CB96" w14:textId="77777777" w:rsidR="001A213C" w:rsidRPr="00980FAF" w:rsidRDefault="001A213C" w:rsidP="00980FAF">
      <w:pPr>
        <w:spacing w:line="480" w:lineRule="auto"/>
        <w:jc w:val="both"/>
        <w:rPr>
          <w:rFonts w:ascii="Calibri" w:hAnsi="Calibri"/>
        </w:rPr>
      </w:pPr>
    </w:p>
    <w:p w14:paraId="35AD003A" w14:textId="77777777" w:rsidR="001A213C" w:rsidRPr="00980FAF" w:rsidRDefault="001A213C" w:rsidP="00980FAF">
      <w:pPr>
        <w:spacing w:line="480" w:lineRule="auto"/>
        <w:jc w:val="both"/>
        <w:rPr>
          <w:rFonts w:ascii="Calibri" w:hAnsi="Calibri"/>
        </w:rPr>
      </w:pPr>
    </w:p>
    <w:p w14:paraId="48EE7687" w14:textId="77777777" w:rsidR="001A213C" w:rsidRPr="00980FAF" w:rsidRDefault="001A213C" w:rsidP="00980FAF">
      <w:pPr>
        <w:spacing w:line="480" w:lineRule="auto"/>
        <w:jc w:val="both"/>
        <w:rPr>
          <w:rFonts w:ascii="Calibri" w:hAnsi="Calibri"/>
        </w:rPr>
      </w:pPr>
    </w:p>
    <w:p w14:paraId="7F46017D" w14:textId="77777777" w:rsidR="001A213C" w:rsidRPr="00980FAF" w:rsidRDefault="001A213C" w:rsidP="00980FAF">
      <w:pPr>
        <w:spacing w:line="480" w:lineRule="auto"/>
        <w:jc w:val="both"/>
        <w:rPr>
          <w:rFonts w:ascii="Calibri" w:hAnsi="Calibri"/>
        </w:rPr>
      </w:pPr>
    </w:p>
    <w:p w14:paraId="3BB4208E" w14:textId="77777777" w:rsidR="001A213C" w:rsidRPr="00980FAF" w:rsidRDefault="001A213C" w:rsidP="00980FAF">
      <w:pPr>
        <w:spacing w:line="480" w:lineRule="auto"/>
        <w:jc w:val="both"/>
        <w:rPr>
          <w:rFonts w:ascii="Calibri" w:hAnsi="Calibri"/>
        </w:rPr>
      </w:pPr>
    </w:p>
    <w:p w14:paraId="0851C314" w14:textId="77777777" w:rsidR="001A213C" w:rsidRPr="00980FAF" w:rsidRDefault="001A213C" w:rsidP="00980FAF">
      <w:pPr>
        <w:spacing w:line="480" w:lineRule="auto"/>
        <w:jc w:val="both"/>
        <w:rPr>
          <w:rFonts w:ascii="Calibri" w:hAnsi="Calibri"/>
        </w:rPr>
      </w:pPr>
    </w:p>
    <w:p w14:paraId="3CED10E9" w14:textId="77777777" w:rsidR="004C4316" w:rsidRPr="00980FAF" w:rsidRDefault="004C4316" w:rsidP="00980FAF">
      <w:pPr>
        <w:spacing w:line="480" w:lineRule="auto"/>
        <w:jc w:val="both"/>
        <w:rPr>
          <w:rFonts w:ascii="Calibri" w:hAnsi="Calibri"/>
          <w:lang w:val="en-US"/>
        </w:rPr>
      </w:pPr>
      <w:r w:rsidRPr="00980FAF">
        <w:rPr>
          <w:rFonts w:ascii="Calibri" w:hAnsi="Calibri"/>
          <w:b/>
          <w:bCs/>
          <w:lang w:val="en-US"/>
        </w:rPr>
        <w:lastRenderedPageBreak/>
        <w:t>Supplemental Figure 1:</w:t>
      </w:r>
    </w:p>
    <w:p w14:paraId="6DAE9767" w14:textId="75BA65BF" w:rsidR="004C4316" w:rsidRPr="00980FAF" w:rsidRDefault="004C4316" w:rsidP="00980FAF">
      <w:pPr>
        <w:spacing w:line="480" w:lineRule="auto"/>
        <w:jc w:val="both"/>
        <w:rPr>
          <w:rFonts w:ascii="Calibri" w:hAnsi="Calibri"/>
          <w:lang w:val="en-US"/>
        </w:rPr>
      </w:pPr>
      <w:r w:rsidRPr="00980FAF">
        <w:rPr>
          <w:rFonts w:ascii="Calibri" w:hAnsi="Calibri"/>
          <w:vertAlign w:val="superscript"/>
          <w:lang w:val="en-US"/>
        </w:rPr>
        <w:t>68</w:t>
      </w:r>
      <w:r w:rsidRPr="00980FAF">
        <w:rPr>
          <w:rFonts w:ascii="Calibri" w:hAnsi="Calibri"/>
          <w:lang w:val="en-US"/>
        </w:rPr>
        <w:t xml:space="preserve">Ga-PSMA 11 </w:t>
      </w:r>
      <w:proofErr w:type="spellStart"/>
      <w:r w:rsidRPr="00980FAF">
        <w:rPr>
          <w:rFonts w:ascii="Calibri" w:hAnsi="Calibri"/>
          <w:lang w:val="en-US"/>
        </w:rPr>
        <w:t>SUVmax</w:t>
      </w:r>
      <w:proofErr w:type="spellEnd"/>
      <w:r w:rsidRPr="00980FAF">
        <w:rPr>
          <w:rFonts w:ascii="Calibri" w:hAnsi="Calibri"/>
          <w:lang w:val="en-US"/>
        </w:rPr>
        <w:t xml:space="preserve"> taken out of the main tumor region in 80 patients after radical prostatectomy demonstrating significantly higher </w:t>
      </w:r>
      <w:proofErr w:type="spellStart"/>
      <w:r w:rsidRPr="00980FAF">
        <w:rPr>
          <w:rFonts w:ascii="Calibri" w:hAnsi="Calibri"/>
          <w:lang w:val="en-US"/>
        </w:rPr>
        <w:t>SUVmax</w:t>
      </w:r>
      <w:proofErr w:type="spellEnd"/>
      <w:r w:rsidRPr="00980FAF">
        <w:rPr>
          <w:rFonts w:ascii="Calibri" w:hAnsi="Calibri"/>
          <w:lang w:val="en-US"/>
        </w:rPr>
        <w:t xml:space="preserve"> in high risk patients (as classified after radical prostatectomy according to the </w:t>
      </w:r>
      <w:proofErr w:type="spellStart"/>
      <w:r w:rsidRPr="00980FAF">
        <w:rPr>
          <w:rFonts w:ascii="Calibri" w:hAnsi="Calibri"/>
          <w:lang w:val="en-US"/>
        </w:rPr>
        <w:t>d‘Amico</w:t>
      </w:r>
      <w:proofErr w:type="spellEnd"/>
      <w:r w:rsidRPr="00980FAF">
        <w:rPr>
          <w:rFonts w:ascii="Calibri" w:hAnsi="Calibri"/>
          <w:lang w:val="en-US"/>
        </w:rPr>
        <w:t xml:space="preserve"> criteria).</w:t>
      </w:r>
    </w:p>
    <w:p w14:paraId="102EFD5C" w14:textId="194B5D37" w:rsidR="004C4316" w:rsidRPr="00980FAF" w:rsidRDefault="004C4316" w:rsidP="00980FAF">
      <w:pPr>
        <w:spacing w:line="480" w:lineRule="auto"/>
        <w:jc w:val="both"/>
        <w:rPr>
          <w:rFonts w:ascii="Calibri" w:hAnsi="Calibri"/>
          <w:lang w:val="en-US"/>
        </w:rPr>
      </w:pPr>
      <w:r w:rsidRPr="00980FAF">
        <w:rPr>
          <w:rFonts w:ascii="Calibri" w:hAnsi="Calibri"/>
          <w:noProof/>
          <w:lang w:val="de-DE" w:eastAsia="de-DE"/>
        </w:rPr>
        <w:drawing>
          <wp:inline distT="0" distB="0" distL="0" distR="0" wp14:anchorId="1D6E687A" wp14:editId="0835F6D7">
            <wp:extent cx="5474970" cy="40297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4970" cy="4029710"/>
                    </a:xfrm>
                    <a:prstGeom prst="rect">
                      <a:avLst/>
                    </a:prstGeom>
                    <a:noFill/>
                  </pic:spPr>
                </pic:pic>
              </a:graphicData>
            </a:graphic>
          </wp:inline>
        </w:drawing>
      </w:r>
    </w:p>
    <w:p w14:paraId="2BC9E73D" w14:textId="77777777" w:rsidR="004C4316" w:rsidRPr="00980FAF" w:rsidRDefault="004C4316" w:rsidP="00980FAF">
      <w:pPr>
        <w:spacing w:line="480" w:lineRule="auto"/>
        <w:jc w:val="both"/>
        <w:rPr>
          <w:rFonts w:ascii="Calibri" w:hAnsi="Calibri"/>
          <w:lang w:val="en-US"/>
        </w:rPr>
      </w:pPr>
    </w:p>
    <w:p w14:paraId="00AD1DC0" w14:textId="77777777" w:rsidR="004C4316" w:rsidRPr="00980FAF" w:rsidRDefault="004C4316" w:rsidP="00980FAF">
      <w:pPr>
        <w:spacing w:line="480" w:lineRule="auto"/>
        <w:jc w:val="both"/>
        <w:rPr>
          <w:rFonts w:ascii="Calibri" w:hAnsi="Calibri"/>
          <w:lang w:val="en-US"/>
        </w:rPr>
      </w:pPr>
    </w:p>
    <w:p w14:paraId="0C5AF917" w14:textId="77777777" w:rsidR="004C4316" w:rsidRPr="00980FAF" w:rsidRDefault="004C4316" w:rsidP="00980FAF">
      <w:pPr>
        <w:spacing w:line="480" w:lineRule="auto"/>
        <w:jc w:val="both"/>
        <w:rPr>
          <w:rFonts w:ascii="Calibri" w:hAnsi="Calibri"/>
          <w:lang w:val="en-US"/>
        </w:rPr>
      </w:pPr>
    </w:p>
    <w:p w14:paraId="19128C86" w14:textId="77777777" w:rsidR="004C4316" w:rsidRPr="00980FAF" w:rsidRDefault="004C4316" w:rsidP="00980FAF">
      <w:pPr>
        <w:spacing w:line="480" w:lineRule="auto"/>
        <w:jc w:val="both"/>
        <w:rPr>
          <w:rFonts w:ascii="Calibri" w:hAnsi="Calibri"/>
          <w:lang w:val="en-US"/>
        </w:rPr>
      </w:pPr>
    </w:p>
    <w:p w14:paraId="77A5B340" w14:textId="77777777" w:rsidR="004C4316" w:rsidRPr="00980FAF" w:rsidRDefault="004C4316" w:rsidP="00980FAF">
      <w:pPr>
        <w:spacing w:line="480" w:lineRule="auto"/>
        <w:jc w:val="both"/>
        <w:rPr>
          <w:rFonts w:ascii="Calibri" w:hAnsi="Calibri"/>
          <w:lang w:val="en-US"/>
        </w:rPr>
      </w:pPr>
    </w:p>
    <w:p w14:paraId="2ADA9A25" w14:textId="77777777" w:rsidR="004C4316" w:rsidRPr="00980FAF" w:rsidRDefault="004C4316" w:rsidP="00980FAF">
      <w:pPr>
        <w:spacing w:line="480" w:lineRule="auto"/>
        <w:jc w:val="both"/>
        <w:rPr>
          <w:rFonts w:ascii="Calibri" w:hAnsi="Calibri"/>
          <w:lang w:val="en-US"/>
        </w:rPr>
      </w:pPr>
    </w:p>
    <w:p w14:paraId="1F58514A" w14:textId="77777777" w:rsidR="004C4316" w:rsidRPr="00980FAF" w:rsidRDefault="004C4316" w:rsidP="00980FAF">
      <w:pPr>
        <w:spacing w:line="480" w:lineRule="auto"/>
        <w:jc w:val="both"/>
        <w:rPr>
          <w:rFonts w:ascii="Calibri" w:hAnsi="Calibri"/>
          <w:lang w:val="en-US"/>
        </w:rPr>
      </w:pPr>
    </w:p>
    <w:p w14:paraId="1A33412D" w14:textId="77777777" w:rsidR="004C4316" w:rsidRPr="00980FAF" w:rsidRDefault="004C4316" w:rsidP="00980FAF">
      <w:pPr>
        <w:spacing w:line="480" w:lineRule="auto"/>
        <w:jc w:val="both"/>
        <w:rPr>
          <w:rFonts w:ascii="Calibri" w:hAnsi="Calibri"/>
          <w:lang w:val="en-US"/>
        </w:rPr>
      </w:pPr>
    </w:p>
    <w:p w14:paraId="266D6BF1" w14:textId="77777777" w:rsidR="004C4316" w:rsidRPr="00980FAF" w:rsidRDefault="004C4316" w:rsidP="00980FAF">
      <w:pPr>
        <w:spacing w:line="480" w:lineRule="auto"/>
        <w:jc w:val="both"/>
        <w:rPr>
          <w:rFonts w:ascii="Calibri" w:hAnsi="Calibri"/>
          <w:lang w:val="en-US"/>
        </w:rPr>
      </w:pPr>
      <w:r w:rsidRPr="00980FAF">
        <w:rPr>
          <w:rFonts w:ascii="Calibri" w:hAnsi="Calibri"/>
          <w:b/>
          <w:bCs/>
          <w:lang w:val="en-US"/>
        </w:rPr>
        <w:lastRenderedPageBreak/>
        <w:t>Supplemental Figure 2:</w:t>
      </w:r>
    </w:p>
    <w:p w14:paraId="4ED2BCD7" w14:textId="77777777" w:rsidR="004C4316" w:rsidRPr="00980FAF" w:rsidRDefault="004C4316" w:rsidP="00980FAF">
      <w:pPr>
        <w:spacing w:line="480" w:lineRule="auto"/>
        <w:jc w:val="both"/>
        <w:rPr>
          <w:rFonts w:ascii="Calibri" w:hAnsi="Calibri"/>
          <w:lang w:val="en-US"/>
        </w:rPr>
      </w:pPr>
      <w:proofErr w:type="spellStart"/>
      <w:r w:rsidRPr="00980FAF">
        <w:rPr>
          <w:rFonts w:ascii="Calibri" w:hAnsi="Calibri"/>
          <w:lang w:val="en-US"/>
        </w:rPr>
        <w:t>ADCmean</w:t>
      </w:r>
      <w:proofErr w:type="spellEnd"/>
      <w:r w:rsidRPr="00980FAF">
        <w:rPr>
          <w:rFonts w:ascii="Calibri" w:hAnsi="Calibri"/>
          <w:lang w:val="en-US"/>
        </w:rPr>
        <w:t xml:space="preserve"> (10</w:t>
      </w:r>
      <w:r w:rsidRPr="00980FAF">
        <w:rPr>
          <w:rFonts w:ascii="Calibri" w:hAnsi="Calibri"/>
          <w:vertAlign w:val="superscript"/>
          <w:lang w:val="en-US"/>
        </w:rPr>
        <w:t>-6</w:t>
      </w:r>
      <w:r w:rsidRPr="00980FAF">
        <w:rPr>
          <w:rFonts w:ascii="Calibri" w:hAnsi="Calibri"/>
          <w:lang w:val="en-US"/>
        </w:rPr>
        <w:t> mm</w:t>
      </w:r>
      <w:r w:rsidRPr="00980FAF">
        <w:rPr>
          <w:rFonts w:ascii="Calibri" w:hAnsi="Calibri"/>
          <w:vertAlign w:val="superscript"/>
          <w:lang w:val="en-US"/>
        </w:rPr>
        <w:t>2</w:t>
      </w:r>
      <w:r w:rsidRPr="00980FAF">
        <w:rPr>
          <w:rFonts w:ascii="Calibri" w:hAnsi="Calibri"/>
          <w:lang w:val="en-US"/>
        </w:rPr>
        <w:t xml:space="preserve">/s) taken out of the main tumor region in 80 patients after radical prostatectomy demonstrating significantly lower ADC values in high risk patients (as classified after radical prostatectomy according to the </w:t>
      </w:r>
      <w:proofErr w:type="spellStart"/>
      <w:r w:rsidRPr="00980FAF">
        <w:rPr>
          <w:rFonts w:ascii="Calibri" w:hAnsi="Calibri"/>
          <w:lang w:val="en-US"/>
        </w:rPr>
        <w:t>d‘Amico</w:t>
      </w:r>
      <w:proofErr w:type="spellEnd"/>
      <w:r w:rsidRPr="00980FAF">
        <w:rPr>
          <w:rFonts w:ascii="Calibri" w:hAnsi="Calibri"/>
          <w:lang w:val="en-US"/>
        </w:rPr>
        <w:t xml:space="preserve"> criteria), but at a lower level of </w:t>
      </w:r>
      <w:proofErr w:type="spellStart"/>
      <w:r w:rsidRPr="00980FAF">
        <w:rPr>
          <w:rFonts w:ascii="Calibri" w:hAnsi="Calibri"/>
          <w:lang w:val="en-US"/>
        </w:rPr>
        <w:t>sgnificance</w:t>
      </w:r>
      <w:proofErr w:type="spellEnd"/>
      <w:r w:rsidRPr="00980FAF">
        <w:rPr>
          <w:rFonts w:ascii="Calibri" w:hAnsi="Calibri"/>
          <w:lang w:val="en-US"/>
        </w:rPr>
        <w:t xml:space="preserve"> as compared to </w:t>
      </w:r>
      <w:r w:rsidRPr="00980FAF">
        <w:rPr>
          <w:rFonts w:ascii="Calibri" w:hAnsi="Calibri"/>
          <w:vertAlign w:val="superscript"/>
          <w:lang w:val="en-US"/>
        </w:rPr>
        <w:t>68</w:t>
      </w:r>
      <w:r w:rsidRPr="00980FAF">
        <w:rPr>
          <w:rFonts w:ascii="Calibri" w:hAnsi="Calibri"/>
          <w:lang w:val="en-US"/>
        </w:rPr>
        <w:t xml:space="preserve">Ga-PSMA 11 </w:t>
      </w:r>
      <w:proofErr w:type="spellStart"/>
      <w:r w:rsidRPr="00980FAF">
        <w:rPr>
          <w:rFonts w:ascii="Calibri" w:hAnsi="Calibri"/>
          <w:lang w:val="en-US"/>
        </w:rPr>
        <w:t>SUVmax</w:t>
      </w:r>
      <w:proofErr w:type="spellEnd"/>
      <w:r w:rsidRPr="00980FAF">
        <w:rPr>
          <w:rFonts w:ascii="Calibri" w:hAnsi="Calibri"/>
          <w:lang w:val="en-US"/>
        </w:rPr>
        <w:t xml:space="preserve"> (suppl. figure 1) </w:t>
      </w:r>
    </w:p>
    <w:p w14:paraId="3B582527" w14:textId="3D5D647E" w:rsidR="004C4316" w:rsidRPr="004C4316" w:rsidRDefault="004C4316" w:rsidP="00980FAF">
      <w:pPr>
        <w:spacing w:line="480" w:lineRule="auto"/>
        <w:jc w:val="both"/>
        <w:rPr>
          <w:rFonts w:ascii="Calibri" w:hAnsi="Calibri"/>
          <w:lang w:val="en-US"/>
        </w:rPr>
      </w:pPr>
      <w:r w:rsidRPr="00980FAF">
        <w:rPr>
          <w:rFonts w:ascii="Calibri" w:hAnsi="Calibri"/>
          <w:noProof/>
          <w:lang w:val="de-DE" w:eastAsia="de-DE"/>
        </w:rPr>
        <w:drawing>
          <wp:inline distT="0" distB="0" distL="0" distR="0" wp14:anchorId="2F0840EF" wp14:editId="53B762FD">
            <wp:extent cx="5614670" cy="4041775"/>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670" cy="4041775"/>
                    </a:xfrm>
                    <a:prstGeom prst="rect">
                      <a:avLst/>
                    </a:prstGeom>
                    <a:noFill/>
                  </pic:spPr>
                </pic:pic>
              </a:graphicData>
            </a:graphic>
          </wp:inline>
        </w:drawing>
      </w:r>
    </w:p>
    <w:p w14:paraId="43B5816D" w14:textId="77777777" w:rsidR="001A213C" w:rsidRPr="004C4316" w:rsidRDefault="001A213C" w:rsidP="00980FAF">
      <w:pPr>
        <w:spacing w:line="480" w:lineRule="auto"/>
        <w:jc w:val="both"/>
        <w:rPr>
          <w:rFonts w:ascii="Calibri" w:hAnsi="Calibri"/>
          <w:lang w:val="en-US"/>
        </w:rPr>
      </w:pPr>
    </w:p>
    <w:p w14:paraId="2532FE0D" w14:textId="77777777" w:rsidR="001A213C" w:rsidRDefault="001A213C" w:rsidP="00980FAF">
      <w:pPr>
        <w:spacing w:line="480" w:lineRule="auto"/>
        <w:jc w:val="both"/>
        <w:rPr>
          <w:rFonts w:ascii="Calibri" w:hAnsi="Calibri"/>
        </w:rPr>
      </w:pPr>
    </w:p>
    <w:p w14:paraId="437E3DB0" w14:textId="77777777" w:rsidR="00000770" w:rsidRDefault="00000770"/>
    <w:sectPr w:rsidR="00000770" w:rsidSect="006030CE">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25080" w14:textId="77777777" w:rsidR="008655F4" w:rsidRDefault="008655F4">
      <w:r>
        <w:separator/>
      </w:r>
    </w:p>
  </w:endnote>
  <w:endnote w:type="continuationSeparator" w:id="0">
    <w:p w14:paraId="59823927" w14:textId="77777777" w:rsidR="008655F4" w:rsidRDefault="0086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B371C" w14:textId="77777777" w:rsidR="008655F4" w:rsidRDefault="008655F4">
      <w:r>
        <w:separator/>
      </w:r>
    </w:p>
  </w:footnote>
  <w:footnote w:type="continuationSeparator" w:id="0">
    <w:p w14:paraId="4F7D3C82" w14:textId="77777777" w:rsidR="008655F4" w:rsidRDefault="00865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BD99D" w14:textId="77777777" w:rsidR="003B594D" w:rsidRDefault="003B594D">
    <w:pPr>
      <w:pStyle w:val="Kopfzeile"/>
    </w:pPr>
    <w:r>
      <w:rPr>
        <w:rStyle w:val="Seitenzahl"/>
      </w:rPr>
      <w:tab/>
    </w: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980FAF">
      <w:rPr>
        <w:rStyle w:val="Seitenzahl"/>
        <w:noProof/>
      </w:rPr>
      <w:t>9</w:t>
    </w:r>
    <w:r>
      <w:rPr>
        <w:rStyle w:val="Seitenzahl"/>
      </w:rPr>
      <w:fldChar w:fldCharType="end"/>
    </w:r>
    <w:r>
      <w:rPr>
        <w:rStyle w:val="Seitenzahl"/>
      </w:rPr>
      <w:tab/>
    </w:r>
    <w:r>
      <w:rPr>
        <w:rStyle w:val="Seitenzahl"/>
      </w:rP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3C"/>
    <w:rsid w:val="00000770"/>
    <w:rsid w:val="00020AA4"/>
    <w:rsid w:val="00033C94"/>
    <w:rsid w:val="0018723A"/>
    <w:rsid w:val="00196F35"/>
    <w:rsid w:val="001A213C"/>
    <w:rsid w:val="00212B9A"/>
    <w:rsid w:val="00215784"/>
    <w:rsid w:val="00257EE7"/>
    <w:rsid w:val="00283547"/>
    <w:rsid w:val="002C741E"/>
    <w:rsid w:val="002E7E32"/>
    <w:rsid w:val="00372EBB"/>
    <w:rsid w:val="00392348"/>
    <w:rsid w:val="003B594D"/>
    <w:rsid w:val="003D45D9"/>
    <w:rsid w:val="004733B0"/>
    <w:rsid w:val="004A2149"/>
    <w:rsid w:val="004C4316"/>
    <w:rsid w:val="004F299B"/>
    <w:rsid w:val="0051346B"/>
    <w:rsid w:val="005175B5"/>
    <w:rsid w:val="005532DB"/>
    <w:rsid w:val="006030CE"/>
    <w:rsid w:val="00640775"/>
    <w:rsid w:val="007470C2"/>
    <w:rsid w:val="00766F39"/>
    <w:rsid w:val="008655F4"/>
    <w:rsid w:val="00980FAF"/>
    <w:rsid w:val="00A02FDA"/>
    <w:rsid w:val="00A14BC4"/>
    <w:rsid w:val="00A72E0D"/>
    <w:rsid w:val="00A961AB"/>
    <w:rsid w:val="00AB4551"/>
    <w:rsid w:val="00B81930"/>
    <w:rsid w:val="00C034D2"/>
    <w:rsid w:val="00C715EB"/>
    <w:rsid w:val="00C9237A"/>
    <w:rsid w:val="00D67601"/>
    <w:rsid w:val="00EB2F40"/>
    <w:rsid w:val="00F07951"/>
    <w:rsid w:val="00F60DF4"/>
    <w:rsid w:val="00FE11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26D7F"/>
  <w15:docId w15:val="{7A4C07BE-70CD-4006-ACD0-6C557915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13C"/>
    <w:pPr>
      <w:spacing w:after="0" w:line="240" w:lineRule="auto"/>
    </w:pPr>
    <w:rPr>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A213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A213C"/>
    <w:pPr>
      <w:tabs>
        <w:tab w:val="center" w:pos="4153"/>
        <w:tab w:val="right" w:pos="8306"/>
      </w:tabs>
    </w:pPr>
  </w:style>
  <w:style w:type="character" w:customStyle="1" w:styleId="KopfzeileZchn">
    <w:name w:val="Kopfzeile Zchn"/>
    <w:basedOn w:val="Absatz-Standardschriftart"/>
    <w:link w:val="Kopfzeile"/>
    <w:uiPriority w:val="99"/>
    <w:rsid w:val="001A213C"/>
    <w:rPr>
      <w:sz w:val="24"/>
      <w:szCs w:val="24"/>
      <w:lang w:val="en-GB"/>
    </w:rPr>
  </w:style>
  <w:style w:type="character" w:styleId="Seitenzahl">
    <w:name w:val="page number"/>
    <w:basedOn w:val="Absatz-Standardschriftart"/>
    <w:uiPriority w:val="99"/>
    <w:semiHidden/>
    <w:unhideWhenUsed/>
    <w:rsid w:val="001A213C"/>
  </w:style>
  <w:style w:type="paragraph" w:styleId="Listenabsatz">
    <w:name w:val="List Paragraph"/>
    <w:basedOn w:val="Standard"/>
    <w:uiPriority w:val="34"/>
    <w:qFormat/>
    <w:rsid w:val="001A213C"/>
    <w:pPr>
      <w:ind w:left="720"/>
      <w:contextualSpacing/>
    </w:pPr>
  </w:style>
  <w:style w:type="table" w:customStyle="1" w:styleId="Tabellenraster1">
    <w:name w:val="Tabellenraster1"/>
    <w:basedOn w:val="NormaleTabelle"/>
    <w:next w:val="Tabellenraster"/>
    <w:uiPriority w:val="39"/>
    <w:rsid w:val="001A213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96144">
      <w:bodyDiv w:val="1"/>
      <w:marLeft w:val="0"/>
      <w:marRight w:val="0"/>
      <w:marTop w:val="0"/>
      <w:marBottom w:val="0"/>
      <w:divBdr>
        <w:top w:val="none" w:sz="0" w:space="0" w:color="auto"/>
        <w:left w:val="none" w:sz="0" w:space="0" w:color="auto"/>
        <w:bottom w:val="none" w:sz="0" w:space="0" w:color="auto"/>
        <w:right w:val="none" w:sz="0" w:space="0" w:color="auto"/>
      </w:divBdr>
    </w:div>
    <w:div w:id="1327853904">
      <w:bodyDiv w:val="1"/>
      <w:marLeft w:val="0"/>
      <w:marRight w:val="0"/>
      <w:marTop w:val="0"/>
      <w:marBottom w:val="0"/>
      <w:divBdr>
        <w:top w:val="none" w:sz="0" w:space="0" w:color="auto"/>
        <w:left w:val="none" w:sz="0" w:space="0" w:color="auto"/>
        <w:bottom w:val="none" w:sz="0" w:space="0" w:color="auto"/>
        <w:right w:val="none" w:sz="0" w:space="0" w:color="auto"/>
      </w:divBdr>
    </w:div>
    <w:div w:id="20396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1336</Words>
  <Characters>8424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Hartenbach</dc:creator>
  <cp:keywords/>
  <dc:description/>
  <cp:lastModifiedBy>Markus Hartenbach</cp:lastModifiedBy>
  <cp:revision>2</cp:revision>
  <dcterms:created xsi:type="dcterms:W3CDTF">2018-07-17T16:31:00Z</dcterms:created>
  <dcterms:modified xsi:type="dcterms:W3CDTF">2018-07-17T16:31:00Z</dcterms:modified>
</cp:coreProperties>
</file>