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136612" w14:textId="314F2809" w:rsidR="00852FE8" w:rsidRPr="0067072E" w:rsidRDefault="00E70DA4" w:rsidP="00852FE8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583107">
        <w:rPr>
          <w:rFonts w:ascii="Arial" w:hAnsi="Arial" w:cs="Arial"/>
          <w:b/>
          <w:sz w:val="24"/>
          <w:szCs w:val="24"/>
        </w:rPr>
        <w:t xml:space="preserve">Supplementary </w:t>
      </w:r>
      <w:r w:rsidR="00852FE8">
        <w:rPr>
          <w:rFonts w:ascii="Arial" w:hAnsi="Arial" w:cs="Arial"/>
          <w:b/>
          <w:sz w:val="24"/>
          <w:szCs w:val="24"/>
        </w:rPr>
        <w:t xml:space="preserve">for </w:t>
      </w:r>
      <w:r w:rsidR="00852FE8" w:rsidRPr="0067072E">
        <w:rPr>
          <w:rFonts w:ascii="Arial" w:hAnsi="Arial" w:cs="Arial"/>
          <w:b/>
          <w:sz w:val="24"/>
          <w:szCs w:val="24"/>
        </w:rPr>
        <w:t xml:space="preserve">Pembrolizumab </w:t>
      </w:r>
      <w:r w:rsidR="00852FE8">
        <w:rPr>
          <w:rFonts w:ascii="Arial" w:hAnsi="Arial" w:cs="Arial"/>
          <w:b/>
          <w:sz w:val="24"/>
          <w:szCs w:val="24"/>
        </w:rPr>
        <w:t>exposure-response</w:t>
      </w:r>
      <w:r w:rsidR="00852FE8" w:rsidRPr="0067072E">
        <w:rPr>
          <w:rFonts w:ascii="Arial" w:hAnsi="Arial" w:cs="Arial"/>
          <w:b/>
          <w:sz w:val="24"/>
          <w:szCs w:val="24"/>
        </w:rPr>
        <w:t xml:space="preserve"> </w:t>
      </w:r>
      <w:r w:rsidR="00852FE8">
        <w:rPr>
          <w:rFonts w:ascii="Arial" w:hAnsi="Arial" w:cs="Arial"/>
          <w:b/>
          <w:sz w:val="24"/>
          <w:szCs w:val="24"/>
        </w:rPr>
        <w:t>assessments</w:t>
      </w:r>
      <w:r w:rsidR="00852FE8" w:rsidRPr="0067072E">
        <w:rPr>
          <w:rFonts w:ascii="Arial" w:hAnsi="Arial" w:cs="Arial"/>
          <w:b/>
          <w:sz w:val="24"/>
          <w:szCs w:val="24"/>
        </w:rPr>
        <w:t xml:space="preserve"> </w:t>
      </w:r>
      <w:r w:rsidR="00852FE8">
        <w:rPr>
          <w:rFonts w:ascii="Arial" w:hAnsi="Arial" w:cs="Arial"/>
          <w:b/>
          <w:sz w:val="24"/>
          <w:szCs w:val="24"/>
        </w:rPr>
        <w:t>challenged</w:t>
      </w:r>
      <w:r w:rsidR="00852FE8" w:rsidRPr="0067072E">
        <w:rPr>
          <w:rFonts w:ascii="Arial" w:hAnsi="Arial" w:cs="Arial"/>
          <w:b/>
          <w:sz w:val="24"/>
          <w:szCs w:val="24"/>
        </w:rPr>
        <w:t xml:space="preserve"> by </w:t>
      </w:r>
      <w:r w:rsidR="00852FE8">
        <w:rPr>
          <w:rFonts w:ascii="Arial" w:hAnsi="Arial" w:cs="Arial"/>
          <w:b/>
          <w:sz w:val="24"/>
          <w:szCs w:val="24"/>
        </w:rPr>
        <w:t>association of c</w:t>
      </w:r>
      <w:r w:rsidR="00852FE8" w:rsidRPr="0067072E">
        <w:rPr>
          <w:rFonts w:ascii="Arial" w:hAnsi="Arial" w:cs="Arial"/>
          <w:b/>
          <w:sz w:val="24"/>
          <w:szCs w:val="24"/>
        </w:rPr>
        <w:t xml:space="preserve">ancer </w:t>
      </w:r>
      <w:r w:rsidR="00852FE8">
        <w:rPr>
          <w:rFonts w:ascii="Arial" w:hAnsi="Arial" w:cs="Arial"/>
          <w:b/>
          <w:sz w:val="24"/>
          <w:szCs w:val="24"/>
        </w:rPr>
        <w:t>c</w:t>
      </w:r>
      <w:r w:rsidR="00852FE8" w:rsidRPr="0067072E">
        <w:rPr>
          <w:rFonts w:ascii="Arial" w:hAnsi="Arial" w:cs="Arial"/>
          <w:b/>
          <w:sz w:val="24"/>
          <w:szCs w:val="24"/>
        </w:rPr>
        <w:t>achexia</w:t>
      </w:r>
      <w:r w:rsidR="00852FE8">
        <w:rPr>
          <w:rFonts w:ascii="Arial" w:hAnsi="Arial" w:cs="Arial"/>
          <w:b/>
          <w:sz w:val="24"/>
          <w:szCs w:val="24"/>
        </w:rPr>
        <w:t xml:space="preserve"> and catabolic clearance</w:t>
      </w:r>
    </w:p>
    <w:p w14:paraId="763F7DC1" w14:textId="77777777" w:rsidR="00852FE8" w:rsidRPr="0067072E" w:rsidRDefault="00852FE8" w:rsidP="00852FE8">
      <w:pPr>
        <w:pStyle w:val="Paragraph"/>
        <w:spacing w:line="480" w:lineRule="auto"/>
        <w:rPr>
          <w:rFonts w:ascii="Arial" w:hAnsi="Arial" w:cs="Arial"/>
        </w:rPr>
      </w:pPr>
      <w:r w:rsidRPr="0067072E">
        <w:rPr>
          <w:rFonts w:ascii="Arial" w:hAnsi="Arial" w:cs="Arial"/>
        </w:rPr>
        <w:t>David C. Turner</w:t>
      </w:r>
      <w:r w:rsidRPr="0067072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</w:t>
      </w:r>
      <w:r w:rsidRPr="0067072E">
        <w:rPr>
          <w:rFonts w:ascii="Arial" w:hAnsi="Arial" w:cs="Arial"/>
        </w:rPr>
        <w:t xml:space="preserve">Anna </w:t>
      </w:r>
      <w:r>
        <w:rPr>
          <w:rFonts w:ascii="Arial" w:hAnsi="Arial" w:cs="Arial"/>
        </w:rPr>
        <w:t xml:space="preserve">G. </w:t>
      </w:r>
      <w:r w:rsidRPr="0067072E">
        <w:rPr>
          <w:rFonts w:ascii="Arial" w:hAnsi="Arial" w:cs="Arial"/>
        </w:rPr>
        <w:t>Kondic</w:t>
      </w:r>
      <w:r w:rsidRPr="0067072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</w:t>
      </w:r>
      <w:r w:rsidRPr="0067072E">
        <w:rPr>
          <w:rFonts w:ascii="Arial" w:hAnsi="Arial" w:cs="Arial"/>
        </w:rPr>
        <w:t xml:space="preserve">Keaven </w:t>
      </w:r>
      <w:r>
        <w:rPr>
          <w:rFonts w:ascii="Arial" w:hAnsi="Arial" w:cs="Arial"/>
        </w:rPr>
        <w:t xml:space="preserve">M. </w:t>
      </w:r>
      <w:r w:rsidRPr="0067072E">
        <w:rPr>
          <w:rFonts w:ascii="Arial" w:hAnsi="Arial" w:cs="Arial"/>
        </w:rPr>
        <w:t>Anderson</w:t>
      </w:r>
      <w:r w:rsidRPr="0067072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Andrew G. Robinson</w:t>
      </w:r>
      <w:r w:rsidRPr="00062EBC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Edward B. Garon</w:t>
      </w:r>
      <w:r w:rsidRPr="00062EB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Jonathan Wesley Riess</w:t>
      </w:r>
      <w:r w:rsidRPr="00062EBC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, </w:t>
      </w:r>
      <w:r w:rsidRPr="0067072E">
        <w:rPr>
          <w:rFonts w:ascii="Arial" w:hAnsi="Arial" w:cs="Arial"/>
        </w:rPr>
        <w:t>Lokesh Jain</w:t>
      </w:r>
      <w:r w:rsidRPr="0067072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</w:t>
      </w:r>
      <w:r w:rsidRPr="0067072E">
        <w:rPr>
          <w:rFonts w:ascii="Arial" w:hAnsi="Arial" w:cs="Arial"/>
        </w:rPr>
        <w:t>Kapil Mayawala</w:t>
      </w:r>
      <w:r w:rsidRPr="0067072E">
        <w:rPr>
          <w:rFonts w:ascii="Arial" w:hAnsi="Arial" w:cs="Arial"/>
          <w:vertAlign w:val="superscript"/>
        </w:rPr>
        <w:t>1</w:t>
      </w:r>
      <w:r w:rsidRPr="0067072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Jiannan Kang</w:t>
      </w:r>
      <w:r w:rsidRPr="0067072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</w:t>
      </w:r>
      <w:r w:rsidRPr="0067072E">
        <w:rPr>
          <w:rFonts w:ascii="Arial" w:hAnsi="Arial" w:cs="Arial"/>
        </w:rPr>
        <w:t>Scot W. Ebbinghaus</w:t>
      </w:r>
      <w:r w:rsidRPr="0067072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</w:t>
      </w:r>
      <w:r w:rsidRPr="0067072E">
        <w:rPr>
          <w:rFonts w:ascii="Arial" w:hAnsi="Arial" w:cs="Arial"/>
        </w:rPr>
        <w:t>Vikram Sinha</w:t>
      </w:r>
      <w:r w:rsidRPr="0067072E">
        <w:rPr>
          <w:rFonts w:ascii="Arial" w:hAnsi="Arial" w:cs="Arial"/>
          <w:vertAlign w:val="superscript"/>
        </w:rPr>
        <w:t>1</w:t>
      </w:r>
      <w:r w:rsidRPr="004A46F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67072E">
        <w:rPr>
          <w:rFonts w:ascii="Arial" w:hAnsi="Arial" w:cs="Arial"/>
        </w:rPr>
        <w:t>Dinesh P. de Alwis</w:t>
      </w:r>
      <w:r w:rsidRPr="0067072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and </w:t>
      </w:r>
      <w:r w:rsidRPr="0067072E">
        <w:rPr>
          <w:rFonts w:ascii="Arial" w:hAnsi="Arial" w:cs="Arial"/>
        </w:rPr>
        <w:t xml:space="preserve">Julie </w:t>
      </w:r>
      <w:r>
        <w:rPr>
          <w:rFonts w:ascii="Arial" w:hAnsi="Arial" w:cs="Arial"/>
        </w:rPr>
        <w:t xml:space="preserve">A. </w:t>
      </w:r>
      <w:r w:rsidRPr="0067072E">
        <w:rPr>
          <w:rFonts w:ascii="Arial" w:hAnsi="Arial" w:cs="Arial"/>
        </w:rPr>
        <w:t>Stone</w:t>
      </w:r>
      <w:r w:rsidRPr="0067072E">
        <w:rPr>
          <w:rFonts w:ascii="Arial" w:hAnsi="Arial" w:cs="Arial"/>
          <w:vertAlign w:val="superscript"/>
        </w:rPr>
        <w:t>1</w:t>
      </w:r>
      <w:r w:rsidRPr="0067072E">
        <w:rPr>
          <w:rFonts w:ascii="Arial" w:hAnsi="Arial" w:cs="Arial"/>
        </w:rPr>
        <w:t xml:space="preserve"> </w:t>
      </w:r>
    </w:p>
    <w:p w14:paraId="7CC83E4F" w14:textId="77777777" w:rsidR="00852FE8" w:rsidRPr="0067072E" w:rsidRDefault="00852FE8" w:rsidP="00852FE8">
      <w:pPr>
        <w:pStyle w:val="Paragraph"/>
        <w:spacing w:line="480" w:lineRule="auto"/>
        <w:rPr>
          <w:rFonts w:ascii="Arial" w:hAnsi="Arial" w:cs="Arial"/>
        </w:rPr>
      </w:pPr>
      <w:r w:rsidRPr="003A1BF7">
        <w:rPr>
          <w:rFonts w:ascii="Arial" w:hAnsi="Arial" w:cs="Arial"/>
          <w:vertAlign w:val="superscript"/>
        </w:rPr>
        <w:t>1</w:t>
      </w:r>
      <w:r w:rsidRPr="0067072E">
        <w:rPr>
          <w:rFonts w:ascii="Arial" w:hAnsi="Arial" w:cs="Arial"/>
        </w:rPr>
        <w:t xml:space="preserve"> Merck &amp; Co., Inc., Kenilworth, NJ USA</w:t>
      </w:r>
      <w:r>
        <w:rPr>
          <w:rFonts w:ascii="Arial" w:hAnsi="Arial" w:cs="Arial"/>
        </w:rPr>
        <w:t xml:space="preserve">; </w:t>
      </w:r>
      <w:r w:rsidRPr="00062EBC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 w:rsidRPr="00062EBC">
        <w:rPr>
          <w:rFonts w:ascii="Arial" w:hAnsi="Arial" w:cs="Arial"/>
        </w:rPr>
        <w:t>Cancer Centre of Southeastern Ontario at Kingston General Hospital</w:t>
      </w:r>
      <w:r>
        <w:rPr>
          <w:rFonts w:ascii="Arial" w:hAnsi="Arial" w:cs="Arial"/>
        </w:rPr>
        <w:t xml:space="preserve">, Ontario, Canada; </w:t>
      </w:r>
      <w:r w:rsidRPr="00062EB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David Geffen School of Medicine at UCLA, </w:t>
      </w:r>
      <w:r w:rsidRPr="00062EBC">
        <w:rPr>
          <w:rFonts w:ascii="Arial" w:hAnsi="Arial" w:cs="Arial"/>
        </w:rPr>
        <w:t>Los Angeles</w:t>
      </w:r>
      <w:r>
        <w:rPr>
          <w:rFonts w:ascii="Arial" w:hAnsi="Arial" w:cs="Arial"/>
        </w:rPr>
        <w:t xml:space="preserve">, CA, USA; </w:t>
      </w:r>
      <w:r w:rsidRPr="00205CA7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</w:t>
      </w:r>
      <w:r w:rsidRPr="00801CC4">
        <w:rPr>
          <w:rFonts w:ascii="Arial" w:hAnsi="Arial" w:cs="Arial"/>
        </w:rPr>
        <w:t>UC Davis Comprehensive Cancer Center</w:t>
      </w:r>
      <w:r>
        <w:rPr>
          <w:rFonts w:ascii="Arial" w:hAnsi="Arial" w:cs="Arial"/>
        </w:rPr>
        <w:t>, Davis, CA, USA</w:t>
      </w:r>
    </w:p>
    <w:p w14:paraId="290B5DCD" w14:textId="77777777" w:rsidR="00852FE8" w:rsidRDefault="00852FE8" w:rsidP="00852FE8">
      <w:pPr>
        <w:pStyle w:val="Paragraph"/>
        <w:spacing w:after="0" w:line="480" w:lineRule="auto"/>
        <w:rPr>
          <w:rFonts w:ascii="Arial" w:hAnsi="Arial"/>
          <w:b/>
        </w:rPr>
      </w:pPr>
    </w:p>
    <w:p w14:paraId="341A5A1D" w14:textId="77777777" w:rsidR="00852FE8" w:rsidRPr="00073640" w:rsidRDefault="00852FE8" w:rsidP="00852FE8">
      <w:pPr>
        <w:pStyle w:val="Paragraph"/>
        <w:spacing w:after="0" w:line="480" w:lineRule="auto"/>
        <w:rPr>
          <w:rFonts w:ascii="Arial" w:hAnsi="Arial" w:cs="Arial"/>
          <w:b/>
        </w:rPr>
      </w:pPr>
      <w:r w:rsidRPr="00073640">
        <w:rPr>
          <w:rFonts w:ascii="Arial" w:hAnsi="Arial"/>
          <w:b/>
        </w:rPr>
        <w:t>Address correspondence to</w:t>
      </w:r>
      <w:r w:rsidRPr="00073640">
        <w:rPr>
          <w:rFonts w:ascii="Arial" w:hAnsi="Arial" w:cs="Arial"/>
          <w:b/>
        </w:rPr>
        <w:t>:</w:t>
      </w:r>
      <w:r w:rsidRPr="00073640">
        <w:rPr>
          <w:rFonts w:ascii="Arial" w:hAnsi="Arial" w:cs="Arial"/>
          <w:b/>
        </w:rPr>
        <w:tab/>
      </w:r>
    </w:p>
    <w:p w14:paraId="71FFDFCD" w14:textId="05F234E1" w:rsidR="00852FE8" w:rsidRDefault="00852FE8" w:rsidP="00852FE8">
      <w:pPr>
        <w:pStyle w:val="Paragraph"/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Julie A. Stone</w:t>
      </w:r>
    </w:p>
    <w:p w14:paraId="67F66027" w14:textId="77777777" w:rsidR="00852FE8" w:rsidRPr="0067072E" w:rsidRDefault="00852FE8" w:rsidP="00852FE8">
      <w:pPr>
        <w:pStyle w:val="Paragraph"/>
        <w:spacing w:after="0" w:line="480" w:lineRule="auto"/>
        <w:rPr>
          <w:rFonts w:ascii="Arial" w:hAnsi="Arial" w:cs="Arial"/>
        </w:rPr>
      </w:pPr>
      <w:r w:rsidRPr="0067072E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julie_stone@merck.com</w:t>
      </w:r>
    </w:p>
    <w:p w14:paraId="27E3C481" w14:textId="77777777" w:rsidR="00852FE8" w:rsidRPr="0067072E" w:rsidRDefault="00852FE8" w:rsidP="00852FE8">
      <w:pPr>
        <w:pStyle w:val="Paragraph"/>
        <w:spacing w:after="0" w:line="480" w:lineRule="auto"/>
        <w:rPr>
          <w:rFonts w:ascii="Arial" w:hAnsi="Arial" w:cs="Arial"/>
        </w:rPr>
      </w:pPr>
    </w:p>
    <w:p w14:paraId="44E8D5A4" w14:textId="3358C354" w:rsidR="00852FE8" w:rsidRDefault="00852FE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F4A43AE" w14:textId="77777777" w:rsidR="00852FE8" w:rsidRPr="00583107" w:rsidRDefault="00852FE8" w:rsidP="00491F2A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31A24AE" w14:textId="77777777" w:rsidR="00B30866" w:rsidRPr="00583107" w:rsidRDefault="00B30866" w:rsidP="00B30866">
      <w:pPr>
        <w:pStyle w:val="Paragraph"/>
        <w:spacing w:line="480" w:lineRule="auto"/>
        <w:rPr>
          <w:rStyle w:val="apple-converted-space"/>
          <w:rFonts w:ascii="Arial" w:hAnsi="Arial" w:cs="Arial"/>
          <w:b/>
          <w:shd w:val="clear" w:color="auto" w:fill="FFFFFF"/>
        </w:rPr>
      </w:pPr>
      <w:r w:rsidRPr="00583107">
        <w:rPr>
          <w:rStyle w:val="apple-converted-space"/>
          <w:rFonts w:ascii="Arial" w:hAnsi="Arial" w:cs="Arial"/>
          <w:b/>
          <w:shd w:val="clear" w:color="auto" w:fill="FFFFFF"/>
        </w:rPr>
        <w:t>Supplementary Methods</w:t>
      </w:r>
    </w:p>
    <w:p w14:paraId="231A24AF" w14:textId="77777777" w:rsidR="00B30866" w:rsidRPr="00583107" w:rsidRDefault="00B30866" w:rsidP="00B30866">
      <w:pPr>
        <w:pStyle w:val="Paragraph"/>
        <w:spacing w:line="480" w:lineRule="auto"/>
        <w:rPr>
          <w:rStyle w:val="apple-converted-space"/>
          <w:rFonts w:ascii="Arial" w:hAnsi="Arial" w:cs="Arial"/>
          <w:b/>
          <w:shd w:val="clear" w:color="auto" w:fill="FFFFFF"/>
        </w:rPr>
      </w:pPr>
      <w:r w:rsidRPr="00583107">
        <w:rPr>
          <w:rStyle w:val="apple-converted-space"/>
          <w:rFonts w:ascii="Arial" w:hAnsi="Arial" w:cs="Arial"/>
          <w:b/>
          <w:shd w:val="clear" w:color="auto" w:fill="FFFFFF"/>
        </w:rPr>
        <w:t>OS Analys</w:t>
      </w:r>
      <w:r w:rsidRPr="000805E6">
        <w:rPr>
          <w:rStyle w:val="apple-converted-space"/>
          <w:rFonts w:ascii="Arial" w:hAnsi="Arial" w:cs="Arial"/>
          <w:b/>
          <w:shd w:val="clear" w:color="auto" w:fill="FFFFFF"/>
        </w:rPr>
        <w:t>e</w:t>
      </w:r>
      <w:r w:rsidRPr="00583107">
        <w:rPr>
          <w:rStyle w:val="apple-converted-space"/>
          <w:rFonts w:ascii="Arial" w:hAnsi="Arial" w:cs="Arial"/>
          <w:b/>
          <w:shd w:val="clear" w:color="auto" w:fill="FFFFFF"/>
        </w:rPr>
        <w:t>s</w:t>
      </w:r>
    </w:p>
    <w:p w14:paraId="231A24B0" w14:textId="16171BD9" w:rsidR="003E2EF9" w:rsidRPr="005B3973" w:rsidRDefault="003E2EF9" w:rsidP="003E2EF9">
      <w:pPr>
        <w:pStyle w:val="Paragraph"/>
        <w:spacing w:line="480" w:lineRule="auto"/>
        <w:rPr>
          <w:rStyle w:val="apple-converted-space"/>
          <w:rFonts w:ascii="Arial" w:hAnsi="Arial"/>
          <w:b/>
          <w:shd w:val="clear" w:color="auto" w:fill="FFFFFF"/>
        </w:rPr>
      </w:pPr>
      <w:r w:rsidRPr="0067072E">
        <w:rPr>
          <w:rStyle w:val="apple-converted-space"/>
          <w:rFonts w:ascii="Arial" w:hAnsi="Arial" w:cs="Arial"/>
          <w:shd w:val="clear" w:color="auto" w:fill="FFFFFF"/>
        </w:rPr>
        <w:t>All OS analyses were performed using the statistical software environment R, Version 3.2.4</w:t>
      </w:r>
      <w:r>
        <w:rPr>
          <w:rStyle w:val="apple-converted-space"/>
          <w:rFonts w:ascii="Arial" w:hAnsi="Arial" w:cs="Arial"/>
          <w:shd w:val="clear" w:color="auto" w:fill="FFFFFF"/>
        </w:rPr>
        <w:t xml:space="preserve">. 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Data for patients who were alive or lost to follow-up were censored at the time of last confirmed contact. </w:t>
      </w:r>
      <w:r>
        <w:rPr>
          <w:rFonts w:ascii="Arial" w:hAnsi="Arial" w:cs="Arial"/>
        </w:rPr>
        <w:t xml:space="preserve">In all three studies, patients were contacted every 2-3 months during the survival follow-up phase. </w:t>
      </w:r>
      <w:r w:rsidRPr="0067072E">
        <w:rPr>
          <w:rFonts w:ascii="Arial" w:hAnsi="Arial" w:cs="Arial"/>
        </w:rPr>
        <w:t xml:space="preserve">In all exposure-OS assessments, melanoma and NSCLC data </w:t>
      </w:r>
      <w:r>
        <w:rPr>
          <w:rFonts w:ascii="Arial" w:hAnsi="Arial" w:cs="Arial"/>
        </w:rPr>
        <w:t>we</w:t>
      </w:r>
      <w:r w:rsidRPr="0067072E">
        <w:rPr>
          <w:rFonts w:ascii="Arial" w:hAnsi="Arial" w:cs="Arial"/>
        </w:rPr>
        <w:t xml:space="preserve">re analyzed separately and only pembrolizumab-treated subjects with available PK data </w:t>
      </w:r>
      <w:r>
        <w:rPr>
          <w:rFonts w:ascii="Arial" w:hAnsi="Arial" w:cs="Arial"/>
        </w:rPr>
        <w:t>we</w:t>
      </w:r>
      <w:r w:rsidRPr="0067072E">
        <w:rPr>
          <w:rFonts w:ascii="Arial" w:hAnsi="Arial" w:cs="Arial"/>
        </w:rPr>
        <w:t>re included.</w:t>
      </w:r>
      <w:r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The </w:t>
      </w:r>
      <w:r>
        <w:rPr>
          <w:rStyle w:val="apple-converted-space"/>
          <w:rFonts w:ascii="Arial" w:hAnsi="Arial" w:cs="Arial"/>
          <w:shd w:val="clear" w:color="auto" w:fill="FFFFFF"/>
        </w:rPr>
        <w:t>Kaplan-Meier (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>K-M</w:t>
      </w:r>
      <w:r>
        <w:rPr>
          <w:rStyle w:val="apple-converted-space"/>
          <w:rFonts w:ascii="Arial" w:hAnsi="Arial" w:cs="Arial"/>
          <w:shd w:val="clear" w:color="auto" w:fill="FFFFFF"/>
        </w:rPr>
        <w:t>)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 method was used to visualize the distribution of OS within and across</w:t>
      </w:r>
      <w:r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>dose</w:t>
      </w:r>
      <w:r>
        <w:rPr>
          <w:rStyle w:val="apple-converted-space"/>
          <w:rFonts w:ascii="Arial" w:hAnsi="Arial" w:cs="Arial"/>
          <w:shd w:val="clear" w:color="auto" w:fill="FFFFFF"/>
        </w:rPr>
        <w:t>s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 (function Surv, R package ‘survival’), and </w:t>
      </w:r>
      <w:r>
        <w:rPr>
          <w:rStyle w:val="apple-converted-space"/>
          <w:rFonts w:ascii="Arial" w:hAnsi="Arial" w:cs="Arial"/>
          <w:shd w:val="clear" w:color="auto" w:fill="FFFFFF"/>
        </w:rPr>
        <w:t xml:space="preserve">the 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>differences between curves were explored using the log-rank test (function survdiff, R package ‘survival’).</w:t>
      </w:r>
      <w:r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>Data from two doses (2 and 10 mg/kg) were leveraged in order to distinguish possible correlations of CL</w:t>
      </w:r>
      <w:r w:rsidRPr="002519E7">
        <w:rPr>
          <w:rFonts w:ascii="Arial" w:hAnsi="Arial" w:cs="Arial"/>
          <w:vertAlign w:val="subscript"/>
        </w:rPr>
        <w:t>0</w:t>
      </w:r>
      <w:r>
        <w:rPr>
          <w:rFonts w:ascii="Arial" w:hAnsi="Arial" w:cs="Arial"/>
        </w:rPr>
        <w:t xml:space="preserve"> from true exposure-dependencies in OS (further detailed later in this report). </w:t>
      </w:r>
      <w:r>
        <w:rPr>
          <w:rStyle w:val="apple-converted-space"/>
          <w:rFonts w:ascii="Arial" w:hAnsi="Arial" w:cs="Arial"/>
          <w:shd w:val="clear" w:color="auto" w:fill="FFFFFF"/>
        </w:rPr>
        <w:t>Univariate and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 multivariate </w:t>
      </w:r>
      <w:r>
        <w:rPr>
          <w:rStyle w:val="apple-converted-space"/>
          <w:rFonts w:ascii="Arial" w:hAnsi="Arial" w:cs="Arial"/>
          <w:shd w:val="clear" w:color="auto" w:fill="FFFFFF"/>
        </w:rPr>
        <w:t>C</w:t>
      </w:r>
      <w:r w:rsidRPr="00145458">
        <w:rPr>
          <w:rStyle w:val="apple-converted-space"/>
          <w:rFonts w:ascii="Arial" w:hAnsi="Arial" w:cs="Arial"/>
          <w:shd w:val="clear" w:color="auto" w:fill="FFFFFF"/>
        </w:rPr>
        <w:t xml:space="preserve">ox </w:t>
      </w:r>
      <w:r>
        <w:rPr>
          <w:rStyle w:val="apple-converted-space"/>
          <w:rFonts w:ascii="Arial" w:hAnsi="Arial" w:cs="Arial"/>
          <w:shd w:val="clear" w:color="auto" w:fill="FFFFFF"/>
        </w:rPr>
        <w:t>P</w:t>
      </w:r>
      <w:r w:rsidRPr="00145458">
        <w:rPr>
          <w:rStyle w:val="apple-converted-space"/>
          <w:rFonts w:ascii="Arial" w:hAnsi="Arial" w:cs="Arial"/>
          <w:shd w:val="clear" w:color="auto" w:fill="FFFFFF"/>
        </w:rPr>
        <w:t xml:space="preserve">roportional </w:t>
      </w:r>
      <w:r>
        <w:rPr>
          <w:rStyle w:val="apple-converted-space"/>
          <w:rFonts w:ascii="Arial" w:hAnsi="Arial" w:cs="Arial"/>
          <w:shd w:val="clear" w:color="auto" w:fill="FFFFFF"/>
        </w:rPr>
        <w:t>H</w:t>
      </w:r>
      <w:r w:rsidRPr="00145458">
        <w:rPr>
          <w:rStyle w:val="apple-converted-space"/>
          <w:rFonts w:ascii="Arial" w:hAnsi="Arial" w:cs="Arial"/>
          <w:shd w:val="clear" w:color="auto" w:fill="FFFFFF"/>
        </w:rPr>
        <w:t xml:space="preserve">azards </w:t>
      </w:r>
      <w:r>
        <w:rPr>
          <w:rStyle w:val="apple-converted-space"/>
          <w:rFonts w:ascii="Arial" w:hAnsi="Arial" w:cs="Arial"/>
          <w:shd w:val="clear" w:color="auto" w:fill="FFFFFF"/>
        </w:rPr>
        <w:t>(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>CPH</w:t>
      </w:r>
      <w:r>
        <w:rPr>
          <w:rStyle w:val="apple-converted-space"/>
          <w:rFonts w:ascii="Arial" w:hAnsi="Arial" w:cs="Arial"/>
          <w:shd w:val="clear" w:color="auto" w:fill="FFFFFF"/>
        </w:rPr>
        <w:t>)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 model</w:t>
      </w:r>
      <w:r>
        <w:rPr>
          <w:rStyle w:val="apple-converted-space"/>
          <w:rFonts w:ascii="Arial" w:hAnsi="Arial" w:cs="Arial"/>
          <w:shd w:val="clear" w:color="auto" w:fill="FFFFFF"/>
        </w:rPr>
        <w:t>s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shd w:val="clear" w:color="auto" w:fill="FFFFFF"/>
        </w:rPr>
        <w:t>were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 implemented to </w:t>
      </w:r>
      <w:r w:rsidRPr="0067072E">
        <w:rPr>
          <w:rFonts w:ascii="Arial" w:hAnsi="Arial" w:cs="Arial"/>
        </w:rPr>
        <w:t xml:space="preserve">evaluate the 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>impact of various OS risk factors</w:t>
      </w:r>
      <w:r>
        <w:rPr>
          <w:rStyle w:val="apple-converted-space"/>
          <w:rFonts w:ascii="Arial" w:hAnsi="Arial" w:cs="Arial"/>
          <w:shd w:val="clear" w:color="auto" w:fill="FFFFFF"/>
        </w:rPr>
        <w:t>.</w:t>
      </w:r>
      <w:r>
        <w:rPr>
          <w:rFonts w:ascii="Arial" w:hAnsi="Arial" w:cs="Arial"/>
        </w:rPr>
        <w:t xml:space="preserve"> </w:t>
      </w:r>
      <w:r w:rsidRPr="0084513A">
        <w:rPr>
          <w:rFonts w:ascii="Arial" w:hAnsi="Arial" w:cs="Arial"/>
        </w:rPr>
        <w:t xml:space="preserve">Complete cases of </w:t>
      </w:r>
      <w:r>
        <w:rPr>
          <w:rFonts w:ascii="Arial" w:hAnsi="Arial" w:cs="Arial"/>
        </w:rPr>
        <w:t>patient covariates</w:t>
      </w:r>
      <w:r w:rsidRPr="0084513A">
        <w:rPr>
          <w:rFonts w:ascii="Arial" w:hAnsi="Arial" w:cs="Arial"/>
        </w:rPr>
        <w:t xml:space="preserve"> were used in the </w:t>
      </w:r>
      <w:r>
        <w:rPr>
          <w:rFonts w:ascii="Arial" w:hAnsi="Arial" w:cs="Arial"/>
        </w:rPr>
        <w:t xml:space="preserve">multivariate and case-control </w:t>
      </w:r>
      <w:r w:rsidRPr="0084513A">
        <w:rPr>
          <w:rFonts w:ascii="Arial" w:hAnsi="Arial" w:cs="Arial"/>
        </w:rPr>
        <w:t>analys</w:t>
      </w:r>
      <w:r>
        <w:rPr>
          <w:rFonts w:ascii="Arial" w:hAnsi="Arial" w:cs="Arial"/>
        </w:rPr>
        <w:t>e</w:t>
      </w:r>
      <w:r w:rsidRPr="0084513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(KEYNOTE-010 and KEYNOTE-002)</w:t>
      </w:r>
      <w:r w:rsidRPr="0084513A">
        <w:rPr>
          <w:rFonts w:ascii="Arial" w:hAnsi="Arial" w:cs="Arial"/>
        </w:rPr>
        <w:t xml:space="preserve">. 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To assess statistical significance of the model feature coefficients, each feature’s Wald statistic and associated </w:t>
      </w:r>
      <w:r w:rsidRPr="0022600A">
        <w:rPr>
          <w:rStyle w:val="apple-converted-space"/>
          <w:rFonts w:ascii="Arial" w:hAnsi="Arial" w:cs="Arial"/>
          <w:i/>
          <w:shd w:val="clear" w:color="auto" w:fill="FFFFFF"/>
        </w:rPr>
        <w:t xml:space="preserve">P 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value were evaluated using the ‘coxph’ function in the R package ‘survival.’ </w:t>
      </w:r>
      <w:r w:rsidRPr="00B92049">
        <w:rPr>
          <w:rStyle w:val="apple-converted-space"/>
          <w:rFonts w:ascii="Arial" w:hAnsi="Arial" w:cs="Arial"/>
          <w:shd w:val="clear" w:color="auto" w:fill="FFFFFF"/>
        </w:rPr>
        <w:t xml:space="preserve">Feature selection in the Cox model was performed using </w:t>
      </w:r>
      <w:r>
        <w:rPr>
          <w:rStyle w:val="apple-converted-space"/>
          <w:rFonts w:ascii="Arial" w:hAnsi="Arial" w:cs="Arial"/>
          <w:shd w:val="clear" w:color="auto" w:fill="FFFFFF"/>
        </w:rPr>
        <w:t>stepwise Akaike Information Criterion (</w:t>
      </w:r>
      <w:r w:rsidRPr="00B92049">
        <w:rPr>
          <w:rStyle w:val="apple-converted-space"/>
          <w:rFonts w:ascii="Arial" w:hAnsi="Arial" w:cs="Arial"/>
          <w:shd w:val="clear" w:color="auto" w:fill="FFFFFF"/>
        </w:rPr>
        <w:t>AIC</w:t>
      </w:r>
      <w:r>
        <w:rPr>
          <w:rStyle w:val="apple-converted-space"/>
          <w:rFonts w:ascii="Arial" w:hAnsi="Arial" w:cs="Arial"/>
          <w:shd w:val="clear" w:color="auto" w:fill="FFFFFF"/>
        </w:rPr>
        <w:t>)</w:t>
      </w:r>
      <w:r w:rsidRPr="00B92049">
        <w:rPr>
          <w:rStyle w:val="apple-converted-space"/>
          <w:rFonts w:ascii="Arial" w:hAnsi="Arial" w:cs="Arial"/>
          <w:shd w:val="clear" w:color="auto" w:fill="FFFFFF"/>
        </w:rPr>
        <w:t xml:space="preserve"> to mitigate the risk of overfitting.</w:t>
      </w:r>
      <w:r w:rsidR="00424BFB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Variables </w:t>
      </w:r>
      <w:r>
        <w:rPr>
          <w:rStyle w:val="apple-converted-space"/>
          <w:rFonts w:ascii="Arial" w:hAnsi="Arial" w:cs="Arial"/>
          <w:shd w:val="clear" w:color="auto" w:fill="FFFFFF"/>
        </w:rPr>
        <w:t xml:space="preserve">for multivariate analysis 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>were investigated in a stepwise fashion</w:t>
      </w:r>
      <w:r>
        <w:rPr>
          <w:rStyle w:val="apple-converted-space"/>
          <w:rFonts w:ascii="Arial" w:hAnsi="Arial" w:cs="Arial"/>
          <w:shd w:val="clear" w:color="auto" w:fill="FFFFFF"/>
        </w:rPr>
        <w:t>, with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 xml:space="preserve"> missing data imputed as the </w:t>
      </w:r>
      <w:r>
        <w:rPr>
          <w:rStyle w:val="apple-converted-space"/>
          <w:rFonts w:ascii="Arial" w:hAnsi="Arial" w:cs="Arial"/>
          <w:shd w:val="clear" w:color="auto" w:fill="FFFFFF"/>
        </w:rPr>
        <w:t xml:space="preserve">median using </w:t>
      </w:r>
      <w:r w:rsidR="00424BFB">
        <w:rPr>
          <w:rStyle w:val="apple-converted-space"/>
          <w:rFonts w:ascii="Arial" w:hAnsi="Arial" w:cs="Arial"/>
          <w:shd w:val="clear" w:color="auto" w:fill="FFFFFF"/>
        </w:rPr>
        <w:t>AIC</w:t>
      </w:r>
      <w:r>
        <w:rPr>
          <w:rStyle w:val="apple-converted-space"/>
          <w:rFonts w:ascii="Arial" w:hAnsi="Arial" w:cs="Arial"/>
          <w:shd w:val="clear" w:color="auto" w:fill="FFFFFF"/>
        </w:rPr>
        <w:t xml:space="preserve"> pe</w:t>
      </w:r>
      <w:r w:rsidRPr="002D7BD1">
        <w:rPr>
          <w:rStyle w:val="apple-converted-space"/>
          <w:rFonts w:ascii="Arial" w:hAnsi="Arial" w:cs="Arial"/>
          <w:shd w:val="clear" w:color="auto" w:fill="FFFFFF"/>
        </w:rPr>
        <w:t>nali</w:t>
      </w:r>
      <w:r>
        <w:rPr>
          <w:rStyle w:val="apple-converted-space"/>
          <w:rFonts w:ascii="Arial" w:hAnsi="Arial" w:cs="Arial"/>
          <w:shd w:val="clear" w:color="auto" w:fill="FFFFFF"/>
        </w:rPr>
        <w:t>ze</w:t>
      </w:r>
      <w:r w:rsidRPr="002D7BD1">
        <w:rPr>
          <w:rStyle w:val="apple-converted-space"/>
          <w:rFonts w:ascii="Arial" w:hAnsi="Arial" w:cs="Arial"/>
          <w:shd w:val="clear" w:color="auto" w:fill="FFFFFF"/>
        </w:rPr>
        <w:t xml:space="preserve"> for including </w:t>
      </w:r>
      <w:r w:rsidRPr="002D7BD1">
        <w:rPr>
          <w:rStyle w:val="apple-converted-space"/>
          <w:rFonts w:ascii="Arial" w:hAnsi="Arial" w:cs="Arial"/>
          <w:shd w:val="clear" w:color="auto" w:fill="FFFFFF"/>
        </w:rPr>
        <w:lastRenderedPageBreak/>
        <w:t>further predictors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>. The R ‘forestmodel’ package was used for visualizations of hazard ratios (HR) from the final CPH regression</w:t>
      </w:r>
      <w:r>
        <w:rPr>
          <w:rStyle w:val="apple-converted-space"/>
          <w:rFonts w:ascii="Arial" w:hAnsi="Arial" w:cs="Arial"/>
          <w:shd w:val="clear" w:color="auto" w:fill="FFFFFF"/>
        </w:rPr>
        <w:t>s</w:t>
      </w:r>
      <w:r w:rsidRPr="0067072E">
        <w:rPr>
          <w:rStyle w:val="apple-converted-space"/>
          <w:rFonts w:ascii="Arial" w:hAnsi="Arial" w:cs="Arial"/>
          <w:shd w:val="clear" w:color="auto" w:fill="FFFFFF"/>
        </w:rPr>
        <w:t>.</w:t>
      </w:r>
    </w:p>
    <w:p w14:paraId="313644E3" w14:textId="77777777" w:rsidR="002835E6" w:rsidRDefault="002835E6" w:rsidP="00B30866">
      <w:pPr>
        <w:pStyle w:val="Paragraph"/>
        <w:spacing w:line="480" w:lineRule="auto"/>
        <w:rPr>
          <w:rStyle w:val="apple-converted-space"/>
          <w:rFonts w:ascii="Arial" w:hAnsi="Arial" w:cs="Arial"/>
          <w:b/>
          <w:shd w:val="clear" w:color="auto" w:fill="FFFFFF"/>
        </w:rPr>
      </w:pPr>
    </w:p>
    <w:p w14:paraId="231A24B2" w14:textId="77777777" w:rsidR="00B30866" w:rsidRPr="000805E6" w:rsidRDefault="00B30866" w:rsidP="00B30866">
      <w:pPr>
        <w:pStyle w:val="Paragraph"/>
        <w:spacing w:line="480" w:lineRule="auto"/>
        <w:rPr>
          <w:rStyle w:val="apple-converted-space"/>
          <w:rFonts w:ascii="Arial" w:hAnsi="Arial" w:cs="Arial"/>
          <w:b/>
          <w:shd w:val="clear" w:color="auto" w:fill="FFFFFF"/>
        </w:rPr>
      </w:pPr>
      <w:r w:rsidRPr="000805E6">
        <w:rPr>
          <w:rStyle w:val="apple-converted-space"/>
          <w:rFonts w:ascii="Arial" w:hAnsi="Arial" w:cs="Arial"/>
          <w:b/>
          <w:shd w:val="clear" w:color="auto" w:fill="FFFFFF"/>
        </w:rPr>
        <w:t>Study Design</w:t>
      </w:r>
    </w:p>
    <w:p w14:paraId="231A24B4" w14:textId="77777777" w:rsidR="00B30866" w:rsidRDefault="00B30866" w:rsidP="00B30866">
      <w:pPr>
        <w:pStyle w:val="Paragraph"/>
        <w:spacing w:line="480" w:lineRule="auto"/>
        <w:rPr>
          <w:rFonts w:ascii="Arial" w:hAnsi="Arial" w:cs="Arial"/>
        </w:rPr>
      </w:pPr>
      <w:r w:rsidRPr="000805E6">
        <w:rPr>
          <w:rFonts w:ascii="Arial" w:hAnsi="Arial" w:cs="Arial"/>
        </w:rPr>
        <w:t>In brief, KEYNOTE-002 was a randomized, phase II study of pembrolizumab in subjects with advanced melanoma refractory to treatment with ipilimumab and BRAF and/or MEK inhibitor (if BRAF</w:t>
      </w:r>
      <w:r w:rsidRPr="000805E6">
        <w:rPr>
          <w:rFonts w:ascii="Arial" w:hAnsi="Arial" w:cs="Arial"/>
          <w:vertAlign w:val="superscript"/>
        </w:rPr>
        <w:t>V600E</w:t>
      </w:r>
      <w:r w:rsidRPr="000805E6">
        <w:rPr>
          <w:rFonts w:ascii="Arial" w:hAnsi="Arial" w:cs="Arial"/>
        </w:rPr>
        <w:t xml:space="preserve"> mutant). Patients were randomized 1:1:1 to blinded intravenous (IV) pembrolizumab at 2 or 10 mg/kg Q3W, or investigator-choice chemotherapy. KEYNOTE-010 was a multi-center, worldwide, randomized, Phase II/III trial of IV pembrolizumab at 2 or 10 mg/kg Q3W compared with docetaxel in subjects with NSCLC who had disease progression following a platinum-containing systemic therapy. Prior to randomization, subjects were stratified by Eastern Cooperative Oncology Group (ECOG) Performance Scale (0 versus 1), PD-L1 expression tumor proportion score (TPS) ≥50% and &lt;50%, and region (East Asia versus non-East Asia). Lastly, KEYNOTE-024 was a multi-center, international, randomized, open-label, controlled trial of pembrolizumab monotherapy versus Investigator choice of pre-specified platinum-based chemotherapies in subjects with Stage IV, PD-L1 TPS≥50% expressing NSCLC. This was the first NSCLC trial to evaluate the 200 mg Q3W fixed-dosage regimen of pembrolizumab. Randomization was stratified by ECOG, histology, and region.</w:t>
      </w:r>
    </w:p>
    <w:p w14:paraId="5A63EFAF" w14:textId="77777777" w:rsidR="00AC10B3" w:rsidRDefault="00AC10B3">
      <w:pPr>
        <w:rPr>
          <w:rStyle w:val="apple-converted-space"/>
          <w:rFonts w:ascii="Arial" w:eastAsia="MS Gothic" w:hAnsi="Arial" w:cs="Arial"/>
          <w:b/>
          <w:i/>
          <w:sz w:val="24"/>
          <w:szCs w:val="24"/>
          <w:shd w:val="clear" w:color="auto" w:fill="FFFFFF"/>
        </w:rPr>
      </w:pPr>
      <w:r>
        <w:rPr>
          <w:rStyle w:val="apple-converted-space"/>
          <w:rFonts w:ascii="Arial" w:hAnsi="Arial" w:cs="Arial"/>
          <w:b/>
          <w:i/>
          <w:shd w:val="clear" w:color="auto" w:fill="FFFFFF"/>
        </w:rPr>
        <w:br w:type="page"/>
      </w:r>
    </w:p>
    <w:p w14:paraId="3F6C83ED" w14:textId="77777777" w:rsidR="002E754E" w:rsidRPr="00F662A8" w:rsidRDefault="002E754E" w:rsidP="002E754E">
      <w:pPr>
        <w:pStyle w:val="Paragraph"/>
        <w:spacing w:line="480" w:lineRule="auto"/>
        <w:rPr>
          <w:rFonts w:ascii="Arial" w:hAnsi="Arial" w:cs="Arial"/>
          <w:b/>
          <w:shd w:val="clear" w:color="auto" w:fill="FFFFFF"/>
        </w:rPr>
      </w:pPr>
      <w:r w:rsidRPr="00F662A8">
        <w:rPr>
          <w:rFonts w:ascii="Arial" w:hAnsi="Arial" w:cs="Arial"/>
          <w:b/>
          <w:shd w:val="clear" w:color="auto" w:fill="FFFFFF"/>
        </w:rPr>
        <w:lastRenderedPageBreak/>
        <w:t xml:space="preserve">Pharmacokinetics Analysis </w:t>
      </w:r>
    </w:p>
    <w:p w14:paraId="410DE38E" w14:textId="6F17D2B2" w:rsidR="002E754E" w:rsidRPr="00FD1A17" w:rsidRDefault="002E754E" w:rsidP="002E754E">
      <w:pPr>
        <w:pStyle w:val="Paragraph"/>
        <w:spacing w:line="48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Cs/>
          <w:shd w:val="clear" w:color="auto" w:fill="FFFFFF"/>
          <w:lang w:val="en"/>
        </w:rPr>
        <w:t>A population pharmacokinetic (</w:t>
      </w:r>
      <w:r w:rsidRPr="00FD1A17">
        <w:rPr>
          <w:rFonts w:ascii="Arial" w:hAnsi="Arial" w:cs="Arial"/>
          <w:bCs/>
          <w:shd w:val="clear" w:color="auto" w:fill="FFFFFF"/>
          <w:lang w:val="en"/>
        </w:rPr>
        <w:t>PopPK</w:t>
      </w:r>
      <w:r>
        <w:rPr>
          <w:rFonts w:ascii="Arial" w:hAnsi="Arial" w:cs="Arial"/>
          <w:bCs/>
          <w:shd w:val="clear" w:color="auto" w:fill="FFFFFF"/>
          <w:lang w:val="en"/>
        </w:rPr>
        <w:t>)</w:t>
      </w:r>
      <w:r w:rsidRPr="00FD1A17">
        <w:rPr>
          <w:rFonts w:ascii="Arial" w:hAnsi="Arial" w:cs="Arial"/>
          <w:bCs/>
          <w:shd w:val="clear" w:color="auto" w:fill="FFFFFF"/>
          <w:lang w:val="en"/>
        </w:rPr>
        <w:t xml:space="preserve"> analysis was </w:t>
      </w:r>
      <w:r>
        <w:rPr>
          <w:rFonts w:ascii="Arial" w:hAnsi="Arial" w:cs="Arial"/>
          <w:bCs/>
          <w:shd w:val="clear" w:color="auto" w:fill="FFFFFF"/>
          <w:lang w:val="en"/>
        </w:rPr>
        <w:t xml:space="preserve">implemented using nonlinear mixed effects modeling (NONMEM) </w:t>
      </w:r>
      <w:r w:rsidRPr="00FD1A17">
        <w:rPr>
          <w:rFonts w:ascii="Arial" w:hAnsi="Arial" w:cs="Arial"/>
          <w:bCs/>
          <w:shd w:val="clear" w:color="auto" w:fill="FFFFFF"/>
          <w:lang w:val="en"/>
        </w:rPr>
        <w:t xml:space="preserve">to estimate PK parameters and exposures from observed </w:t>
      </w:r>
      <w:r>
        <w:rPr>
          <w:rFonts w:ascii="Arial" w:hAnsi="Arial" w:cs="Arial"/>
          <w:bCs/>
          <w:shd w:val="clear" w:color="auto" w:fill="FFFFFF"/>
          <w:lang w:val="en"/>
        </w:rPr>
        <w:t xml:space="preserve">pembrolizumab </w:t>
      </w:r>
      <w:r w:rsidRPr="00FD1A17">
        <w:rPr>
          <w:rFonts w:ascii="Arial" w:hAnsi="Arial" w:cs="Arial"/>
          <w:bCs/>
          <w:shd w:val="clear" w:color="auto" w:fill="FFFFFF"/>
          <w:lang w:val="en"/>
        </w:rPr>
        <w:t>concentration</w:t>
      </w:r>
      <w:r>
        <w:rPr>
          <w:rFonts w:ascii="Arial" w:hAnsi="Arial" w:cs="Arial"/>
          <w:bCs/>
          <w:shd w:val="clear" w:color="auto" w:fill="FFFFFF"/>
          <w:lang w:val="en"/>
        </w:rPr>
        <w:t>-time</w:t>
      </w:r>
      <w:r w:rsidRPr="00FD1A17">
        <w:rPr>
          <w:rFonts w:ascii="Arial" w:hAnsi="Arial" w:cs="Arial"/>
          <w:bCs/>
          <w:shd w:val="clear" w:color="auto" w:fill="FFFFFF"/>
          <w:lang w:val="en"/>
        </w:rPr>
        <w:t xml:space="preserve"> data. </w:t>
      </w:r>
      <w:r>
        <w:rPr>
          <w:rFonts w:ascii="Arial" w:hAnsi="Arial" w:cs="Arial"/>
          <w:bCs/>
          <w:shd w:val="clear" w:color="auto" w:fill="FFFFFF"/>
          <w:lang w:val="en"/>
        </w:rPr>
        <w:t xml:space="preserve">In general, </w:t>
      </w:r>
      <w:r w:rsidRPr="00FD1A17">
        <w:rPr>
          <w:rFonts w:ascii="Arial" w:hAnsi="Arial" w:cs="Arial"/>
          <w:bCs/>
          <w:shd w:val="clear" w:color="auto" w:fill="FFFFFF"/>
          <w:lang w:val="en"/>
        </w:rPr>
        <w:t xml:space="preserve">PopPK </w:t>
      </w:r>
      <w:r w:rsidRPr="00FD1A17">
        <w:rPr>
          <w:rFonts w:ascii="Arial" w:hAnsi="Arial" w:cs="Arial"/>
          <w:shd w:val="clear" w:color="auto" w:fill="FFFFFF"/>
        </w:rPr>
        <w:t xml:space="preserve">is a model-based approach to </w:t>
      </w:r>
      <w:r w:rsidRPr="00FD1A17">
        <w:rPr>
          <w:rFonts w:ascii="Arial" w:hAnsi="Arial" w:cs="Arial"/>
          <w:bCs/>
          <w:shd w:val="clear" w:color="auto" w:fill="FFFFFF"/>
          <w:lang w:val="en"/>
        </w:rPr>
        <w:t>describe the time course of drug exposure across individuals in a population by estimation of typical population-level PK values (e</w:t>
      </w:r>
      <w:r w:rsidR="002835E6">
        <w:rPr>
          <w:rFonts w:ascii="Arial" w:hAnsi="Arial" w:cs="Arial"/>
          <w:bCs/>
          <w:shd w:val="clear" w:color="auto" w:fill="FFFFFF"/>
          <w:lang w:val="en"/>
        </w:rPr>
        <w:t>.</w:t>
      </w:r>
      <w:r w:rsidRPr="00FD1A17">
        <w:rPr>
          <w:rFonts w:ascii="Arial" w:hAnsi="Arial" w:cs="Arial"/>
          <w:bCs/>
          <w:shd w:val="clear" w:color="auto" w:fill="FFFFFF"/>
          <w:lang w:val="en"/>
        </w:rPr>
        <w:t>g</w:t>
      </w:r>
      <w:r w:rsidR="002835E6">
        <w:rPr>
          <w:rFonts w:ascii="Arial" w:hAnsi="Arial" w:cs="Arial"/>
          <w:bCs/>
          <w:shd w:val="clear" w:color="auto" w:fill="FFFFFF"/>
          <w:lang w:val="en"/>
        </w:rPr>
        <w:t>.</w:t>
      </w:r>
      <w:r w:rsidRPr="00FD1A17">
        <w:rPr>
          <w:rFonts w:ascii="Arial" w:hAnsi="Arial" w:cs="Arial"/>
          <w:bCs/>
          <w:shd w:val="clear" w:color="auto" w:fill="FFFFFF"/>
          <w:lang w:val="en"/>
        </w:rPr>
        <w:t>, clearance, volume of distribution) and explicit terms to describe variability, including inter-subject variability.</w:t>
      </w:r>
      <w:r w:rsidRPr="00FD1A17">
        <w:rPr>
          <w:rFonts w:ascii="Arial" w:hAnsi="Arial" w:cs="Arial"/>
          <w:shd w:val="clear" w:color="auto" w:fill="FFFFFF"/>
        </w:rPr>
        <w:t xml:space="preserve">  </w:t>
      </w:r>
    </w:p>
    <w:p w14:paraId="4CDF8ADD" w14:textId="03EE265A" w:rsidR="002E754E" w:rsidRPr="00334F72" w:rsidRDefault="002E754E" w:rsidP="002E754E">
      <w:pPr>
        <w:pStyle w:val="Paragraph"/>
        <w:spacing w:line="480" w:lineRule="auto"/>
        <w:rPr>
          <w:rFonts w:ascii="Arial" w:hAnsi="Arial" w:cs="Arial"/>
          <w:shd w:val="clear" w:color="auto" w:fill="FFFFFF"/>
        </w:rPr>
      </w:pPr>
      <w:r w:rsidRPr="00FD1A17">
        <w:rPr>
          <w:rFonts w:ascii="Arial" w:hAnsi="Arial" w:cs="Arial"/>
          <w:shd w:val="clear" w:color="auto" w:fill="FFFFFF"/>
        </w:rPr>
        <w:t>A two-compartment pembrolizumab popPK model was used that was previously established based on data from KEYNOTE-001, -002, and -006</w:t>
      </w:r>
      <w:r w:rsidR="002D69B5">
        <w:rPr>
          <w:rFonts w:ascii="Arial" w:hAnsi="Arial" w:cs="Arial"/>
          <w:shd w:val="clear" w:color="auto" w:fill="FFFFFF"/>
        </w:rPr>
        <w:t>.</w:t>
      </w:r>
      <w:r w:rsidRPr="00FD1A17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This initial model used </w:t>
      </w:r>
      <w:r w:rsidRPr="00334F72">
        <w:rPr>
          <w:rFonts w:ascii="Arial" w:hAnsi="Arial" w:cs="Arial"/>
          <w:shd w:val="clear" w:color="auto" w:fill="FFFFFF"/>
        </w:rPr>
        <w:t>time-stationary (i.e., ‘‘static’’) CL</w:t>
      </w:r>
      <w:r>
        <w:rPr>
          <w:rFonts w:ascii="Arial" w:hAnsi="Arial" w:cs="Arial"/>
          <w:shd w:val="clear" w:color="auto" w:fill="FFFFFF"/>
        </w:rPr>
        <w:t xml:space="preserve">. A subsequent model was developed </w:t>
      </w:r>
      <w:r w:rsidRPr="00334F72">
        <w:rPr>
          <w:rFonts w:ascii="Arial" w:hAnsi="Arial" w:cs="Arial"/>
          <w:shd w:val="clear" w:color="auto" w:fill="FFFFFF"/>
        </w:rPr>
        <w:t>by incorporating time-dependent or time-varying CL of pembrolizumab</w:t>
      </w:r>
      <w:r>
        <w:rPr>
          <w:rFonts w:ascii="Arial" w:hAnsi="Arial" w:cs="Arial"/>
          <w:shd w:val="clear" w:color="auto" w:fill="FFFFFF"/>
        </w:rPr>
        <w:t>.</w:t>
      </w:r>
      <w:r w:rsidR="002D69B5" w:rsidRPr="002D69B5">
        <w:t xml:space="preserve"> </w:t>
      </w:r>
      <w:r w:rsidR="002D69B5" w:rsidRPr="002D69B5">
        <w:rPr>
          <w:rFonts w:ascii="Arial" w:hAnsi="Arial" w:cs="Arial"/>
          <w:shd w:val="clear" w:color="auto" w:fill="FFFFFF"/>
        </w:rPr>
        <w:t>In this model, CL was assumed to be a function of best overall response category per RECIST.</w:t>
      </w:r>
      <w:r>
        <w:rPr>
          <w:rFonts w:ascii="Arial" w:hAnsi="Arial" w:cs="Arial"/>
          <w:shd w:val="clear" w:color="auto" w:fill="FFFFFF"/>
        </w:rPr>
        <w:t xml:space="preserve"> </w:t>
      </w:r>
      <w:r w:rsidRPr="00334F72">
        <w:rPr>
          <w:rFonts w:ascii="Arial" w:hAnsi="Arial" w:cs="Arial"/>
          <w:shd w:val="clear" w:color="auto" w:fill="FFFFFF"/>
        </w:rPr>
        <w:t xml:space="preserve">The </w:t>
      </w:r>
      <w:r>
        <w:rPr>
          <w:rFonts w:ascii="Arial" w:hAnsi="Arial" w:cs="Arial"/>
          <w:shd w:val="clear" w:color="auto" w:fill="FFFFFF"/>
        </w:rPr>
        <w:t xml:space="preserve">general </w:t>
      </w:r>
      <w:r w:rsidRPr="00334F72">
        <w:rPr>
          <w:rFonts w:ascii="Arial" w:hAnsi="Arial" w:cs="Arial"/>
          <w:shd w:val="clear" w:color="auto" w:fill="FFFFFF"/>
        </w:rPr>
        <w:t xml:space="preserve">relationships between PK parameters (clearance </w:t>
      </w:r>
      <w:r w:rsidR="002835E6">
        <w:rPr>
          <w:rFonts w:ascii="Arial" w:hAnsi="Arial" w:cs="Arial"/>
          <w:shd w:val="clear" w:color="auto" w:fill="FFFFFF"/>
        </w:rPr>
        <w:t>[</w:t>
      </w:r>
      <w:r w:rsidRPr="00334F72">
        <w:rPr>
          <w:rFonts w:ascii="Arial" w:hAnsi="Arial" w:cs="Arial"/>
          <w:shd w:val="clear" w:color="auto" w:fill="FFFFFF"/>
        </w:rPr>
        <w:t>CL</w:t>
      </w:r>
      <w:r w:rsidR="002835E6">
        <w:rPr>
          <w:rFonts w:ascii="Arial" w:hAnsi="Arial" w:cs="Arial"/>
          <w:shd w:val="clear" w:color="auto" w:fill="FFFFFF"/>
        </w:rPr>
        <w:t>]</w:t>
      </w:r>
      <w:r w:rsidRPr="00334F72">
        <w:rPr>
          <w:rFonts w:ascii="Arial" w:hAnsi="Arial" w:cs="Arial"/>
          <w:shd w:val="clear" w:color="auto" w:fill="FFFFFF"/>
        </w:rPr>
        <w:t xml:space="preserve"> and volume of distribution </w:t>
      </w:r>
      <w:r w:rsidR="002835E6">
        <w:rPr>
          <w:rFonts w:ascii="Arial" w:hAnsi="Arial" w:cs="Arial"/>
          <w:shd w:val="clear" w:color="auto" w:fill="FFFFFF"/>
        </w:rPr>
        <w:t>[</w:t>
      </w:r>
      <w:r w:rsidRPr="00334F72">
        <w:rPr>
          <w:rFonts w:ascii="Arial" w:hAnsi="Arial" w:cs="Arial"/>
          <w:shd w:val="clear" w:color="auto" w:fill="FFFFFF"/>
        </w:rPr>
        <w:t>Vc</w:t>
      </w:r>
      <w:r w:rsidR="002835E6">
        <w:rPr>
          <w:rFonts w:ascii="Arial" w:hAnsi="Arial" w:cs="Arial"/>
          <w:shd w:val="clear" w:color="auto" w:fill="FFFFFF"/>
        </w:rPr>
        <w:t>]</w:t>
      </w:r>
      <w:r w:rsidRPr="00334F72">
        <w:rPr>
          <w:rFonts w:ascii="Arial" w:hAnsi="Arial" w:cs="Arial"/>
          <w:shd w:val="clear" w:color="auto" w:fill="FFFFFF"/>
        </w:rPr>
        <w:t>) and body weight were estimated by the incorporation of an allometric exponential relationship with bodyweight in the terms for these parameters:</w:t>
      </w:r>
    </w:p>
    <w:p w14:paraId="36DF16AE" w14:textId="77777777" w:rsidR="002E754E" w:rsidRPr="00334F72" w:rsidRDefault="002E754E" w:rsidP="002E754E">
      <w:pPr>
        <w:pStyle w:val="Paragraph"/>
        <w:spacing w:line="480" w:lineRule="auto"/>
        <w:rPr>
          <w:rFonts w:ascii="Arial" w:hAnsi="Arial" w:cs="Arial"/>
          <w:bCs/>
          <w:shd w:val="clear" w:color="auto" w:fill="FFFFFF"/>
        </w:rPr>
      </w:pPr>
      <w:r w:rsidRPr="00570CF2">
        <w:rPr>
          <w:rFonts w:ascii="Arial" w:hAnsi="Arial" w:cs="Arial"/>
          <w:bCs/>
          <w:shd w:val="clear" w:color="auto" w:fill="FFFFFF"/>
        </w:rPr>
        <w:object w:dxaOrig="3500" w:dyaOrig="800" w14:anchorId="4490A7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65pt;height:27.95pt" o:ole="">
            <v:imagedata r:id="rId9" o:title=""/>
          </v:shape>
          <o:OLEObject Type="Embed" ProgID="Equation.3" ShapeID="_x0000_i1025" DrawAspect="Content" ObjectID="_1585033556" r:id="rId10"/>
        </w:object>
      </w:r>
      <w:r w:rsidRPr="00334F72">
        <w:rPr>
          <w:rFonts w:ascii="Arial" w:hAnsi="Arial" w:cs="Arial"/>
          <w:bCs/>
          <w:shd w:val="clear" w:color="auto" w:fill="FFFFFF"/>
        </w:rPr>
        <w:t xml:space="preserve">                                                          Equation 1 </w:t>
      </w:r>
    </w:p>
    <w:p w14:paraId="2775D53F" w14:textId="77777777" w:rsidR="002E754E" w:rsidRPr="00334F72" w:rsidRDefault="002E754E" w:rsidP="002E754E">
      <w:pPr>
        <w:pStyle w:val="Paragraph"/>
        <w:spacing w:line="480" w:lineRule="auto"/>
        <w:rPr>
          <w:rFonts w:ascii="Arial" w:hAnsi="Arial" w:cs="Arial"/>
          <w:bCs/>
          <w:shd w:val="clear" w:color="auto" w:fill="FFFFFF"/>
        </w:rPr>
      </w:pPr>
      <w:r w:rsidRPr="00570CF2">
        <w:rPr>
          <w:rFonts w:ascii="Arial" w:hAnsi="Arial" w:cs="Arial"/>
          <w:bCs/>
          <w:shd w:val="clear" w:color="auto" w:fill="FFFFFF"/>
        </w:rPr>
        <w:object w:dxaOrig="3379" w:dyaOrig="800" w14:anchorId="7C68114C">
          <v:shape id="_x0000_i1026" type="#_x0000_t75" style="width:119.45pt;height:27.95pt" o:ole="">
            <v:imagedata r:id="rId11" o:title=""/>
          </v:shape>
          <o:OLEObject Type="Embed" ProgID="Equation.3" ShapeID="_x0000_i1026" DrawAspect="Content" ObjectID="_1585033557" r:id="rId12"/>
        </w:object>
      </w:r>
      <w:r w:rsidRPr="00334F72">
        <w:rPr>
          <w:rFonts w:ascii="Arial" w:hAnsi="Arial" w:cs="Arial"/>
          <w:bCs/>
          <w:shd w:val="clear" w:color="auto" w:fill="FFFFFF"/>
        </w:rPr>
        <w:t xml:space="preserve">                                                            Equation 2 </w:t>
      </w:r>
    </w:p>
    <w:p w14:paraId="6E82A907" w14:textId="5A980F41" w:rsidR="002E754E" w:rsidRDefault="002E754E" w:rsidP="002E754E">
      <w:pPr>
        <w:pStyle w:val="Paragraph"/>
        <w:spacing w:line="480" w:lineRule="auto"/>
        <w:rPr>
          <w:rFonts w:ascii="Arial" w:hAnsi="Arial" w:cs="Arial"/>
          <w:bCs/>
          <w:shd w:val="clear" w:color="auto" w:fill="FFFFFF"/>
        </w:rPr>
      </w:pPr>
      <w:r w:rsidRPr="00334F72">
        <w:rPr>
          <w:rFonts w:ascii="Arial" w:hAnsi="Arial" w:cs="Arial"/>
          <w:shd w:val="clear" w:color="auto" w:fill="FFFFFF"/>
        </w:rPr>
        <w:t>where X</w:t>
      </w:r>
      <w:r w:rsidRPr="00334F72">
        <w:rPr>
          <w:rFonts w:ascii="Arial" w:hAnsi="Arial" w:cs="Arial"/>
          <w:shd w:val="clear" w:color="auto" w:fill="FFFFFF"/>
          <w:vertAlign w:val="subscript"/>
        </w:rPr>
        <w:t>TV</w:t>
      </w:r>
      <w:r w:rsidRPr="00334F72">
        <w:rPr>
          <w:rFonts w:ascii="Arial" w:hAnsi="Arial" w:cs="Arial"/>
          <w:shd w:val="clear" w:color="auto" w:fill="FFFFFF"/>
        </w:rPr>
        <w:t xml:space="preserve"> is the typical value of the pharmacokinetic parameter X, and α-X is the allometric exponent describing the association with WT (individual body weight) normalized by </w:t>
      </w:r>
      <w:r>
        <w:rPr>
          <w:rFonts w:ascii="Arial" w:hAnsi="Arial" w:cs="Arial"/>
          <w:shd w:val="clear" w:color="auto" w:fill="FFFFFF"/>
        </w:rPr>
        <w:t>M</w:t>
      </w:r>
      <w:r w:rsidRPr="00334F72">
        <w:rPr>
          <w:rFonts w:ascii="Arial" w:hAnsi="Arial" w:cs="Arial"/>
          <w:shd w:val="clear" w:color="auto" w:fill="FFFFFF"/>
        </w:rPr>
        <w:t>edian</w:t>
      </w:r>
      <w:r>
        <w:rPr>
          <w:rFonts w:ascii="Arial" w:hAnsi="Arial" w:cs="Arial"/>
          <w:shd w:val="clear" w:color="auto" w:fill="FFFFFF"/>
        </w:rPr>
        <w:t xml:space="preserve"> </w:t>
      </w:r>
      <w:r w:rsidRPr="00334F72">
        <w:rPr>
          <w:rFonts w:ascii="Arial" w:hAnsi="Arial" w:cs="Arial"/>
          <w:shd w:val="clear" w:color="auto" w:fill="FFFFFF"/>
        </w:rPr>
        <w:t>WT. The terms e</w:t>
      </w:r>
      <w:r w:rsidRPr="00334F72">
        <w:rPr>
          <w:rFonts w:ascii="Arial" w:hAnsi="Arial" w:cs="Arial"/>
          <w:shd w:val="clear" w:color="auto" w:fill="FFFFFF"/>
          <w:vertAlign w:val="superscript"/>
        </w:rPr>
        <w:t>η</w:t>
      </w:r>
      <w:r w:rsidRPr="00334F72">
        <w:rPr>
          <w:rFonts w:ascii="Arial" w:hAnsi="Arial" w:cs="Arial"/>
          <w:shd w:val="clear" w:color="auto" w:fill="FFFFFF"/>
        </w:rPr>
        <w:t xml:space="preserve"> described further inter-individual variation in </w:t>
      </w:r>
      <w:r w:rsidRPr="00334F72">
        <w:rPr>
          <w:rFonts w:ascii="Arial" w:hAnsi="Arial" w:cs="Arial"/>
          <w:shd w:val="clear" w:color="auto" w:fill="FFFFFF"/>
        </w:rPr>
        <w:lastRenderedPageBreak/>
        <w:t>these PK parameters beyond that accounted for by WT. Two additional parameters (Q and V</w:t>
      </w:r>
      <w:r w:rsidRPr="00334F72">
        <w:rPr>
          <w:rFonts w:ascii="Arial" w:hAnsi="Arial" w:cs="Arial"/>
          <w:shd w:val="clear" w:color="auto" w:fill="FFFFFF"/>
          <w:vertAlign w:val="subscript"/>
        </w:rPr>
        <w:t>P</w:t>
      </w:r>
      <w:r w:rsidRPr="00334F72">
        <w:rPr>
          <w:rFonts w:ascii="Arial" w:hAnsi="Arial" w:cs="Arial"/>
          <w:shd w:val="clear" w:color="auto" w:fill="FFFFFF"/>
        </w:rPr>
        <w:t xml:space="preserve">) described the distribution behavior of pembrolizumab and were also adjusted for WT, using the same values for the exponents as for CL and Vc, respectively.  Covariate terms </w:t>
      </w:r>
      <w:r>
        <w:rPr>
          <w:rFonts w:ascii="Arial" w:hAnsi="Arial" w:cs="Arial"/>
          <w:shd w:val="clear" w:color="auto" w:fill="FFFFFF"/>
        </w:rPr>
        <w:t>that helped explain between-subject variability in PK parameters</w:t>
      </w:r>
      <w:r w:rsidRPr="00FD1A17">
        <w:rPr>
          <w:rFonts w:ascii="Arial" w:hAnsi="Arial" w:cs="Arial"/>
          <w:shd w:val="clear" w:color="auto" w:fill="FFFFFF"/>
        </w:rPr>
        <w:t xml:space="preserve"> were retained in the popPK model</w:t>
      </w:r>
      <w:r w:rsidR="00EF268B">
        <w:rPr>
          <w:rFonts w:ascii="Arial" w:hAnsi="Arial" w:cs="Arial"/>
          <w:shd w:val="clear" w:color="auto" w:fill="FFFFFF"/>
        </w:rPr>
        <w:t>.</w:t>
      </w:r>
      <w:r w:rsidRPr="00FD1A17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These patient-specific factors </w:t>
      </w:r>
      <w:r w:rsidRPr="00FD1A17">
        <w:rPr>
          <w:rFonts w:ascii="Arial" w:hAnsi="Arial" w:cs="Arial"/>
          <w:shd w:val="clear" w:color="auto" w:fill="FFFFFF"/>
        </w:rPr>
        <w:t xml:space="preserve">included </w:t>
      </w:r>
      <w:r>
        <w:rPr>
          <w:rFonts w:ascii="Arial" w:hAnsi="Arial" w:cs="Arial"/>
          <w:bCs/>
          <w:shd w:val="clear" w:color="auto" w:fill="FFFFFF"/>
        </w:rPr>
        <w:t>gender</w:t>
      </w:r>
      <w:r w:rsidRPr="00FD1A17">
        <w:rPr>
          <w:rFonts w:ascii="Arial" w:hAnsi="Arial" w:cs="Arial"/>
          <w:bCs/>
          <w:shd w:val="clear" w:color="auto" w:fill="FFFFFF"/>
        </w:rPr>
        <w:t>, baseline estimated glomerular filtration rate (eGFR), baseline alb</w:t>
      </w:r>
      <w:bookmarkStart w:id="0" w:name="_GoBack"/>
      <w:bookmarkEnd w:id="0"/>
      <w:r w:rsidRPr="00FD1A17">
        <w:rPr>
          <w:rFonts w:ascii="Arial" w:hAnsi="Arial" w:cs="Arial"/>
          <w:bCs/>
          <w:shd w:val="clear" w:color="auto" w:fill="FFFFFF"/>
        </w:rPr>
        <w:t xml:space="preserve">umin, prior treatment with ipilimumab, cancer type, baseline Eastern Cooperative Oncology Group </w:t>
      </w:r>
      <w:r w:rsidR="002835E6">
        <w:rPr>
          <w:rFonts w:ascii="Arial" w:hAnsi="Arial" w:cs="Arial"/>
          <w:bCs/>
          <w:shd w:val="clear" w:color="auto" w:fill="FFFFFF"/>
        </w:rPr>
        <w:t>(</w:t>
      </w:r>
      <w:r w:rsidRPr="00FD1A17">
        <w:rPr>
          <w:rFonts w:ascii="Arial" w:hAnsi="Arial" w:cs="Arial"/>
          <w:bCs/>
          <w:shd w:val="clear" w:color="auto" w:fill="FFFFFF"/>
        </w:rPr>
        <w:t>ECOG</w:t>
      </w:r>
      <w:r w:rsidR="002835E6">
        <w:rPr>
          <w:rFonts w:ascii="Arial" w:hAnsi="Arial" w:cs="Arial"/>
          <w:bCs/>
          <w:shd w:val="clear" w:color="auto" w:fill="FFFFFF"/>
        </w:rPr>
        <w:t>)</w:t>
      </w:r>
      <w:r w:rsidRPr="00FD1A17">
        <w:rPr>
          <w:rFonts w:ascii="Arial" w:hAnsi="Arial" w:cs="Arial"/>
          <w:bCs/>
          <w:shd w:val="clear" w:color="auto" w:fill="FFFFFF"/>
        </w:rPr>
        <w:t xml:space="preserve"> performance status, and baseline tumor burden </w:t>
      </w:r>
      <w:r w:rsidR="002835E6">
        <w:rPr>
          <w:rFonts w:ascii="Arial" w:hAnsi="Arial" w:cs="Arial"/>
          <w:bCs/>
          <w:shd w:val="clear" w:color="auto" w:fill="FFFFFF"/>
        </w:rPr>
        <w:t>(</w:t>
      </w:r>
      <w:r w:rsidRPr="00FD1A17">
        <w:rPr>
          <w:rFonts w:ascii="Arial" w:hAnsi="Arial" w:cs="Arial"/>
          <w:bCs/>
          <w:shd w:val="clear" w:color="auto" w:fill="FFFFFF"/>
        </w:rPr>
        <w:t>sum of longest dimensions of target lesions</w:t>
      </w:r>
      <w:r w:rsidR="002835E6">
        <w:rPr>
          <w:rFonts w:ascii="Arial" w:hAnsi="Arial" w:cs="Arial"/>
          <w:bCs/>
          <w:shd w:val="clear" w:color="auto" w:fill="FFFFFF"/>
        </w:rPr>
        <w:t>)</w:t>
      </w:r>
      <w:r w:rsidRPr="00FD1A17">
        <w:rPr>
          <w:rFonts w:ascii="Arial" w:hAnsi="Arial" w:cs="Arial"/>
          <w:bCs/>
          <w:shd w:val="clear" w:color="auto" w:fill="FFFFFF"/>
        </w:rPr>
        <w:t>.</w:t>
      </w:r>
    </w:p>
    <w:p w14:paraId="60769EEF" w14:textId="73B09653" w:rsidR="002E754E" w:rsidRPr="00F662A8" w:rsidRDefault="002E754E" w:rsidP="002E754E">
      <w:pPr>
        <w:pStyle w:val="Paragraph"/>
        <w:spacing w:line="480" w:lineRule="auto"/>
        <w:rPr>
          <w:rStyle w:val="apple-converted-space"/>
          <w:rFonts w:ascii="Arial" w:hAnsi="Arial" w:cs="Arial"/>
          <w:shd w:val="clear" w:color="auto" w:fill="FFFFFF"/>
        </w:rPr>
      </w:pPr>
      <w:r w:rsidRPr="00FD1A17">
        <w:rPr>
          <w:rFonts w:ascii="Arial" w:hAnsi="Arial" w:cs="Arial"/>
          <w:shd w:val="clear" w:color="auto" w:fill="FFFFFF"/>
        </w:rPr>
        <w:t xml:space="preserve">The popPK model was </w:t>
      </w:r>
      <w:r>
        <w:rPr>
          <w:rFonts w:ascii="Arial" w:hAnsi="Arial" w:cs="Arial"/>
          <w:shd w:val="clear" w:color="auto" w:fill="FFFFFF"/>
        </w:rPr>
        <w:t>estimated to</w:t>
      </w:r>
      <w:r w:rsidRPr="00FD1A17">
        <w:rPr>
          <w:rFonts w:ascii="Arial" w:hAnsi="Arial" w:cs="Arial"/>
          <w:shd w:val="clear" w:color="auto" w:fill="FFFFFF"/>
        </w:rPr>
        <w:t xml:space="preserve"> obtain individual post hoc PK parameter estimates from which individual </w:t>
      </w:r>
      <w:r>
        <w:rPr>
          <w:rFonts w:ascii="Arial" w:hAnsi="Arial" w:cs="Arial"/>
          <w:shd w:val="clear" w:color="auto" w:fill="FFFFFF"/>
        </w:rPr>
        <w:t xml:space="preserve">per-subject </w:t>
      </w:r>
      <w:r w:rsidRPr="00FD1A17">
        <w:rPr>
          <w:rFonts w:ascii="Arial" w:hAnsi="Arial" w:cs="Arial"/>
          <w:shd w:val="clear" w:color="auto" w:fill="FFFFFF"/>
        </w:rPr>
        <w:t xml:space="preserve">PK values </w:t>
      </w:r>
      <w:r w:rsidRPr="00334F72">
        <w:rPr>
          <w:rFonts w:ascii="Arial" w:hAnsi="Arial" w:cs="Arial"/>
          <w:shd w:val="clear" w:color="auto" w:fill="FFFFFF"/>
        </w:rPr>
        <w:t>were derived for AUC (</w:t>
      </w:r>
      <w:r w:rsidRPr="00334F72">
        <w:rPr>
          <w:rFonts w:ascii="Arial" w:hAnsi="Arial" w:cs="Arial"/>
          <w:shd w:val="clear" w:color="auto" w:fill="FFFFFF"/>
          <w:lang w:val="en"/>
        </w:rPr>
        <w:t xml:space="preserve">the </w:t>
      </w:r>
      <w:r w:rsidRPr="00334F72">
        <w:rPr>
          <w:rFonts w:ascii="Arial" w:hAnsi="Arial" w:cs="Arial"/>
          <w:bCs/>
          <w:shd w:val="clear" w:color="auto" w:fill="FFFFFF"/>
          <w:lang w:val="en"/>
        </w:rPr>
        <w:t>area</w:t>
      </w:r>
      <w:r w:rsidRPr="00334F72">
        <w:rPr>
          <w:rFonts w:ascii="Arial" w:hAnsi="Arial" w:cs="Arial"/>
          <w:shd w:val="clear" w:color="auto" w:fill="FFFFFF"/>
          <w:lang w:val="en"/>
        </w:rPr>
        <w:t xml:space="preserve"> under the curve) </w:t>
      </w:r>
      <w:r>
        <w:rPr>
          <w:rFonts w:ascii="Arial" w:hAnsi="Arial" w:cs="Arial"/>
          <w:shd w:val="clear" w:color="auto" w:fill="FFFFFF"/>
        </w:rPr>
        <w:t>as</w:t>
      </w:r>
      <w:r w:rsidRPr="00334F72">
        <w:rPr>
          <w:rFonts w:ascii="Arial" w:hAnsi="Arial" w:cs="Arial"/>
          <w:shd w:val="clear" w:color="auto" w:fill="FFFFFF"/>
        </w:rPr>
        <w:t xml:space="preserve">: </w:t>
      </w:r>
      <w:r w:rsidRPr="002E754E">
        <w:rPr>
          <w:rFonts w:ascii="Arial" w:hAnsi="Arial" w:cs="Arial"/>
          <w:shd w:val="clear" w:color="auto" w:fill="FFFFFF"/>
        </w:rPr>
        <w:t>(AUC</w:t>
      </w:r>
      <w:r w:rsidRPr="00F662A8">
        <w:rPr>
          <w:rFonts w:ascii="Arial" w:hAnsi="Arial" w:cs="Arial"/>
          <w:shd w:val="clear" w:color="auto" w:fill="FFFFFF"/>
          <w:vertAlign w:val="subscript"/>
        </w:rPr>
        <w:t xml:space="preserve">6weeks,CL0 </w:t>
      </w:r>
      <w:r w:rsidRPr="002E754E">
        <w:rPr>
          <w:rFonts w:ascii="Arial" w:hAnsi="Arial" w:cs="Arial"/>
          <w:shd w:val="clear" w:color="auto" w:fill="FFFFFF"/>
        </w:rPr>
        <w:t>= Dose/CL</w:t>
      </w:r>
      <w:r w:rsidRPr="00F662A8">
        <w:rPr>
          <w:rFonts w:ascii="Arial" w:hAnsi="Arial" w:cs="Arial"/>
          <w:shd w:val="clear" w:color="auto" w:fill="FFFFFF"/>
          <w:vertAlign w:val="subscript"/>
        </w:rPr>
        <w:t>0</w:t>
      </w:r>
      <w:r w:rsidRPr="002E754E">
        <w:rPr>
          <w:rFonts w:ascii="Arial" w:hAnsi="Arial" w:cs="Arial"/>
          <w:shd w:val="clear" w:color="auto" w:fill="FFFFFF"/>
        </w:rPr>
        <w:t xml:space="preserve"> * [6/dosing frequency in weeks])</w:t>
      </w:r>
      <w:r>
        <w:rPr>
          <w:rFonts w:ascii="Arial" w:hAnsi="Arial" w:cs="Arial"/>
          <w:shd w:val="clear" w:color="auto" w:fill="FFFFFF"/>
        </w:rPr>
        <w:t>. Because in this model CL varies over time within an individual subject, the model-estimated starting parameter value of CL (CL</w:t>
      </w:r>
      <w:r w:rsidRPr="008D13E5">
        <w:rPr>
          <w:rFonts w:ascii="Arial" w:hAnsi="Arial" w:cs="Arial"/>
          <w:shd w:val="clear" w:color="auto" w:fill="FFFFFF"/>
          <w:vertAlign w:val="subscript"/>
        </w:rPr>
        <w:t>0</w:t>
      </w:r>
      <w:r>
        <w:rPr>
          <w:rFonts w:ascii="Arial" w:hAnsi="Arial" w:cs="Arial"/>
          <w:shd w:val="clear" w:color="auto" w:fill="FFFFFF"/>
        </w:rPr>
        <w:t xml:space="preserve">) was used to derive exposure estimates. Generally, </w:t>
      </w:r>
      <w:r>
        <w:rPr>
          <w:rStyle w:val="apple-converted-space"/>
          <w:rFonts w:ascii="Arial" w:hAnsi="Arial" w:cs="Arial"/>
          <w:shd w:val="clear" w:color="auto" w:fill="FFFFFF"/>
        </w:rPr>
        <w:t>a</w:t>
      </w:r>
      <w:r w:rsidRPr="00D55099">
        <w:rPr>
          <w:rStyle w:val="apple-converted-space"/>
          <w:rFonts w:ascii="Arial" w:hAnsi="Arial" w:cs="Arial"/>
          <w:shd w:val="clear" w:color="auto" w:fill="FFFFFF"/>
        </w:rPr>
        <w:t xml:space="preserve">ll patients were sampled such that the extent of shrinkage for </w:t>
      </w:r>
      <w:r>
        <w:rPr>
          <w:rStyle w:val="apple-converted-space"/>
          <w:rFonts w:ascii="Arial" w:hAnsi="Arial" w:cs="Arial"/>
          <w:shd w:val="clear" w:color="auto" w:fill="FFFFFF"/>
        </w:rPr>
        <w:t>the inter-individual variability (</w:t>
      </w:r>
      <w:r w:rsidRPr="00D55099">
        <w:rPr>
          <w:rStyle w:val="apple-converted-space"/>
          <w:rFonts w:ascii="Arial" w:hAnsi="Arial" w:cs="Arial"/>
          <w:shd w:val="clear" w:color="auto" w:fill="FFFFFF"/>
        </w:rPr>
        <w:t>IIV</w:t>
      </w:r>
      <w:r>
        <w:rPr>
          <w:rStyle w:val="apple-converted-space"/>
          <w:rFonts w:ascii="Arial" w:hAnsi="Arial" w:cs="Arial"/>
          <w:shd w:val="clear" w:color="auto" w:fill="FFFFFF"/>
        </w:rPr>
        <w:t>)</w:t>
      </w:r>
      <w:r w:rsidRPr="00D55099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shd w:val="clear" w:color="auto" w:fill="FFFFFF"/>
        </w:rPr>
        <w:t xml:space="preserve">term </w:t>
      </w:r>
      <w:r w:rsidRPr="00D55099">
        <w:rPr>
          <w:rStyle w:val="apple-converted-space"/>
          <w:rFonts w:ascii="Arial" w:hAnsi="Arial" w:cs="Arial"/>
          <w:shd w:val="clear" w:color="auto" w:fill="FFFFFF"/>
        </w:rPr>
        <w:t>on CL in the final model was &lt;15%, indicating that post hoc PK parameter estimates are reliable for subsequent exposure-response assessments.</w:t>
      </w:r>
      <w:r>
        <w:rPr>
          <w:rStyle w:val="apple-converted-space"/>
          <w:rFonts w:ascii="Arial" w:hAnsi="Arial" w:cs="Arial"/>
          <w:shd w:val="clear" w:color="auto" w:fill="FFFFFF"/>
        </w:rPr>
        <w:t xml:space="preserve">  Protocol-specific details on PK collection times are provided in Supplemental Table S4.</w:t>
      </w:r>
    </w:p>
    <w:p w14:paraId="41BC0E44" w14:textId="77777777" w:rsidR="002E754E" w:rsidRDefault="002E754E" w:rsidP="002E754E">
      <w:pPr>
        <w:pStyle w:val="Paragraph"/>
        <w:spacing w:line="480" w:lineRule="auto"/>
        <w:rPr>
          <w:rStyle w:val="apple-converted-space"/>
          <w:rFonts w:ascii="Arial" w:hAnsi="Arial" w:cs="Arial"/>
          <w:shd w:val="clear" w:color="auto" w:fill="FFFFFF"/>
        </w:rPr>
      </w:pPr>
    </w:p>
    <w:p w14:paraId="56D07294" w14:textId="77777777" w:rsidR="00FD1A17" w:rsidRPr="00F662A8" w:rsidRDefault="00FD1A17" w:rsidP="00334F72">
      <w:pPr>
        <w:pStyle w:val="Paragraph"/>
        <w:spacing w:line="480" w:lineRule="auto"/>
        <w:rPr>
          <w:rStyle w:val="apple-converted-space"/>
          <w:rFonts w:ascii="Arial" w:hAnsi="Arial" w:cs="Arial"/>
          <w:shd w:val="clear" w:color="auto" w:fill="FFFFFF"/>
        </w:rPr>
      </w:pPr>
    </w:p>
    <w:p w14:paraId="231A24B5" w14:textId="77777777" w:rsidR="00E84794" w:rsidRDefault="00E84794" w:rsidP="00F662A8">
      <w:pPr>
        <w:spacing w:line="480" w:lineRule="auto"/>
        <w:rPr>
          <w:rStyle w:val="apple-converted-space"/>
          <w:rFonts w:ascii="Arial" w:eastAsia="MS Gothic" w:hAnsi="Arial" w:cs="Arial"/>
          <w:sz w:val="24"/>
          <w:szCs w:val="24"/>
          <w:shd w:val="clear" w:color="auto" w:fill="FFFFFF"/>
        </w:rPr>
      </w:pPr>
      <w:r>
        <w:rPr>
          <w:rStyle w:val="apple-converted-space"/>
          <w:rFonts w:ascii="Arial" w:hAnsi="Arial" w:cs="Arial"/>
          <w:shd w:val="clear" w:color="auto" w:fill="FFFFFF"/>
        </w:rPr>
        <w:br w:type="page"/>
      </w:r>
    </w:p>
    <w:p w14:paraId="5375FD99" w14:textId="77777777" w:rsidR="00E1175C" w:rsidRDefault="00E1175C" w:rsidP="00583107">
      <w:pPr>
        <w:spacing w:after="0" w:line="480" w:lineRule="auto"/>
        <w:rPr>
          <w:rFonts w:ascii="Arial" w:hAnsi="Arial" w:cs="Arial"/>
          <w:b/>
          <w:sz w:val="24"/>
          <w:szCs w:val="24"/>
        </w:rPr>
        <w:sectPr w:rsidR="00E1175C" w:rsidSect="00E1175C">
          <w:footerReference w:type="default" r:id="rId13"/>
          <w:pgSz w:w="12240" w:h="15840"/>
          <w:pgMar w:top="1440" w:right="1440" w:bottom="1440" w:left="1440" w:header="720" w:footer="288" w:gutter="0"/>
          <w:cols w:space="720"/>
          <w:docGrid w:linePitch="360"/>
        </w:sectPr>
      </w:pPr>
    </w:p>
    <w:p w14:paraId="231A24BA" w14:textId="7241EFC5" w:rsidR="00491F2A" w:rsidRPr="00583107" w:rsidRDefault="003C5958" w:rsidP="00583107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="00491F2A" w:rsidRPr="00583107">
        <w:rPr>
          <w:rFonts w:ascii="Arial" w:hAnsi="Arial" w:cs="Arial"/>
          <w:b/>
          <w:sz w:val="24"/>
          <w:szCs w:val="24"/>
        </w:rPr>
        <w:t>Figure</w:t>
      </w:r>
      <w:r w:rsidR="000805E6">
        <w:rPr>
          <w:rFonts w:ascii="Arial" w:hAnsi="Arial" w:cs="Arial"/>
          <w:b/>
          <w:sz w:val="24"/>
          <w:szCs w:val="24"/>
        </w:rPr>
        <w:t>s</w:t>
      </w:r>
    </w:p>
    <w:p w14:paraId="231A24BB" w14:textId="02E6C0CA" w:rsidR="007C2CED" w:rsidRDefault="003C5958" w:rsidP="00491F2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 S</w:t>
      </w:r>
      <w:r w:rsidR="0054363B" w:rsidRPr="00583107">
        <w:rPr>
          <w:rFonts w:ascii="Arial" w:hAnsi="Arial" w:cs="Arial"/>
          <w:b/>
          <w:sz w:val="24"/>
          <w:szCs w:val="24"/>
        </w:rPr>
        <w:t xml:space="preserve">1. </w:t>
      </w:r>
      <w:r w:rsidR="0054363B" w:rsidRPr="00583107">
        <w:rPr>
          <w:rFonts w:ascii="Arial" w:hAnsi="Arial" w:cs="Arial"/>
          <w:sz w:val="24"/>
          <w:szCs w:val="24"/>
        </w:rPr>
        <w:t>Kaplan-Meier plots of overall survival, stratified by pembrolizumab dose, demonstrate similarity of efficacy across a 5-fold dose range (2 to 10 mg/kg Q3W) in A) advanced ipilimumab-refractory melanoma, KEYNOTE-002 (</w:t>
      </w:r>
      <w:r w:rsidR="00C808B4" w:rsidRPr="00583107">
        <w:rPr>
          <w:rFonts w:ascii="Arial" w:hAnsi="Arial" w:cs="Arial"/>
          <w:sz w:val="24"/>
          <w:szCs w:val="24"/>
        </w:rPr>
        <w:t>Cox HR 0.98; 95% CI 0.94–1.02</w:t>
      </w:r>
      <w:r w:rsidR="0054363B" w:rsidRPr="00583107">
        <w:rPr>
          <w:rFonts w:ascii="Arial" w:hAnsi="Arial" w:cs="Arial"/>
          <w:sz w:val="24"/>
          <w:szCs w:val="24"/>
        </w:rPr>
        <w:t>) and B) advanced, previously-treated PD-L1 positive NSCLC, KEYNOTE-010 (</w:t>
      </w:r>
      <w:r w:rsidR="00C808B4" w:rsidRPr="00583107">
        <w:rPr>
          <w:rFonts w:ascii="Arial" w:hAnsi="Arial" w:cs="Arial"/>
          <w:sz w:val="24"/>
          <w:szCs w:val="24"/>
        </w:rPr>
        <w:t>Cox HR 0.98; 95%CI 0.95–1.01</w:t>
      </w:r>
      <w:r w:rsidR="0054363B" w:rsidRPr="00583107">
        <w:rPr>
          <w:rFonts w:ascii="Arial" w:hAnsi="Arial" w:cs="Arial"/>
          <w:sz w:val="24"/>
          <w:szCs w:val="24"/>
        </w:rPr>
        <w:t>).</w:t>
      </w:r>
      <w:r w:rsidR="00931AAB" w:rsidRPr="00583107">
        <w:rPr>
          <w:rFonts w:ascii="Arial" w:hAnsi="Arial" w:cs="Arial"/>
          <w:sz w:val="24"/>
          <w:szCs w:val="24"/>
        </w:rPr>
        <w:t xml:space="preserve"> </w:t>
      </w:r>
      <w:r w:rsidR="008B11AC" w:rsidRPr="00583107">
        <w:rPr>
          <w:rFonts w:ascii="Arial" w:hAnsi="Arial" w:cs="Arial"/>
          <w:sz w:val="24"/>
          <w:szCs w:val="24"/>
        </w:rPr>
        <w:t xml:space="preserve">Subjects with at least one available PK measurement were included. </w:t>
      </w:r>
    </w:p>
    <w:p w14:paraId="32B3523F" w14:textId="62AA485A" w:rsidR="007B2D4B" w:rsidRDefault="007B2D4B" w:rsidP="00491F2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A69B9B" wp14:editId="3CE88905">
            <wp:extent cx="5809488" cy="2822448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kchri_196088-0001-JCO_Figures_Turner_v1.02_Supp Figure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24BC" w14:textId="70EB7CB8" w:rsidR="0084192B" w:rsidRPr="00583107" w:rsidRDefault="0084192B" w:rsidP="00491F2A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31A24BD" w14:textId="77777777" w:rsidR="00E84794" w:rsidRDefault="00E847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31A24BE" w14:textId="09FC6A03" w:rsidR="006055FF" w:rsidRDefault="003C5958" w:rsidP="006055FF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 S</w:t>
      </w:r>
      <w:r w:rsidR="006055FF">
        <w:rPr>
          <w:rFonts w:ascii="Arial" w:hAnsi="Arial" w:cs="Arial"/>
          <w:b/>
          <w:sz w:val="24"/>
          <w:szCs w:val="24"/>
        </w:rPr>
        <w:t xml:space="preserve">2. </w:t>
      </w:r>
      <w:r w:rsidR="006055FF">
        <w:rPr>
          <w:rFonts w:ascii="Arial" w:hAnsi="Arial" w:cs="Arial"/>
          <w:sz w:val="24"/>
          <w:szCs w:val="24"/>
        </w:rPr>
        <w:t xml:space="preserve">Overall pooled exposure-response patterns demonstrate trends incongruent with similarity in dose-response patterns across 2 to 10 mg/kg in </w:t>
      </w:r>
      <w:r w:rsidR="006055FF" w:rsidRPr="006055FF">
        <w:rPr>
          <w:rFonts w:ascii="Arial" w:hAnsi="Arial" w:cs="Arial"/>
          <w:sz w:val="24"/>
          <w:szCs w:val="24"/>
        </w:rPr>
        <w:t>A) advanced ipilimumab-r</w:t>
      </w:r>
      <w:r w:rsidR="006055FF">
        <w:rPr>
          <w:rFonts w:ascii="Arial" w:hAnsi="Arial" w:cs="Arial"/>
          <w:sz w:val="24"/>
          <w:szCs w:val="24"/>
        </w:rPr>
        <w:t>efractory melanoma, KEYNOTE-002</w:t>
      </w:r>
      <w:r w:rsidR="006055FF" w:rsidRPr="006055FF">
        <w:rPr>
          <w:rFonts w:ascii="Arial" w:hAnsi="Arial" w:cs="Arial"/>
          <w:sz w:val="24"/>
          <w:szCs w:val="24"/>
        </w:rPr>
        <w:t xml:space="preserve"> and B) advanced, previously-treated PD-L1 positive NSCLC, KEYNOTE-010</w:t>
      </w:r>
      <w:r w:rsidR="006055FF">
        <w:rPr>
          <w:rFonts w:ascii="Arial" w:hAnsi="Arial" w:cs="Arial"/>
          <w:sz w:val="24"/>
          <w:szCs w:val="24"/>
        </w:rPr>
        <w:t xml:space="preserve">. </w:t>
      </w:r>
      <w:r w:rsidR="006055FF" w:rsidRPr="00E14427">
        <w:rPr>
          <w:rFonts w:ascii="Arial" w:hAnsi="Arial" w:cs="Arial"/>
          <w:sz w:val="24"/>
          <w:szCs w:val="24"/>
        </w:rPr>
        <w:t xml:space="preserve">Subjects with at least one available PK measurement were included.  </w:t>
      </w:r>
      <w:r w:rsidR="006510EF" w:rsidRPr="000D4826">
        <w:rPr>
          <w:rFonts w:ascii="Arial" w:hAnsi="Arial" w:cs="Arial"/>
          <w:sz w:val="24"/>
          <w:szCs w:val="24"/>
        </w:rPr>
        <w:t>Line</w:t>
      </w:r>
      <w:r w:rsidR="002835E6">
        <w:rPr>
          <w:rFonts w:ascii="Arial" w:hAnsi="Arial" w:cs="Arial"/>
          <w:sz w:val="24"/>
          <w:szCs w:val="24"/>
        </w:rPr>
        <w:t xml:space="preserve"> </w:t>
      </w:r>
      <w:r w:rsidR="006510EF" w:rsidRPr="000D4826">
        <w:rPr>
          <w:rFonts w:ascii="Arial" w:hAnsi="Arial" w:cs="Arial"/>
          <w:sz w:val="24"/>
          <w:szCs w:val="24"/>
        </w:rPr>
        <w:t xml:space="preserve">types represent exposure quartiles (AUCbins) using exposure estimates </w:t>
      </w:r>
      <w:r w:rsidR="006510EF" w:rsidRPr="000D4826">
        <w:rPr>
          <w:rFonts w:ascii="Arial" w:eastAsia="Calibri" w:hAnsi="Arial" w:cs="Arial"/>
          <w:sz w:val="24"/>
          <w:szCs w:val="24"/>
        </w:rPr>
        <w:t>(AUC</w:t>
      </w:r>
      <w:r w:rsidR="006510EF" w:rsidRPr="000D4826">
        <w:rPr>
          <w:rFonts w:ascii="Arial" w:eastAsia="Calibri" w:hAnsi="Arial" w:cs="Arial"/>
          <w:sz w:val="24"/>
          <w:szCs w:val="24"/>
          <w:vertAlign w:val="subscript"/>
        </w:rPr>
        <w:t xml:space="preserve">6weeks,CL0 </w:t>
      </w:r>
      <w:r w:rsidR="006510EF" w:rsidRPr="000D4826">
        <w:rPr>
          <w:rFonts w:ascii="Arial" w:eastAsia="Calibri" w:hAnsi="Arial" w:cs="Arial"/>
          <w:sz w:val="24"/>
          <w:szCs w:val="24"/>
        </w:rPr>
        <w:t>= Dose/CL</w:t>
      </w:r>
      <w:r w:rsidR="006510EF" w:rsidRPr="000D4826">
        <w:rPr>
          <w:rFonts w:ascii="Arial" w:eastAsia="Calibri" w:hAnsi="Arial" w:cs="Arial"/>
          <w:sz w:val="24"/>
          <w:szCs w:val="24"/>
          <w:vertAlign w:val="subscript"/>
        </w:rPr>
        <w:t>0</w:t>
      </w:r>
      <w:r w:rsidR="006510EF" w:rsidRPr="000D4826">
        <w:rPr>
          <w:rFonts w:ascii="Arial" w:eastAsia="Calibri" w:hAnsi="Arial" w:cs="Arial"/>
          <w:sz w:val="24"/>
          <w:szCs w:val="24"/>
        </w:rPr>
        <w:t xml:space="preserve"> * [6/dosing frequency in weeks]) </w:t>
      </w:r>
      <w:r w:rsidR="006510EF" w:rsidRPr="000D4826">
        <w:rPr>
          <w:rFonts w:ascii="Arial" w:hAnsi="Arial" w:cs="Arial"/>
          <w:sz w:val="24"/>
          <w:szCs w:val="24"/>
        </w:rPr>
        <w:t>pooled from both 2 and 10 mg/kg arms, as depicted in the inset figure legends.</w:t>
      </w:r>
    </w:p>
    <w:p w14:paraId="231A24BF" w14:textId="5C7DFB81" w:rsidR="0072027B" w:rsidRPr="00E14427" w:rsidRDefault="0072027B" w:rsidP="0072027B">
      <w:pPr>
        <w:tabs>
          <w:tab w:val="center" w:pos="468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4427">
        <w:rPr>
          <w:rFonts w:ascii="Arial" w:hAnsi="Arial" w:cs="Arial"/>
          <w:b/>
          <w:sz w:val="24"/>
          <w:szCs w:val="24"/>
        </w:rPr>
        <w:t>A</w:t>
      </w:r>
      <w:r w:rsidRPr="00E14427">
        <w:rPr>
          <w:rFonts w:ascii="Arial" w:hAnsi="Arial" w:cs="Arial"/>
          <w:b/>
          <w:sz w:val="24"/>
          <w:szCs w:val="24"/>
        </w:rPr>
        <w:tab/>
        <w:t>B</w:t>
      </w:r>
    </w:p>
    <w:p w14:paraId="231A24C0" w14:textId="77777777" w:rsidR="0072027B" w:rsidRDefault="0072027B" w:rsidP="006055FF">
      <w:pPr>
        <w:spacing w:line="480" w:lineRule="auto"/>
        <w:rPr>
          <w:rFonts w:ascii="Arial" w:hAnsi="Arial" w:cs="Arial"/>
          <w:sz w:val="24"/>
          <w:szCs w:val="24"/>
        </w:rPr>
      </w:pPr>
    </w:p>
    <w:p w14:paraId="231A24C1" w14:textId="77777777" w:rsidR="006055FF" w:rsidRPr="00583107" w:rsidRDefault="006055FF" w:rsidP="00491F2A">
      <w:pPr>
        <w:spacing w:line="480" w:lineRule="auto"/>
        <w:rPr>
          <w:rFonts w:ascii="Arial" w:hAnsi="Arial" w:cs="Arial"/>
          <w:sz w:val="24"/>
          <w:szCs w:val="24"/>
        </w:rPr>
      </w:pPr>
      <w:r w:rsidRPr="006055FF">
        <w:rPr>
          <w:rFonts w:ascii="Arial" w:hAnsi="Arial" w:cs="Arial"/>
          <w:sz w:val="24"/>
          <w:szCs w:val="24"/>
        </w:rPr>
        <w:t xml:space="preserve"> </w:t>
      </w:r>
      <w:r w:rsidR="00E8479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1A2616" wp14:editId="231A2617">
            <wp:extent cx="2926080" cy="2660045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_plots_FDATDPK_MEL_pembro_arm_only_Oct16_2017AUCK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6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27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1A2618" wp14:editId="231A2619">
            <wp:extent cx="2926080" cy="2660045"/>
            <wp:effectExtent l="0" t="0" r="762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_plots_FDATDPK_NSCLC_pembro_arm_only_Oct16_2017AUCK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6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24C3" w14:textId="36121E24" w:rsidR="00E84794" w:rsidRDefault="00E84794" w:rsidP="003638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0DC1DE84" w14:textId="77777777" w:rsidR="00412408" w:rsidRDefault="00412408" w:rsidP="00583107">
      <w:pPr>
        <w:spacing w:after="0" w:line="480" w:lineRule="auto"/>
        <w:rPr>
          <w:rFonts w:ascii="Arial" w:hAnsi="Arial" w:cs="Arial"/>
          <w:b/>
          <w:sz w:val="24"/>
          <w:szCs w:val="24"/>
        </w:rPr>
        <w:sectPr w:rsidR="00412408" w:rsidSect="006965D7">
          <w:pgSz w:w="15840" w:h="12240" w:orient="landscape"/>
          <w:pgMar w:top="1440" w:right="1440" w:bottom="1440" w:left="1440" w:header="720" w:footer="288" w:gutter="0"/>
          <w:cols w:space="720"/>
          <w:docGrid w:linePitch="360"/>
        </w:sectPr>
      </w:pPr>
    </w:p>
    <w:p w14:paraId="231A24C4" w14:textId="53B37892" w:rsidR="00E84794" w:rsidRDefault="003C5958" w:rsidP="00583107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 S</w:t>
      </w:r>
      <w:r w:rsidR="006055FF">
        <w:rPr>
          <w:rFonts w:ascii="Arial" w:hAnsi="Arial" w:cs="Arial"/>
          <w:b/>
          <w:sz w:val="24"/>
          <w:szCs w:val="24"/>
        </w:rPr>
        <w:t>3</w:t>
      </w:r>
      <w:r w:rsidR="006C586C">
        <w:rPr>
          <w:rFonts w:ascii="Arial" w:hAnsi="Arial" w:cs="Arial"/>
          <w:b/>
          <w:sz w:val="24"/>
          <w:szCs w:val="24"/>
        </w:rPr>
        <w:t xml:space="preserve">. </w:t>
      </w:r>
      <w:r w:rsidR="006C586C" w:rsidRPr="00583107">
        <w:rPr>
          <w:rFonts w:ascii="Arial" w:hAnsi="Arial" w:cs="Arial"/>
          <w:sz w:val="24"/>
          <w:szCs w:val="24"/>
        </w:rPr>
        <w:t xml:space="preserve">Similarity in OS </w:t>
      </w:r>
      <w:r w:rsidR="006C586C">
        <w:rPr>
          <w:rFonts w:ascii="Arial" w:hAnsi="Arial" w:cs="Arial"/>
          <w:sz w:val="24"/>
          <w:szCs w:val="24"/>
        </w:rPr>
        <w:t>b</w:t>
      </w:r>
      <w:r w:rsidR="006C586C" w:rsidRPr="00583107">
        <w:rPr>
          <w:rFonts w:ascii="Arial" w:hAnsi="Arial" w:cs="Arial"/>
          <w:sz w:val="24"/>
          <w:szCs w:val="24"/>
        </w:rPr>
        <w:t xml:space="preserve">etween </w:t>
      </w:r>
      <w:r w:rsidR="006C586C">
        <w:rPr>
          <w:rFonts w:ascii="Arial" w:hAnsi="Arial" w:cs="Arial"/>
          <w:sz w:val="24"/>
          <w:szCs w:val="24"/>
        </w:rPr>
        <w:t>r</w:t>
      </w:r>
      <w:r w:rsidR="006C586C" w:rsidRPr="00583107">
        <w:rPr>
          <w:rFonts w:ascii="Arial" w:hAnsi="Arial" w:cs="Arial"/>
          <w:sz w:val="24"/>
          <w:szCs w:val="24"/>
        </w:rPr>
        <w:t xml:space="preserve">espective </w:t>
      </w:r>
      <w:r w:rsidR="006C586C">
        <w:rPr>
          <w:rFonts w:ascii="Arial" w:hAnsi="Arial" w:cs="Arial"/>
          <w:sz w:val="24"/>
          <w:szCs w:val="24"/>
        </w:rPr>
        <w:t>w</w:t>
      </w:r>
      <w:r w:rsidR="006C586C" w:rsidRPr="00583107">
        <w:rPr>
          <w:rFonts w:ascii="Arial" w:hAnsi="Arial" w:cs="Arial"/>
          <w:sz w:val="24"/>
          <w:szCs w:val="24"/>
        </w:rPr>
        <w:t xml:space="preserve">ithin-dose </w:t>
      </w:r>
      <w:r w:rsidR="006C586C">
        <w:rPr>
          <w:rFonts w:ascii="Arial" w:hAnsi="Arial" w:cs="Arial"/>
          <w:sz w:val="24"/>
          <w:szCs w:val="24"/>
        </w:rPr>
        <w:t>e</w:t>
      </w:r>
      <w:r w:rsidR="006C586C" w:rsidRPr="00583107">
        <w:rPr>
          <w:rFonts w:ascii="Arial" w:hAnsi="Arial" w:cs="Arial"/>
          <w:sz w:val="24"/>
          <w:szCs w:val="24"/>
        </w:rPr>
        <w:t xml:space="preserve">xposure </w:t>
      </w:r>
      <w:r w:rsidR="006C586C">
        <w:rPr>
          <w:rFonts w:ascii="Arial" w:hAnsi="Arial" w:cs="Arial"/>
          <w:sz w:val="24"/>
          <w:szCs w:val="24"/>
        </w:rPr>
        <w:t>q</w:t>
      </w:r>
      <w:r w:rsidR="006C586C" w:rsidRPr="00583107">
        <w:rPr>
          <w:rFonts w:ascii="Arial" w:hAnsi="Arial" w:cs="Arial"/>
          <w:sz w:val="24"/>
          <w:szCs w:val="24"/>
        </w:rPr>
        <w:t xml:space="preserve">uartiles at 2 and 10 mg/kg </w:t>
      </w:r>
      <w:r w:rsidR="006C586C">
        <w:rPr>
          <w:rFonts w:ascii="Arial" w:hAnsi="Arial" w:cs="Arial"/>
          <w:sz w:val="24"/>
          <w:szCs w:val="24"/>
        </w:rPr>
        <w:t>s</w:t>
      </w:r>
      <w:r w:rsidR="006C586C" w:rsidRPr="00583107">
        <w:rPr>
          <w:rFonts w:ascii="Arial" w:hAnsi="Arial" w:cs="Arial"/>
          <w:sz w:val="24"/>
          <w:szCs w:val="24"/>
        </w:rPr>
        <w:t xml:space="preserve">hows E-R </w:t>
      </w:r>
      <w:r w:rsidR="006C586C">
        <w:rPr>
          <w:rFonts w:ascii="Arial" w:hAnsi="Arial" w:cs="Arial"/>
          <w:sz w:val="24"/>
          <w:szCs w:val="24"/>
        </w:rPr>
        <w:t>p</w:t>
      </w:r>
      <w:r w:rsidR="006C586C" w:rsidRPr="00583107">
        <w:rPr>
          <w:rFonts w:ascii="Arial" w:hAnsi="Arial" w:cs="Arial"/>
          <w:sz w:val="24"/>
          <w:szCs w:val="24"/>
        </w:rPr>
        <w:t>atterns</w:t>
      </w:r>
      <w:r w:rsidR="006055FF">
        <w:rPr>
          <w:rFonts w:ascii="Arial" w:hAnsi="Arial" w:cs="Arial"/>
          <w:sz w:val="24"/>
          <w:szCs w:val="24"/>
        </w:rPr>
        <w:t xml:space="preserve"> from pooled data</w:t>
      </w:r>
      <w:r w:rsidR="006C586C" w:rsidRPr="00583107">
        <w:rPr>
          <w:rFonts w:ascii="Arial" w:hAnsi="Arial" w:cs="Arial"/>
          <w:sz w:val="24"/>
          <w:szCs w:val="24"/>
        </w:rPr>
        <w:t xml:space="preserve"> </w:t>
      </w:r>
      <w:r w:rsidR="00FC299D">
        <w:rPr>
          <w:rFonts w:ascii="Arial" w:hAnsi="Arial" w:cs="Arial"/>
          <w:sz w:val="24"/>
          <w:szCs w:val="24"/>
        </w:rPr>
        <w:t>(Fig S</w:t>
      </w:r>
      <w:r w:rsidR="006055FF">
        <w:rPr>
          <w:rFonts w:ascii="Arial" w:hAnsi="Arial" w:cs="Arial"/>
          <w:sz w:val="24"/>
          <w:szCs w:val="24"/>
        </w:rPr>
        <w:t xml:space="preserve">2 above) </w:t>
      </w:r>
      <w:r w:rsidR="006C586C" w:rsidRPr="00583107">
        <w:rPr>
          <w:rFonts w:ascii="Arial" w:hAnsi="Arial" w:cs="Arial"/>
          <w:sz w:val="24"/>
          <w:szCs w:val="24"/>
        </w:rPr>
        <w:t xml:space="preserve">to be </w:t>
      </w:r>
      <w:r w:rsidR="006C586C">
        <w:rPr>
          <w:rFonts w:ascii="Arial" w:hAnsi="Arial" w:cs="Arial"/>
          <w:sz w:val="24"/>
          <w:szCs w:val="24"/>
        </w:rPr>
        <w:t>m</w:t>
      </w:r>
      <w:r w:rsidR="006C586C" w:rsidRPr="00583107">
        <w:rPr>
          <w:rFonts w:ascii="Arial" w:hAnsi="Arial" w:cs="Arial"/>
          <w:sz w:val="24"/>
          <w:szCs w:val="24"/>
        </w:rPr>
        <w:t>isleading</w:t>
      </w:r>
      <w:r w:rsidR="006055FF">
        <w:rPr>
          <w:rFonts w:ascii="Arial" w:hAnsi="Arial" w:cs="Arial"/>
          <w:sz w:val="24"/>
          <w:szCs w:val="24"/>
        </w:rPr>
        <w:t xml:space="preserve"> in </w:t>
      </w:r>
      <w:r w:rsidR="006055FF" w:rsidRPr="006055FF">
        <w:rPr>
          <w:rFonts w:ascii="Arial" w:hAnsi="Arial" w:cs="Arial"/>
          <w:sz w:val="24"/>
          <w:szCs w:val="24"/>
        </w:rPr>
        <w:t>A</w:t>
      </w:r>
      <w:r w:rsidR="006055FF">
        <w:rPr>
          <w:rFonts w:ascii="Arial" w:hAnsi="Arial" w:cs="Arial"/>
          <w:sz w:val="24"/>
          <w:szCs w:val="24"/>
        </w:rPr>
        <w:t>-B</w:t>
      </w:r>
      <w:r w:rsidR="006055FF" w:rsidRPr="006055FF">
        <w:rPr>
          <w:rFonts w:ascii="Arial" w:hAnsi="Arial" w:cs="Arial"/>
          <w:sz w:val="24"/>
          <w:szCs w:val="24"/>
        </w:rPr>
        <w:t>) advanced ipilimumab-r</w:t>
      </w:r>
      <w:r w:rsidR="006055FF">
        <w:rPr>
          <w:rFonts w:ascii="Arial" w:hAnsi="Arial" w:cs="Arial"/>
          <w:sz w:val="24"/>
          <w:szCs w:val="24"/>
        </w:rPr>
        <w:t>efractory melanoma, KEYNOTE-002</w:t>
      </w:r>
      <w:r w:rsidR="006055FF" w:rsidRPr="006055FF">
        <w:rPr>
          <w:rFonts w:ascii="Arial" w:hAnsi="Arial" w:cs="Arial"/>
          <w:sz w:val="24"/>
          <w:szCs w:val="24"/>
        </w:rPr>
        <w:t xml:space="preserve"> and </w:t>
      </w:r>
      <w:r w:rsidR="006055FF">
        <w:rPr>
          <w:rFonts w:ascii="Arial" w:hAnsi="Arial" w:cs="Arial"/>
          <w:sz w:val="24"/>
          <w:szCs w:val="24"/>
        </w:rPr>
        <w:t>C-D</w:t>
      </w:r>
      <w:r w:rsidR="006055FF" w:rsidRPr="006055FF">
        <w:rPr>
          <w:rFonts w:ascii="Arial" w:hAnsi="Arial" w:cs="Arial"/>
          <w:sz w:val="24"/>
          <w:szCs w:val="24"/>
        </w:rPr>
        <w:t>) advanced, previously-treated PD</w:t>
      </w:r>
      <w:r w:rsidR="006055FF">
        <w:rPr>
          <w:rFonts w:ascii="Arial" w:hAnsi="Arial" w:cs="Arial"/>
          <w:sz w:val="24"/>
          <w:szCs w:val="24"/>
        </w:rPr>
        <w:t>-L1 positive NSCLC, KEYNOTE-010.</w:t>
      </w:r>
      <w:r w:rsidR="006055FF" w:rsidRPr="006055FF">
        <w:rPr>
          <w:rFonts w:ascii="Arial" w:hAnsi="Arial" w:cs="Arial"/>
          <w:sz w:val="24"/>
          <w:szCs w:val="24"/>
        </w:rPr>
        <w:t xml:space="preserve"> </w:t>
      </w:r>
      <w:r w:rsidR="006055FF" w:rsidRPr="00E14427">
        <w:rPr>
          <w:rFonts w:ascii="Arial" w:hAnsi="Arial" w:cs="Arial"/>
          <w:sz w:val="24"/>
          <w:szCs w:val="24"/>
        </w:rPr>
        <w:t xml:space="preserve">Subjects with at least one available PK measurement were included.  </w:t>
      </w:r>
      <w:r w:rsidR="00DE1C4D">
        <w:rPr>
          <w:rFonts w:ascii="Arial" w:hAnsi="Arial" w:cs="Arial"/>
          <w:sz w:val="24"/>
          <w:szCs w:val="24"/>
        </w:rPr>
        <w:t>HR of 4</w:t>
      </w:r>
      <w:r w:rsidR="00DE1C4D" w:rsidRPr="00F662A8">
        <w:rPr>
          <w:rFonts w:ascii="Arial" w:hAnsi="Arial" w:cs="Arial"/>
          <w:sz w:val="24"/>
          <w:szCs w:val="24"/>
          <w:vertAlign w:val="superscript"/>
        </w:rPr>
        <w:t>th</w:t>
      </w:r>
      <w:r w:rsidR="00DE1C4D">
        <w:rPr>
          <w:rFonts w:ascii="Arial" w:hAnsi="Arial" w:cs="Arial"/>
          <w:sz w:val="24"/>
          <w:szCs w:val="24"/>
        </w:rPr>
        <w:t xml:space="preserve"> quartile of </w:t>
      </w:r>
      <w:r w:rsidR="00B44A67">
        <w:rPr>
          <w:rFonts w:ascii="Arial" w:hAnsi="Arial" w:cs="Arial"/>
          <w:sz w:val="24"/>
          <w:szCs w:val="24"/>
        </w:rPr>
        <w:t>2</w:t>
      </w:r>
      <w:r w:rsidR="00DE1C4D">
        <w:rPr>
          <w:rFonts w:ascii="Arial" w:hAnsi="Arial" w:cs="Arial"/>
          <w:sz w:val="24"/>
          <w:szCs w:val="24"/>
        </w:rPr>
        <w:t xml:space="preserve"> mg/kg relative to </w:t>
      </w:r>
      <w:r w:rsidR="003335AA">
        <w:rPr>
          <w:rFonts w:ascii="Arial" w:hAnsi="Arial" w:cs="Arial"/>
          <w:sz w:val="24"/>
          <w:szCs w:val="24"/>
        </w:rPr>
        <w:t>4</w:t>
      </w:r>
      <w:r w:rsidR="003335AA" w:rsidRPr="00F662A8">
        <w:rPr>
          <w:rFonts w:ascii="Arial" w:hAnsi="Arial" w:cs="Arial"/>
          <w:sz w:val="24"/>
          <w:szCs w:val="24"/>
          <w:vertAlign w:val="superscript"/>
        </w:rPr>
        <w:t>th</w:t>
      </w:r>
      <w:r w:rsidR="003335AA">
        <w:rPr>
          <w:rFonts w:ascii="Arial" w:hAnsi="Arial" w:cs="Arial"/>
          <w:sz w:val="24"/>
          <w:szCs w:val="24"/>
        </w:rPr>
        <w:t xml:space="preserve"> quartile of </w:t>
      </w:r>
      <w:r w:rsidR="00B44A67">
        <w:rPr>
          <w:rFonts w:ascii="Arial" w:hAnsi="Arial" w:cs="Arial"/>
          <w:sz w:val="24"/>
          <w:szCs w:val="24"/>
        </w:rPr>
        <w:t>10</w:t>
      </w:r>
      <w:r w:rsidR="00DE1C4D">
        <w:rPr>
          <w:rFonts w:ascii="Arial" w:hAnsi="Arial" w:cs="Arial"/>
          <w:sz w:val="24"/>
          <w:szCs w:val="24"/>
        </w:rPr>
        <w:t xml:space="preserve"> mg/kg = </w:t>
      </w:r>
      <w:r w:rsidR="00B44A67">
        <w:rPr>
          <w:rFonts w:ascii="Arial" w:hAnsi="Arial" w:cs="Arial"/>
          <w:sz w:val="24"/>
          <w:szCs w:val="24"/>
        </w:rPr>
        <w:t xml:space="preserve">2.2 (0.9 – 5.4) </w:t>
      </w:r>
      <w:r w:rsidR="00DE1C4D">
        <w:rPr>
          <w:rFonts w:ascii="Arial" w:hAnsi="Arial" w:cs="Arial"/>
          <w:sz w:val="24"/>
          <w:szCs w:val="24"/>
        </w:rPr>
        <w:t xml:space="preserve">in melanoma (B) and = </w:t>
      </w:r>
      <w:r w:rsidR="00B44A67">
        <w:rPr>
          <w:rFonts w:ascii="Arial" w:hAnsi="Arial" w:cs="Arial"/>
          <w:sz w:val="24"/>
          <w:szCs w:val="24"/>
        </w:rPr>
        <w:t xml:space="preserve">2.2 (1.1 – 4.2) </w:t>
      </w:r>
      <w:r w:rsidR="00DE1C4D">
        <w:rPr>
          <w:rFonts w:ascii="Arial" w:hAnsi="Arial" w:cs="Arial"/>
          <w:sz w:val="24"/>
          <w:szCs w:val="24"/>
        </w:rPr>
        <w:t>in NSCLC (D)</w:t>
      </w:r>
    </w:p>
    <w:p w14:paraId="231A24C5" w14:textId="3C366242" w:rsidR="00E84794" w:rsidRPr="00583107" w:rsidRDefault="00E84794" w:rsidP="00583107">
      <w:pPr>
        <w:tabs>
          <w:tab w:val="center" w:pos="468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83107">
        <w:rPr>
          <w:rFonts w:ascii="Arial" w:hAnsi="Arial" w:cs="Arial"/>
          <w:b/>
          <w:sz w:val="24"/>
          <w:szCs w:val="24"/>
        </w:rPr>
        <w:t>A</w:t>
      </w:r>
      <w:r w:rsidRPr="00583107">
        <w:rPr>
          <w:rFonts w:ascii="Arial" w:hAnsi="Arial" w:cs="Arial"/>
          <w:b/>
          <w:sz w:val="24"/>
          <w:szCs w:val="24"/>
        </w:rPr>
        <w:tab/>
        <w:t>B</w:t>
      </w:r>
    </w:p>
    <w:p w14:paraId="231A24C6" w14:textId="77777777" w:rsidR="006055FF" w:rsidRPr="00E14427" w:rsidRDefault="00E84794" w:rsidP="0058310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1A261A" wp14:editId="231A261B">
            <wp:extent cx="2834640" cy="2576918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_plots_FDATDPK_MEL_pembro_arm_only_Oct16_2017intradose.1quarti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5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1A261C" wp14:editId="231A261D">
            <wp:extent cx="2834640" cy="2576917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_plots_FDATDPK_MEL_pembro_arm_only_Oct16_2017intradose.4quarti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57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24C7" w14:textId="5DA67D4E" w:rsidR="0072027B" w:rsidRPr="00E14427" w:rsidRDefault="0072027B" w:rsidP="0072027B">
      <w:pPr>
        <w:tabs>
          <w:tab w:val="center" w:pos="468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Pr="00E14427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D</w:t>
      </w:r>
    </w:p>
    <w:p w14:paraId="231A24C8" w14:textId="77777777" w:rsidR="006C586C" w:rsidRDefault="0072027B" w:rsidP="00583107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31A261E" wp14:editId="231A261F">
            <wp:extent cx="2834640" cy="2576918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_plots_FDATDPK_NSCLC_pembro_arm_only_Oct16_2017intradose.1quarti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5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31A2620" wp14:editId="231A2621">
            <wp:extent cx="2834640" cy="2576919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_plots_FDATDPK_NSCLC_pembro_arm_only_Oct16_2017intradose.4quarti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5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954B" w14:textId="77777777" w:rsidR="00412408" w:rsidRDefault="00412408" w:rsidP="00491F2A">
      <w:pPr>
        <w:spacing w:line="480" w:lineRule="auto"/>
        <w:rPr>
          <w:rFonts w:ascii="Arial" w:hAnsi="Arial" w:cs="Arial"/>
          <w:b/>
          <w:sz w:val="24"/>
          <w:szCs w:val="24"/>
        </w:rPr>
        <w:sectPr w:rsidR="00412408" w:rsidSect="006965D7">
          <w:pgSz w:w="12240" w:h="15840"/>
          <w:pgMar w:top="1440" w:right="1440" w:bottom="1440" w:left="1440" w:header="720" w:footer="288" w:gutter="0"/>
          <w:cols w:space="720"/>
          <w:docGrid w:linePitch="360"/>
        </w:sectPr>
      </w:pPr>
    </w:p>
    <w:p w14:paraId="231A24CB" w14:textId="0621F92B" w:rsidR="004974E2" w:rsidRPr="00424BFB" w:rsidRDefault="003C5958" w:rsidP="004974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 S</w:t>
      </w:r>
      <w:r w:rsidR="004974E2">
        <w:rPr>
          <w:rFonts w:ascii="Arial" w:hAnsi="Arial" w:cs="Arial"/>
          <w:b/>
          <w:sz w:val="24"/>
          <w:szCs w:val="24"/>
        </w:rPr>
        <w:t>4</w:t>
      </w:r>
      <w:r w:rsidR="004974E2" w:rsidRPr="00583107">
        <w:rPr>
          <w:rFonts w:ascii="Arial" w:hAnsi="Arial" w:cs="Arial"/>
          <w:b/>
          <w:sz w:val="24"/>
          <w:szCs w:val="24"/>
        </w:rPr>
        <w:t>.</w:t>
      </w:r>
      <w:r w:rsidR="004974E2">
        <w:rPr>
          <w:rFonts w:ascii="Arial" w:hAnsi="Arial" w:cs="Arial"/>
          <w:i/>
          <w:sz w:val="24"/>
          <w:szCs w:val="24"/>
        </w:rPr>
        <w:t xml:space="preserve"> </w:t>
      </w:r>
      <w:r w:rsidR="004974E2" w:rsidRPr="00424BFB">
        <w:rPr>
          <w:rFonts w:ascii="Arial" w:hAnsi="Arial" w:cs="Arial"/>
          <w:sz w:val="24"/>
          <w:szCs w:val="24"/>
        </w:rPr>
        <w:t xml:space="preserve">Kaplan-Meier plots of OS by </w:t>
      </w:r>
      <w:r w:rsidR="0072027B" w:rsidRPr="00424BFB">
        <w:rPr>
          <w:rFonts w:ascii="Arial" w:hAnsi="Arial" w:cs="Arial"/>
          <w:sz w:val="24"/>
          <w:szCs w:val="24"/>
        </w:rPr>
        <w:t xml:space="preserve">all </w:t>
      </w:r>
      <w:r w:rsidR="004974E2" w:rsidRPr="00424BFB">
        <w:rPr>
          <w:rFonts w:ascii="Arial" w:hAnsi="Arial" w:cs="Arial"/>
          <w:sz w:val="24"/>
          <w:szCs w:val="24"/>
        </w:rPr>
        <w:t>CL</w:t>
      </w:r>
      <w:r w:rsidR="004974E2" w:rsidRPr="00424BFB">
        <w:rPr>
          <w:rFonts w:ascii="Arial" w:hAnsi="Arial" w:cs="Arial"/>
          <w:sz w:val="24"/>
          <w:szCs w:val="24"/>
          <w:vertAlign w:val="subscript"/>
        </w:rPr>
        <w:t>0</w:t>
      </w:r>
      <w:r w:rsidR="004974E2" w:rsidRPr="00424BFB">
        <w:rPr>
          <w:rFonts w:ascii="Arial" w:hAnsi="Arial" w:cs="Arial"/>
          <w:sz w:val="24"/>
          <w:szCs w:val="24"/>
        </w:rPr>
        <w:t xml:space="preserve"> quartiles in KEYNOTE-0</w:t>
      </w:r>
      <w:r w:rsidR="00424BFB" w:rsidRPr="00424BFB">
        <w:rPr>
          <w:rFonts w:ascii="Arial" w:hAnsi="Arial" w:cs="Arial"/>
          <w:sz w:val="24"/>
          <w:szCs w:val="24"/>
        </w:rPr>
        <w:t>0</w:t>
      </w:r>
      <w:r w:rsidR="00D11C64">
        <w:rPr>
          <w:rFonts w:ascii="Arial" w:hAnsi="Arial" w:cs="Arial"/>
          <w:sz w:val="24"/>
          <w:szCs w:val="24"/>
        </w:rPr>
        <w:t>2</w:t>
      </w:r>
      <w:r w:rsidR="004974E2" w:rsidRPr="00424BFB">
        <w:rPr>
          <w:rFonts w:ascii="Arial" w:hAnsi="Arial" w:cs="Arial"/>
          <w:sz w:val="24"/>
          <w:szCs w:val="24"/>
        </w:rPr>
        <w:t xml:space="preserve"> (melanoma; left) and KEYNOTE-010 (previously-treated NSCLC; right) using the complete case datasets</w:t>
      </w:r>
      <w:r w:rsidR="00424BFB">
        <w:rPr>
          <w:rFonts w:ascii="Arial" w:hAnsi="Arial" w:cs="Arial"/>
          <w:sz w:val="24"/>
          <w:szCs w:val="24"/>
        </w:rPr>
        <w:t>.</w:t>
      </w:r>
      <w:r w:rsidR="004974E2" w:rsidRPr="00424BFB">
        <w:rPr>
          <w:rFonts w:ascii="Arial" w:hAnsi="Arial" w:cs="Arial"/>
          <w:sz w:val="24"/>
          <w:szCs w:val="24"/>
        </w:rPr>
        <w:t xml:space="preserve">  </w:t>
      </w:r>
    </w:p>
    <w:p w14:paraId="231A24CC" w14:textId="77777777" w:rsidR="004974E2" w:rsidRDefault="004974E2" w:rsidP="004974E2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inline distT="0" distB="0" distL="0" distR="0" wp14:anchorId="231A2622" wp14:editId="231A2623">
            <wp:extent cx="2651760" cy="28432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8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A2624" wp14:editId="231A2625">
            <wp:extent cx="2651760" cy="28432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8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24CD" w14:textId="77777777" w:rsidR="006C586C" w:rsidRDefault="006C586C" w:rsidP="00491F2A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31A24CE" w14:textId="77777777" w:rsidR="006C586C" w:rsidRDefault="006C586C" w:rsidP="00491F2A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31A24CF" w14:textId="77777777" w:rsidR="000805E6" w:rsidRPr="00583107" w:rsidRDefault="000805E6" w:rsidP="00491F2A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31A24D0" w14:textId="77777777" w:rsidR="00E84794" w:rsidRDefault="00E847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31A24D1" w14:textId="7C5B8CFE" w:rsidR="00E70DA4" w:rsidRDefault="00E70DA4" w:rsidP="00491F2A">
      <w:pPr>
        <w:spacing w:line="480" w:lineRule="auto"/>
        <w:rPr>
          <w:rFonts w:ascii="Arial" w:hAnsi="Arial" w:cs="Arial"/>
          <w:sz w:val="24"/>
          <w:szCs w:val="24"/>
        </w:rPr>
      </w:pPr>
      <w:r w:rsidRPr="00583107">
        <w:rPr>
          <w:rFonts w:ascii="Arial" w:hAnsi="Arial" w:cs="Arial"/>
          <w:b/>
          <w:sz w:val="24"/>
          <w:szCs w:val="24"/>
        </w:rPr>
        <w:lastRenderedPageBreak/>
        <w:t xml:space="preserve">Fig </w:t>
      </w:r>
      <w:r w:rsidR="003C5958">
        <w:rPr>
          <w:rFonts w:ascii="Arial" w:hAnsi="Arial" w:cs="Arial"/>
          <w:b/>
          <w:sz w:val="24"/>
          <w:szCs w:val="24"/>
        </w:rPr>
        <w:t>S</w:t>
      </w:r>
      <w:r w:rsidR="004974E2">
        <w:rPr>
          <w:rFonts w:ascii="Arial" w:hAnsi="Arial" w:cs="Arial"/>
          <w:b/>
          <w:sz w:val="24"/>
          <w:szCs w:val="24"/>
        </w:rPr>
        <w:t>5</w:t>
      </w:r>
      <w:r w:rsidRPr="00583107">
        <w:rPr>
          <w:rFonts w:ascii="Arial" w:hAnsi="Arial" w:cs="Arial"/>
          <w:b/>
          <w:sz w:val="24"/>
          <w:szCs w:val="24"/>
        </w:rPr>
        <w:t>.</w:t>
      </w:r>
      <w:r w:rsidRPr="00583107">
        <w:rPr>
          <w:rFonts w:ascii="Arial" w:hAnsi="Arial" w:cs="Arial"/>
          <w:sz w:val="24"/>
          <w:szCs w:val="24"/>
        </w:rPr>
        <w:t xml:space="preserve"> Kaplan-Meier plots of </w:t>
      </w:r>
      <w:r w:rsidR="0072027B">
        <w:rPr>
          <w:rFonts w:ascii="Arial" w:hAnsi="Arial" w:cs="Arial"/>
          <w:sz w:val="24"/>
          <w:szCs w:val="24"/>
        </w:rPr>
        <w:t>OS</w:t>
      </w:r>
      <w:r w:rsidRPr="00583107">
        <w:rPr>
          <w:rFonts w:ascii="Arial" w:hAnsi="Arial" w:cs="Arial"/>
          <w:sz w:val="24"/>
          <w:szCs w:val="24"/>
        </w:rPr>
        <w:t xml:space="preserve"> by baseline clearance (</w:t>
      </w:r>
      <w:r w:rsidRPr="000805E6">
        <w:rPr>
          <w:rFonts w:ascii="Arial" w:hAnsi="Arial" w:cs="Arial"/>
        </w:rPr>
        <w:t>CL</w:t>
      </w:r>
      <w:r w:rsidRPr="000805E6">
        <w:rPr>
          <w:rFonts w:ascii="Arial" w:hAnsi="Arial" w:cs="Arial"/>
          <w:vertAlign w:val="subscript"/>
        </w:rPr>
        <w:t>0</w:t>
      </w:r>
      <w:r w:rsidRPr="00583107">
        <w:rPr>
          <w:rFonts w:ascii="Arial" w:hAnsi="Arial" w:cs="Arial"/>
          <w:sz w:val="24"/>
          <w:szCs w:val="24"/>
        </w:rPr>
        <w:t xml:space="preserve">) quartiles in advanced, previously-untreated NSCLC with PD-L1 expression at least 50 percent. Pembrolizumab administered at 200 mg Q3W (KEYNOTE-024; n=152). </w:t>
      </w:r>
      <w:r w:rsidR="008B11AC" w:rsidRPr="00583107">
        <w:rPr>
          <w:rFonts w:ascii="Arial" w:hAnsi="Arial" w:cs="Arial"/>
          <w:sz w:val="24"/>
          <w:szCs w:val="24"/>
        </w:rPr>
        <w:t xml:space="preserve">Subjects with at least one available PK measurement were included. </w:t>
      </w:r>
      <w:r w:rsidRPr="00583107">
        <w:rPr>
          <w:rFonts w:ascii="Arial" w:hAnsi="Arial" w:cs="Arial"/>
          <w:sz w:val="24"/>
          <w:szCs w:val="24"/>
        </w:rPr>
        <w:t xml:space="preserve"> </w:t>
      </w:r>
    </w:p>
    <w:p w14:paraId="4E710624" w14:textId="3027BAB3" w:rsidR="007B2D4B" w:rsidRDefault="007B2D4B" w:rsidP="00491F2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322982" wp14:editId="45EFEC6A">
            <wp:extent cx="3877056" cy="3407664"/>
            <wp:effectExtent l="0" t="0" r="952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kchri_196088-0001-JCO_Figures_Turner_v1.02_Supp Figure2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24D2" w14:textId="4D7FE243" w:rsidR="00DE6087" w:rsidRPr="00583107" w:rsidRDefault="00DE6087" w:rsidP="00583107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231A24D5" w14:textId="17A1867A" w:rsidR="00E84794" w:rsidRDefault="00E84794" w:rsidP="003638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31A24D6" w14:textId="1CD7B998" w:rsidR="00FD30BE" w:rsidRDefault="003C5958" w:rsidP="00491F2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 S</w:t>
      </w:r>
      <w:r w:rsidR="004974E2">
        <w:rPr>
          <w:rFonts w:ascii="Arial" w:hAnsi="Arial" w:cs="Arial"/>
          <w:b/>
          <w:sz w:val="24"/>
          <w:szCs w:val="24"/>
        </w:rPr>
        <w:t>6</w:t>
      </w:r>
      <w:r w:rsidR="00FD30BE" w:rsidRPr="00583107">
        <w:rPr>
          <w:rFonts w:ascii="Arial" w:hAnsi="Arial" w:cs="Arial"/>
          <w:b/>
          <w:sz w:val="24"/>
          <w:szCs w:val="24"/>
        </w:rPr>
        <w:t xml:space="preserve">. </w:t>
      </w:r>
      <w:r w:rsidR="00FD30BE" w:rsidRPr="00583107">
        <w:rPr>
          <w:rFonts w:ascii="Arial" w:hAnsi="Arial" w:cs="Arial"/>
          <w:sz w:val="24"/>
          <w:szCs w:val="24"/>
        </w:rPr>
        <w:t xml:space="preserve">Forest plot of </w:t>
      </w:r>
      <w:r w:rsidR="00D75B0B" w:rsidRPr="00583107">
        <w:rPr>
          <w:rFonts w:ascii="Arial" w:hAnsi="Arial" w:cs="Arial"/>
          <w:sz w:val="24"/>
          <w:szCs w:val="24"/>
        </w:rPr>
        <w:t>Docetaxel</w:t>
      </w:r>
      <w:r w:rsidR="00424BFB">
        <w:rPr>
          <w:rFonts w:ascii="Arial" w:hAnsi="Arial" w:cs="Arial"/>
          <w:sz w:val="24"/>
          <w:szCs w:val="24"/>
        </w:rPr>
        <w:t>-treated NSCLC Cox proportional h</w:t>
      </w:r>
      <w:r w:rsidR="00FD30BE" w:rsidRPr="00583107">
        <w:rPr>
          <w:rFonts w:ascii="Arial" w:hAnsi="Arial" w:cs="Arial"/>
          <w:sz w:val="24"/>
          <w:szCs w:val="24"/>
        </w:rPr>
        <w:t xml:space="preserve">azards </w:t>
      </w:r>
      <w:r w:rsidR="00424BFB">
        <w:rPr>
          <w:rFonts w:ascii="Arial" w:hAnsi="Arial" w:cs="Arial"/>
          <w:sz w:val="24"/>
          <w:szCs w:val="24"/>
        </w:rPr>
        <w:t>m</w:t>
      </w:r>
      <w:r w:rsidR="00FD30BE" w:rsidRPr="00583107">
        <w:rPr>
          <w:rFonts w:ascii="Arial" w:hAnsi="Arial" w:cs="Arial"/>
          <w:sz w:val="24"/>
          <w:szCs w:val="24"/>
        </w:rPr>
        <w:t xml:space="preserve">odel-estimated </w:t>
      </w:r>
      <w:r w:rsidR="00424BFB">
        <w:rPr>
          <w:rFonts w:ascii="Arial" w:hAnsi="Arial" w:cs="Arial"/>
          <w:sz w:val="24"/>
          <w:szCs w:val="24"/>
        </w:rPr>
        <w:t>o</w:t>
      </w:r>
      <w:r w:rsidR="00FD30BE" w:rsidRPr="00583107">
        <w:rPr>
          <w:rFonts w:ascii="Arial" w:hAnsi="Arial" w:cs="Arial"/>
          <w:sz w:val="24"/>
          <w:szCs w:val="24"/>
        </w:rPr>
        <w:t xml:space="preserve">verall </w:t>
      </w:r>
      <w:r w:rsidR="00424BFB">
        <w:rPr>
          <w:rFonts w:ascii="Arial" w:hAnsi="Arial" w:cs="Arial"/>
          <w:sz w:val="24"/>
          <w:szCs w:val="24"/>
        </w:rPr>
        <w:t>s</w:t>
      </w:r>
      <w:r w:rsidR="00FD30BE" w:rsidRPr="00583107">
        <w:rPr>
          <w:rFonts w:ascii="Arial" w:hAnsi="Arial" w:cs="Arial"/>
          <w:sz w:val="24"/>
          <w:szCs w:val="24"/>
        </w:rPr>
        <w:t xml:space="preserve">urvival </w:t>
      </w:r>
      <w:r w:rsidR="00424BFB">
        <w:rPr>
          <w:rFonts w:ascii="Arial" w:hAnsi="Arial" w:cs="Arial"/>
          <w:sz w:val="24"/>
          <w:szCs w:val="24"/>
        </w:rPr>
        <w:t>h</w:t>
      </w:r>
      <w:r w:rsidR="00FD30BE" w:rsidRPr="00583107">
        <w:rPr>
          <w:rFonts w:ascii="Arial" w:hAnsi="Arial" w:cs="Arial"/>
          <w:sz w:val="24"/>
          <w:szCs w:val="24"/>
        </w:rPr>
        <w:t xml:space="preserve">azard </w:t>
      </w:r>
      <w:r w:rsidR="00424BFB">
        <w:rPr>
          <w:rFonts w:ascii="Arial" w:hAnsi="Arial" w:cs="Arial"/>
          <w:sz w:val="24"/>
          <w:szCs w:val="24"/>
        </w:rPr>
        <w:t>r</w:t>
      </w:r>
      <w:r w:rsidR="00FD30BE" w:rsidRPr="00583107">
        <w:rPr>
          <w:rFonts w:ascii="Arial" w:hAnsi="Arial" w:cs="Arial"/>
          <w:sz w:val="24"/>
          <w:szCs w:val="24"/>
        </w:rPr>
        <w:t>atios (n=</w:t>
      </w:r>
      <w:r w:rsidR="00D75B0B" w:rsidRPr="00583107">
        <w:rPr>
          <w:rFonts w:ascii="Arial" w:hAnsi="Arial" w:cs="Arial"/>
          <w:sz w:val="24"/>
          <w:szCs w:val="24"/>
        </w:rPr>
        <w:t>249</w:t>
      </w:r>
      <w:r w:rsidR="00FD30BE" w:rsidRPr="00583107">
        <w:rPr>
          <w:rFonts w:ascii="Arial" w:hAnsi="Arial" w:cs="Arial"/>
          <w:sz w:val="24"/>
          <w:szCs w:val="24"/>
        </w:rPr>
        <w:t>)</w:t>
      </w:r>
      <w:r w:rsidR="006055FF">
        <w:rPr>
          <w:rFonts w:ascii="Arial" w:hAnsi="Arial" w:cs="Arial"/>
          <w:sz w:val="24"/>
          <w:szCs w:val="24"/>
        </w:rPr>
        <w:t>. Complete case dataset</w:t>
      </w:r>
      <w:r w:rsidR="00424BFB">
        <w:rPr>
          <w:rFonts w:ascii="Arial" w:hAnsi="Arial" w:cs="Arial"/>
          <w:sz w:val="24"/>
          <w:szCs w:val="24"/>
        </w:rPr>
        <w:t xml:space="preserve"> was used.</w:t>
      </w:r>
    </w:p>
    <w:p w14:paraId="23134A65" w14:textId="597B73D5" w:rsidR="007B2D4B" w:rsidRPr="00583107" w:rsidRDefault="007B2D4B" w:rsidP="00491F2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178ED6" wp14:editId="043F7718">
            <wp:extent cx="3465576" cy="3364992"/>
            <wp:effectExtent l="0" t="0" r="190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kchri_196088-0001-JCO_Figures_Turner_v1.02_Supp Figure3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576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24D7" w14:textId="28018D27" w:rsidR="00D75B0B" w:rsidRPr="00583107" w:rsidRDefault="00D75B0B" w:rsidP="00583107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14:paraId="231A24D8" w14:textId="77777777" w:rsidR="00D75B0B" w:rsidRPr="00583107" w:rsidRDefault="00D75B0B" w:rsidP="00491F2A">
      <w:pPr>
        <w:spacing w:line="480" w:lineRule="auto"/>
        <w:rPr>
          <w:rFonts w:ascii="Arial" w:hAnsi="Arial" w:cs="Arial"/>
          <w:sz w:val="24"/>
          <w:szCs w:val="24"/>
        </w:rPr>
      </w:pPr>
    </w:p>
    <w:p w14:paraId="231A24D9" w14:textId="77777777" w:rsidR="00E84794" w:rsidRDefault="00E8479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31A24DC" w14:textId="471389AE" w:rsidR="003F7F52" w:rsidRPr="00583107" w:rsidRDefault="00BF27BA" w:rsidP="00583107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="003F7F52" w:rsidRPr="00583107">
        <w:rPr>
          <w:rFonts w:ascii="Arial" w:hAnsi="Arial" w:cs="Arial"/>
          <w:b/>
          <w:sz w:val="24"/>
          <w:szCs w:val="24"/>
        </w:rPr>
        <w:t>Tables</w:t>
      </w:r>
    </w:p>
    <w:p w14:paraId="231A24DD" w14:textId="3CD07285" w:rsidR="003F7F52" w:rsidRPr="00583107" w:rsidRDefault="005B28A2" w:rsidP="003F7F52">
      <w:pPr>
        <w:spacing w:line="480" w:lineRule="auto"/>
        <w:rPr>
          <w:rFonts w:ascii="Arial" w:hAnsi="Arial" w:cs="Arial"/>
        </w:rPr>
      </w:pPr>
      <w:r w:rsidRPr="00583107">
        <w:rPr>
          <w:rFonts w:ascii="Arial" w:hAnsi="Arial" w:cs="Arial"/>
          <w:b/>
          <w:sz w:val="24"/>
          <w:szCs w:val="24"/>
        </w:rPr>
        <w:t xml:space="preserve">Supplementary </w:t>
      </w:r>
      <w:r w:rsidR="003C5958">
        <w:rPr>
          <w:rFonts w:ascii="Arial" w:hAnsi="Arial" w:cs="Arial"/>
          <w:b/>
          <w:sz w:val="24"/>
          <w:szCs w:val="24"/>
        </w:rPr>
        <w:t>Table S</w:t>
      </w:r>
      <w:r w:rsidR="003F7F52" w:rsidRPr="00583107">
        <w:rPr>
          <w:rFonts w:ascii="Arial" w:hAnsi="Arial" w:cs="Arial"/>
          <w:b/>
          <w:sz w:val="24"/>
          <w:szCs w:val="24"/>
        </w:rPr>
        <w:t xml:space="preserve">1. </w:t>
      </w:r>
      <w:r w:rsidRPr="00583107">
        <w:rPr>
          <w:rFonts w:ascii="Arial" w:hAnsi="Arial" w:cs="Arial"/>
          <w:sz w:val="24"/>
          <w:szCs w:val="24"/>
        </w:rPr>
        <w:t>Source</w:t>
      </w:r>
      <w:r w:rsidRPr="00583107">
        <w:rPr>
          <w:rFonts w:ascii="Arial" w:hAnsi="Arial" w:cs="Arial"/>
          <w:b/>
          <w:sz w:val="24"/>
          <w:szCs w:val="24"/>
        </w:rPr>
        <w:t xml:space="preserve"> </w:t>
      </w:r>
      <w:r w:rsidR="00755A0C">
        <w:rPr>
          <w:rFonts w:ascii="Arial" w:hAnsi="Arial" w:cs="Arial"/>
          <w:sz w:val="24"/>
          <w:szCs w:val="24"/>
        </w:rPr>
        <w:t>P</w:t>
      </w:r>
      <w:r w:rsidR="003F7F52" w:rsidRPr="00583107">
        <w:rPr>
          <w:rFonts w:ascii="Arial" w:hAnsi="Arial" w:cs="Arial"/>
          <w:sz w:val="24"/>
          <w:szCs w:val="24"/>
        </w:rPr>
        <w:t>rofile of PK</w:t>
      </w:r>
      <w:r w:rsidR="00755A0C">
        <w:rPr>
          <w:rFonts w:ascii="Arial" w:hAnsi="Arial" w:cs="Arial"/>
          <w:sz w:val="24"/>
          <w:szCs w:val="24"/>
        </w:rPr>
        <w:t xml:space="preserve"> </w:t>
      </w:r>
      <w:r w:rsidR="003F7F52" w:rsidRPr="00583107">
        <w:rPr>
          <w:rFonts w:ascii="Arial" w:hAnsi="Arial" w:cs="Arial"/>
          <w:sz w:val="24"/>
          <w:szCs w:val="24"/>
        </w:rPr>
        <w:t>-</w:t>
      </w:r>
      <w:r w:rsidR="00755A0C">
        <w:rPr>
          <w:rFonts w:ascii="Arial" w:hAnsi="Arial" w:cs="Arial"/>
          <w:sz w:val="24"/>
          <w:szCs w:val="24"/>
        </w:rPr>
        <w:t xml:space="preserve"> O</w:t>
      </w:r>
      <w:r w:rsidR="003F7F52" w:rsidRPr="00583107">
        <w:rPr>
          <w:rFonts w:ascii="Arial" w:hAnsi="Arial" w:cs="Arial"/>
          <w:sz w:val="24"/>
          <w:szCs w:val="24"/>
        </w:rPr>
        <w:t xml:space="preserve">verall </w:t>
      </w:r>
      <w:r w:rsidR="00755A0C">
        <w:rPr>
          <w:rFonts w:ascii="Arial" w:hAnsi="Arial" w:cs="Arial"/>
          <w:sz w:val="24"/>
          <w:szCs w:val="24"/>
        </w:rPr>
        <w:t>S</w:t>
      </w:r>
      <w:r w:rsidR="003F7F52" w:rsidRPr="00583107">
        <w:rPr>
          <w:rFonts w:ascii="Arial" w:hAnsi="Arial" w:cs="Arial"/>
          <w:sz w:val="24"/>
          <w:szCs w:val="24"/>
        </w:rPr>
        <w:t xml:space="preserve">urvival </w:t>
      </w:r>
      <w:r w:rsidR="00755A0C">
        <w:rPr>
          <w:rFonts w:ascii="Arial" w:hAnsi="Arial" w:cs="Arial"/>
          <w:sz w:val="24"/>
          <w:szCs w:val="24"/>
        </w:rPr>
        <w:t>A</w:t>
      </w:r>
      <w:r w:rsidR="003F7F52" w:rsidRPr="00583107">
        <w:rPr>
          <w:rFonts w:ascii="Arial" w:hAnsi="Arial" w:cs="Arial"/>
          <w:sz w:val="24"/>
          <w:szCs w:val="24"/>
        </w:rPr>
        <w:t xml:space="preserve">nalysis </w:t>
      </w:r>
      <w:r w:rsidR="00755A0C">
        <w:rPr>
          <w:rFonts w:ascii="Arial" w:hAnsi="Arial" w:cs="Arial"/>
          <w:sz w:val="24"/>
          <w:szCs w:val="24"/>
        </w:rPr>
        <w:t>D</w:t>
      </w:r>
      <w:r w:rsidR="003F7F52" w:rsidRPr="00583107">
        <w:rPr>
          <w:rFonts w:ascii="Arial" w:hAnsi="Arial" w:cs="Arial"/>
          <w:sz w:val="24"/>
          <w:szCs w:val="24"/>
        </w:rPr>
        <w:t>ataset</w:t>
      </w:r>
      <w:r w:rsidRPr="00583107">
        <w:rPr>
          <w:rFonts w:ascii="Arial" w:hAnsi="Arial" w:cs="Arial"/>
          <w:sz w:val="24"/>
          <w:szCs w:val="24"/>
        </w:rPr>
        <w:t>s (</w:t>
      </w:r>
      <w:r w:rsidR="003F7F52" w:rsidRPr="00583107">
        <w:rPr>
          <w:rFonts w:ascii="Arial" w:hAnsi="Arial" w:cs="Arial"/>
          <w:sz w:val="24"/>
          <w:szCs w:val="24"/>
        </w:rPr>
        <w:t>KEYNOTE-002 and -010</w:t>
      </w:r>
      <w:r w:rsidRPr="00583107">
        <w:rPr>
          <w:rFonts w:ascii="Arial" w:hAnsi="Arial" w:cs="Arial"/>
          <w:sz w:val="24"/>
          <w:szCs w:val="24"/>
        </w:rPr>
        <w:t>)</w:t>
      </w:r>
      <w:r w:rsidR="00755A0C">
        <w:rPr>
          <w:rFonts w:ascii="Arial" w:hAnsi="Arial" w:cs="Arial"/>
          <w:sz w:val="24"/>
          <w:szCs w:val="24"/>
        </w:rPr>
        <w:t xml:space="preserve"> Used in Multivariate Cox M</w:t>
      </w:r>
      <w:r w:rsidR="00931AAB" w:rsidRPr="00583107">
        <w:rPr>
          <w:rFonts w:ascii="Arial" w:hAnsi="Arial" w:cs="Arial"/>
          <w:sz w:val="24"/>
          <w:szCs w:val="24"/>
        </w:rPr>
        <w:t>odels</w:t>
      </w:r>
      <w:r w:rsidR="00424BFB">
        <w:rPr>
          <w:rFonts w:ascii="Arial" w:hAnsi="Arial" w:cs="Arial"/>
          <w:sz w:val="24"/>
          <w:szCs w:val="24"/>
        </w:rPr>
        <w:t>.</w:t>
      </w:r>
      <w:r w:rsidR="00931AAB" w:rsidRPr="00583107">
        <w:rPr>
          <w:rFonts w:ascii="Arial" w:hAnsi="Arial" w:cs="Arial"/>
        </w:rPr>
        <w:t xml:space="preserve"> 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1399"/>
        <w:gridCol w:w="1337"/>
        <w:gridCol w:w="1408"/>
        <w:gridCol w:w="1408"/>
        <w:gridCol w:w="599"/>
        <w:gridCol w:w="972"/>
        <w:gridCol w:w="1408"/>
        <w:gridCol w:w="1408"/>
        <w:gridCol w:w="599"/>
      </w:tblGrid>
      <w:tr w:rsidR="003F7F52" w:rsidRPr="008420AE" w14:paraId="231A24E1" w14:textId="77777777" w:rsidTr="00583107">
        <w:tc>
          <w:tcPr>
            <w:tcW w:w="1266" w:type="dxa"/>
            <w:vAlign w:val="center"/>
          </w:tcPr>
          <w:p w14:paraId="231A24DE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317" w:type="dxa"/>
            <w:gridSpan w:val="4"/>
            <w:vAlign w:val="center"/>
          </w:tcPr>
          <w:p w14:paraId="231A24DF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KN002 (Melanoma)</w:t>
            </w:r>
          </w:p>
        </w:tc>
        <w:tc>
          <w:tcPr>
            <w:tcW w:w="4155" w:type="dxa"/>
            <w:gridSpan w:val="4"/>
            <w:vAlign w:val="center"/>
          </w:tcPr>
          <w:p w14:paraId="231A24E0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KN010 (previously-treated NSCLC)</w:t>
            </w:r>
          </w:p>
        </w:tc>
      </w:tr>
      <w:tr w:rsidR="003F7F52" w:rsidRPr="008420AE" w14:paraId="231A24E5" w14:textId="77777777" w:rsidTr="00583107">
        <w:trPr>
          <w:trHeight w:val="269"/>
        </w:trPr>
        <w:tc>
          <w:tcPr>
            <w:tcW w:w="1266" w:type="dxa"/>
            <w:vAlign w:val="center"/>
          </w:tcPr>
          <w:p w14:paraId="231A24E2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Screened, n =</w:t>
            </w:r>
          </w:p>
        </w:tc>
        <w:tc>
          <w:tcPr>
            <w:tcW w:w="4317" w:type="dxa"/>
            <w:gridSpan w:val="4"/>
            <w:vAlign w:val="center"/>
          </w:tcPr>
          <w:p w14:paraId="231A24E3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1107</w:t>
            </w:r>
          </w:p>
        </w:tc>
        <w:tc>
          <w:tcPr>
            <w:tcW w:w="4155" w:type="dxa"/>
            <w:gridSpan w:val="4"/>
            <w:vAlign w:val="center"/>
          </w:tcPr>
          <w:p w14:paraId="231A24E4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2699</w:t>
            </w:r>
          </w:p>
        </w:tc>
      </w:tr>
      <w:tr w:rsidR="003F7F52" w:rsidRPr="008420AE" w14:paraId="231A24EF" w14:textId="77777777" w:rsidTr="00583107">
        <w:tc>
          <w:tcPr>
            <w:tcW w:w="1266" w:type="dxa"/>
            <w:vAlign w:val="center"/>
          </w:tcPr>
          <w:p w14:paraId="231A24E6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Align w:val="center"/>
          </w:tcPr>
          <w:p w14:paraId="231A24E7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Investigator-choice Chemotherapy</w:t>
            </w:r>
          </w:p>
        </w:tc>
        <w:tc>
          <w:tcPr>
            <w:tcW w:w="1275" w:type="dxa"/>
            <w:vAlign w:val="center"/>
          </w:tcPr>
          <w:p w14:paraId="231A24E8" w14:textId="6060912E" w:rsidR="003F7F52" w:rsidRPr="000805E6" w:rsidRDefault="003F7F52" w:rsidP="00AC6801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Pembrolizumab 10 mg/kg </w:t>
            </w:r>
            <w:r w:rsidR="00AC6801"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Q</w:t>
            </w:r>
            <w:r w:rsidR="00AC680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  <w:r w:rsidR="00AC6801"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W</w:t>
            </w:r>
          </w:p>
        </w:tc>
        <w:tc>
          <w:tcPr>
            <w:tcW w:w="1275" w:type="dxa"/>
            <w:vAlign w:val="center"/>
          </w:tcPr>
          <w:p w14:paraId="231A24E9" w14:textId="73AE7224" w:rsidR="003F7F52" w:rsidRPr="000805E6" w:rsidRDefault="003F7F52" w:rsidP="00AC6801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Pembrolizumab </w:t>
            </w:r>
            <w:r w:rsidR="00AC680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  <w:r w:rsidR="00AC6801"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mg/kg Q3W</w:t>
            </w:r>
          </w:p>
        </w:tc>
        <w:tc>
          <w:tcPr>
            <w:tcW w:w="556" w:type="dxa"/>
            <w:vAlign w:val="center"/>
          </w:tcPr>
          <w:p w14:paraId="231A24EA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887" w:type="dxa"/>
            <w:vAlign w:val="center"/>
          </w:tcPr>
          <w:p w14:paraId="231A24EB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Docetaxel 75 mg/m</w:t>
            </w: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Q3W</w:t>
            </w:r>
          </w:p>
        </w:tc>
        <w:tc>
          <w:tcPr>
            <w:tcW w:w="1275" w:type="dxa"/>
            <w:vAlign w:val="center"/>
          </w:tcPr>
          <w:p w14:paraId="231A24EC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Pembrolizumab 10 mg/kg Q3W</w:t>
            </w:r>
          </w:p>
        </w:tc>
        <w:tc>
          <w:tcPr>
            <w:tcW w:w="1275" w:type="dxa"/>
            <w:vAlign w:val="center"/>
          </w:tcPr>
          <w:p w14:paraId="231A24ED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Pembrolizumab 2 mg/kg Q3W</w:t>
            </w:r>
          </w:p>
        </w:tc>
        <w:tc>
          <w:tcPr>
            <w:tcW w:w="718" w:type="dxa"/>
            <w:vAlign w:val="center"/>
          </w:tcPr>
          <w:p w14:paraId="231A24EE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</w:t>
            </w:r>
          </w:p>
        </w:tc>
      </w:tr>
      <w:tr w:rsidR="003F7F52" w:rsidRPr="008420AE" w14:paraId="231A24F9" w14:textId="77777777" w:rsidTr="00583107">
        <w:tc>
          <w:tcPr>
            <w:tcW w:w="1266" w:type="dxa"/>
            <w:vAlign w:val="center"/>
          </w:tcPr>
          <w:p w14:paraId="231A24F0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Randomized </w:t>
            </w: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(non-missing allocation number)</w:t>
            </w:r>
          </w:p>
        </w:tc>
        <w:tc>
          <w:tcPr>
            <w:tcW w:w="1211" w:type="dxa"/>
            <w:vAlign w:val="center"/>
          </w:tcPr>
          <w:p w14:paraId="231A24F1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1275" w:type="dxa"/>
            <w:vAlign w:val="center"/>
          </w:tcPr>
          <w:p w14:paraId="231A24F2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275" w:type="dxa"/>
            <w:vAlign w:val="center"/>
          </w:tcPr>
          <w:p w14:paraId="231A24F3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556" w:type="dxa"/>
            <w:vAlign w:val="center"/>
          </w:tcPr>
          <w:p w14:paraId="231A24F4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887" w:type="dxa"/>
            <w:vAlign w:val="center"/>
          </w:tcPr>
          <w:p w14:paraId="231A24F5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275" w:type="dxa"/>
            <w:vAlign w:val="center"/>
          </w:tcPr>
          <w:p w14:paraId="231A24F6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275" w:type="dxa"/>
            <w:vAlign w:val="center"/>
          </w:tcPr>
          <w:p w14:paraId="231A24F7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718" w:type="dxa"/>
            <w:vAlign w:val="center"/>
          </w:tcPr>
          <w:p w14:paraId="231A24F8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1034</w:t>
            </w:r>
          </w:p>
        </w:tc>
      </w:tr>
      <w:tr w:rsidR="003F7F52" w:rsidRPr="008420AE" w14:paraId="231A2503" w14:textId="77777777" w:rsidTr="00583107">
        <w:tc>
          <w:tcPr>
            <w:tcW w:w="1266" w:type="dxa"/>
            <w:vAlign w:val="center"/>
          </w:tcPr>
          <w:p w14:paraId="231A24FA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Treated on Study</w:t>
            </w:r>
          </w:p>
        </w:tc>
        <w:tc>
          <w:tcPr>
            <w:tcW w:w="1211" w:type="dxa"/>
            <w:vAlign w:val="center"/>
          </w:tcPr>
          <w:p w14:paraId="231A24FB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1275" w:type="dxa"/>
            <w:vAlign w:val="center"/>
          </w:tcPr>
          <w:p w14:paraId="231A24FC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1275" w:type="dxa"/>
            <w:vAlign w:val="center"/>
          </w:tcPr>
          <w:p w14:paraId="231A24FD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556" w:type="dxa"/>
            <w:vAlign w:val="center"/>
          </w:tcPr>
          <w:p w14:paraId="231A24FE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528</w:t>
            </w:r>
          </w:p>
        </w:tc>
        <w:tc>
          <w:tcPr>
            <w:tcW w:w="887" w:type="dxa"/>
            <w:vAlign w:val="center"/>
          </w:tcPr>
          <w:p w14:paraId="231A24FF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1275" w:type="dxa"/>
            <w:vAlign w:val="center"/>
          </w:tcPr>
          <w:p w14:paraId="231A2500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275" w:type="dxa"/>
            <w:vAlign w:val="center"/>
          </w:tcPr>
          <w:p w14:paraId="231A2501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718" w:type="dxa"/>
            <w:vAlign w:val="center"/>
          </w:tcPr>
          <w:p w14:paraId="231A2502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991</w:t>
            </w:r>
          </w:p>
        </w:tc>
      </w:tr>
      <w:tr w:rsidR="003F7F52" w:rsidRPr="008420AE" w14:paraId="231A250D" w14:textId="77777777" w:rsidTr="00583107">
        <w:tc>
          <w:tcPr>
            <w:tcW w:w="1266" w:type="dxa"/>
            <w:vAlign w:val="center"/>
          </w:tcPr>
          <w:p w14:paraId="231A2504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With ≥ 1 pembrolizumab PK measurement</w:t>
            </w:r>
          </w:p>
        </w:tc>
        <w:tc>
          <w:tcPr>
            <w:tcW w:w="1211" w:type="dxa"/>
            <w:vAlign w:val="center"/>
          </w:tcPr>
          <w:p w14:paraId="231A2505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5" w:type="dxa"/>
            <w:vAlign w:val="center"/>
          </w:tcPr>
          <w:p w14:paraId="231A2506" w14:textId="3D273EED" w:rsidR="003F7F52" w:rsidRPr="000805E6" w:rsidRDefault="00E1124F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5" w:type="dxa"/>
            <w:vAlign w:val="center"/>
          </w:tcPr>
          <w:p w14:paraId="231A2507" w14:textId="25A5E822" w:rsidR="003F7F52" w:rsidRPr="000805E6" w:rsidRDefault="00E1124F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556" w:type="dxa"/>
            <w:vAlign w:val="center"/>
          </w:tcPr>
          <w:p w14:paraId="231A2508" w14:textId="68C7389D" w:rsidR="003F7F52" w:rsidRPr="000805E6" w:rsidRDefault="00E1124F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887" w:type="dxa"/>
            <w:vAlign w:val="center"/>
          </w:tcPr>
          <w:p w14:paraId="231A2509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5" w:type="dxa"/>
            <w:vAlign w:val="center"/>
          </w:tcPr>
          <w:p w14:paraId="231A250A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1275" w:type="dxa"/>
            <w:vAlign w:val="center"/>
          </w:tcPr>
          <w:p w14:paraId="231A250B" w14:textId="3DD3DE30" w:rsidR="003F7F52" w:rsidRPr="000805E6" w:rsidRDefault="00E1124F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718" w:type="dxa"/>
            <w:vAlign w:val="center"/>
          </w:tcPr>
          <w:p w14:paraId="231A250C" w14:textId="03FFBAA6" w:rsidR="003F7F52" w:rsidRPr="000805E6" w:rsidRDefault="00E1124F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652</w:t>
            </w:r>
          </w:p>
        </w:tc>
      </w:tr>
      <w:tr w:rsidR="003F7F52" w:rsidRPr="008420AE" w14:paraId="231A2517" w14:textId="77777777" w:rsidTr="00583107">
        <w:tc>
          <w:tcPr>
            <w:tcW w:w="1266" w:type="dxa"/>
            <w:vAlign w:val="center"/>
          </w:tcPr>
          <w:p w14:paraId="231A250E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Complete Case (no missing covariates)*</w:t>
            </w:r>
          </w:p>
        </w:tc>
        <w:tc>
          <w:tcPr>
            <w:tcW w:w="1211" w:type="dxa"/>
            <w:vAlign w:val="center"/>
          </w:tcPr>
          <w:p w14:paraId="231A250F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1275" w:type="dxa"/>
            <w:vAlign w:val="center"/>
          </w:tcPr>
          <w:p w14:paraId="231A2510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1275" w:type="dxa"/>
            <w:vAlign w:val="center"/>
          </w:tcPr>
          <w:p w14:paraId="231A2511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556" w:type="dxa"/>
            <w:vAlign w:val="center"/>
          </w:tcPr>
          <w:p w14:paraId="231A2512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887" w:type="dxa"/>
            <w:vAlign w:val="center"/>
          </w:tcPr>
          <w:p w14:paraId="231A2513" w14:textId="77777777" w:rsidR="003F7F52" w:rsidRPr="000805E6" w:rsidRDefault="00CA7037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1275" w:type="dxa"/>
            <w:vAlign w:val="center"/>
          </w:tcPr>
          <w:p w14:paraId="231A2514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1275" w:type="dxa"/>
            <w:vAlign w:val="center"/>
          </w:tcPr>
          <w:p w14:paraId="231A2515" w14:textId="77777777" w:rsidR="003F7F52" w:rsidRPr="000805E6" w:rsidRDefault="003F7F52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718" w:type="dxa"/>
            <w:vAlign w:val="center"/>
          </w:tcPr>
          <w:p w14:paraId="231A2516" w14:textId="77777777" w:rsidR="003F7F52" w:rsidRPr="000805E6" w:rsidRDefault="00CA7037" w:rsidP="00D75B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05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786</w:t>
            </w:r>
          </w:p>
        </w:tc>
      </w:tr>
    </w:tbl>
    <w:p w14:paraId="231A2518" w14:textId="77777777" w:rsidR="003F7F52" w:rsidRPr="000805E6" w:rsidRDefault="003F7F52" w:rsidP="003F7F52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14:paraId="231A251A" w14:textId="5FC351ED" w:rsidR="003F7F52" w:rsidRPr="00363807" w:rsidRDefault="003F7F52" w:rsidP="00413215">
      <w:pPr>
        <w:spacing w:after="0" w:line="48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363807">
        <w:rPr>
          <w:rFonts w:ascii="Arial" w:eastAsia="Times New Roman" w:hAnsi="Arial" w:cs="Arial"/>
          <w:color w:val="000000"/>
          <w:sz w:val="16"/>
          <w:szCs w:val="16"/>
        </w:rPr>
        <w:t xml:space="preserve">*See Methods for </w:t>
      </w:r>
      <w:r w:rsidR="00995605" w:rsidRPr="00363807">
        <w:rPr>
          <w:rFonts w:ascii="Arial" w:eastAsia="Times New Roman" w:hAnsi="Arial" w:cs="Arial"/>
          <w:color w:val="000000"/>
          <w:sz w:val="16"/>
          <w:szCs w:val="16"/>
        </w:rPr>
        <w:t>complete</w:t>
      </w:r>
      <w:r w:rsidRPr="00363807">
        <w:rPr>
          <w:rFonts w:ascii="Arial" w:eastAsia="Times New Roman" w:hAnsi="Arial" w:cs="Arial"/>
          <w:color w:val="000000"/>
          <w:sz w:val="16"/>
          <w:szCs w:val="16"/>
        </w:rPr>
        <w:t xml:space="preserve"> list of covariates considered per study population</w:t>
      </w:r>
      <w:r w:rsidR="00413215">
        <w:rPr>
          <w:rFonts w:ascii="Arial" w:eastAsia="Times New Roman" w:hAnsi="Arial" w:cs="Arial"/>
          <w:color w:val="000000"/>
          <w:sz w:val="16"/>
          <w:szCs w:val="16"/>
        </w:rPr>
        <w:t xml:space="preserve">.  </w:t>
      </w:r>
      <w:r w:rsidRPr="00363807">
        <w:rPr>
          <w:rFonts w:ascii="Arial" w:eastAsia="Times New Roman" w:hAnsi="Arial" w:cs="Arial"/>
          <w:color w:val="000000"/>
          <w:sz w:val="16"/>
          <w:szCs w:val="16"/>
        </w:rPr>
        <w:t xml:space="preserve">NA = </w:t>
      </w:r>
      <w:r w:rsidR="00E1124F" w:rsidRPr="00363807">
        <w:rPr>
          <w:rFonts w:ascii="Arial" w:eastAsia="Times New Roman" w:hAnsi="Arial" w:cs="Arial"/>
          <w:color w:val="000000"/>
          <w:sz w:val="16"/>
          <w:szCs w:val="16"/>
        </w:rPr>
        <w:t xml:space="preserve">data </w:t>
      </w:r>
      <w:r w:rsidR="00CA7037" w:rsidRPr="00363807">
        <w:rPr>
          <w:rFonts w:ascii="Arial" w:eastAsia="Times New Roman" w:hAnsi="Arial" w:cs="Arial"/>
          <w:color w:val="000000"/>
          <w:sz w:val="16"/>
          <w:szCs w:val="16"/>
        </w:rPr>
        <w:t>beyond scope of</w:t>
      </w:r>
      <w:r w:rsidRPr="00363807">
        <w:rPr>
          <w:rFonts w:ascii="Arial" w:eastAsia="Times New Roman" w:hAnsi="Arial" w:cs="Arial"/>
          <w:color w:val="000000"/>
          <w:sz w:val="16"/>
          <w:szCs w:val="16"/>
        </w:rPr>
        <w:t xml:space="preserve"> </w:t>
      </w:r>
      <w:r w:rsidR="00E1124F" w:rsidRPr="00363807">
        <w:rPr>
          <w:rFonts w:ascii="Arial" w:eastAsia="Times New Roman" w:hAnsi="Arial" w:cs="Arial"/>
          <w:color w:val="000000"/>
          <w:sz w:val="16"/>
          <w:szCs w:val="16"/>
        </w:rPr>
        <w:t>current</w:t>
      </w:r>
      <w:r w:rsidRPr="00363807">
        <w:rPr>
          <w:rFonts w:ascii="Arial" w:eastAsia="Times New Roman" w:hAnsi="Arial" w:cs="Arial"/>
          <w:color w:val="000000"/>
          <w:sz w:val="16"/>
          <w:szCs w:val="16"/>
        </w:rPr>
        <w:t xml:space="preserve"> analyses</w:t>
      </w:r>
    </w:p>
    <w:p w14:paraId="231A251B" w14:textId="137EF4D7" w:rsidR="005B28A2" w:rsidRDefault="005B28A2" w:rsidP="00413215">
      <w:pPr>
        <w:pStyle w:val="Paragraph"/>
        <w:spacing w:line="480" w:lineRule="auto"/>
        <w:ind w:left="420"/>
        <w:jc w:val="both"/>
        <w:rPr>
          <w:rStyle w:val="apple-converted-space"/>
          <w:rFonts w:ascii="Arial" w:hAnsi="Arial" w:cs="Arial"/>
          <w:b/>
          <w:shd w:val="clear" w:color="auto" w:fill="FFFFFF"/>
        </w:rPr>
      </w:pPr>
    </w:p>
    <w:p w14:paraId="56659E83" w14:textId="77777777" w:rsidR="00413215" w:rsidRDefault="00413215" w:rsidP="005B28A2">
      <w:pPr>
        <w:pStyle w:val="Paragraph"/>
        <w:spacing w:line="480" w:lineRule="auto"/>
        <w:ind w:left="420"/>
        <w:jc w:val="both"/>
        <w:rPr>
          <w:rStyle w:val="apple-converted-space"/>
          <w:rFonts w:ascii="Arial" w:hAnsi="Arial" w:cs="Arial"/>
          <w:b/>
          <w:shd w:val="clear" w:color="auto" w:fill="FFFFFF"/>
        </w:rPr>
      </w:pPr>
    </w:p>
    <w:p w14:paraId="60C59C0D" w14:textId="77777777" w:rsidR="00413215" w:rsidRDefault="00413215" w:rsidP="005B28A2">
      <w:pPr>
        <w:pStyle w:val="Paragraph"/>
        <w:spacing w:line="480" w:lineRule="auto"/>
        <w:ind w:left="420"/>
        <w:jc w:val="both"/>
        <w:rPr>
          <w:rStyle w:val="apple-converted-space"/>
          <w:rFonts w:ascii="Arial" w:hAnsi="Arial" w:cs="Arial"/>
          <w:b/>
          <w:shd w:val="clear" w:color="auto" w:fill="FFFFFF"/>
        </w:rPr>
      </w:pPr>
    </w:p>
    <w:p w14:paraId="1F529D89" w14:textId="77777777" w:rsidR="00413215" w:rsidRDefault="00413215" w:rsidP="005B28A2">
      <w:pPr>
        <w:pStyle w:val="Paragraph"/>
        <w:spacing w:line="480" w:lineRule="auto"/>
        <w:ind w:left="420"/>
        <w:jc w:val="both"/>
        <w:rPr>
          <w:rStyle w:val="apple-converted-space"/>
          <w:rFonts w:ascii="Arial" w:hAnsi="Arial" w:cs="Arial"/>
          <w:b/>
          <w:shd w:val="clear" w:color="auto" w:fill="FFFFFF"/>
        </w:rPr>
      </w:pPr>
    </w:p>
    <w:p w14:paraId="68CF4B8D" w14:textId="5F3CDBFD" w:rsidR="00413215" w:rsidRDefault="003C5958" w:rsidP="00413215">
      <w:pPr>
        <w:pStyle w:val="Paragraph"/>
        <w:spacing w:line="480" w:lineRule="auto"/>
        <w:ind w:left="420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Supplementary Table S</w:t>
      </w:r>
      <w:r w:rsidR="00413215" w:rsidRPr="00583107">
        <w:rPr>
          <w:rFonts w:ascii="Arial" w:hAnsi="Arial" w:cs="Arial"/>
          <w:b/>
        </w:rPr>
        <w:t>2.</w:t>
      </w:r>
      <w:r w:rsidR="00DE5A05">
        <w:rPr>
          <w:rFonts w:ascii="Arial" w:hAnsi="Arial" w:cs="Arial"/>
        </w:rPr>
        <w:t xml:space="preserve"> Demographics and </w:t>
      </w:r>
      <w:r w:rsidR="00755A0C">
        <w:rPr>
          <w:rFonts w:ascii="Arial" w:hAnsi="Arial" w:cs="Arial"/>
        </w:rPr>
        <w:t>B</w:t>
      </w:r>
      <w:r w:rsidR="00DE5A05">
        <w:rPr>
          <w:rFonts w:ascii="Arial" w:hAnsi="Arial" w:cs="Arial"/>
        </w:rPr>
        <w:t xml:space="preserve">aseline </w:t>
      </w:r>
      <w:r w:rsidR="00755A0C">
        <w:rPr>
          <w:rFonts w:ascii="Arial" w:hAnsi="Arial" w:cs="Arial"/>
        </w:rPr>
        <w:t>C</w:t>
      </w:r>
      <w:r w:rsidR="00DE5A05">
        <w:rPr>
          <w:rFonts w:ascii="Arial" w:hAnsi="Arial" w:cs="Arial"/>
        </w:rPr>
        <w:t xml:space="preserve">haracteristics for </w:t>
      </w:r>
      <w:r w:rsidR="00755A0C">
        <w:rPr>
          <w:rFonts w:ascii="Arial" w:hAnsi="Arial" w:cs="Arial"/>
        </w:rPr>
        <w:t>S</w:t>
      </w:r>
      <w:r w:rsidR="00DE5A05">
        <w:rPr>
          <w:rFonts w:ascii="Arial" w:hAnsi="Arial" w:cs="Arial"/>
        </w:rPr>
        <w:t xml:space="preserve">ubjects with ≥ 1 </w:t>
      </w:r>
      <w:r w:rsidR="00755A0C">
        <w:rPr>
          <w:rFonts w:ascii="Arial" w:hAnsi="Arial" w:cs="Arial"/>
        </w:rPr>
        <w:t>P</w:t>
      </w:r>
      <w:r w:rsidR="00DE5A05">
        <w:rPr>
          <w:rFonts w:ascii="Arial" w:hAnsi="Arial" w:cs="Arial"/>
        </w:rPr>
        <w:t xml:space="preserve">embrolizumab PK </w:t>
      </w:r>
      <w:r w:rsidR="00755A0C">
        <w:rPr>
          <w:rFonts w:ascii="Arial" w:hAnsi="Arial" w:cs="Arial"/>
        </w:rPr>
        <w:t>M</w:t>
      </w:r>
      <w:r w:rsidR="00413215" w:rsidRPr="000805E6">
        <w:rPr>
          <w:rFonts w:ascii="Arial" w:hAnsi="Arial" w:cs="Arial"/>
        </w:rPr>
        <w:t>easurement (KEYNOTE-010/-024 and -002)</w:t>
      </w:r>
      <w:r w:rsidR="00755A0C">
        <w:rPr>
          <w:rFonts w:ascii="Arial" w:hAnsi="Arial" w:cs="Arial"/>
        </w:rPr>
        <w:t>.</w:t>
      </w:r>
      <w:r w:rsidR="00413215" w:rsidRPr="000805E6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2217"/>
        <w:gridCol w:w="2520"/>
        <w:gridCol w:w="2520"/>
        <w:gridCol w:w="2520"/>
      </w:tblGrid>
      <w:tr w:rsidR="005B28A2" w:rsidRPr="008420AE" w14:paraId="231A2525" w14:textId="77777777" w:rsidTr="00DE5A05">
        <w:trPr>
          <w:trHeight w:val="1070"/>
        </w:trPr>
        <w:tc>
          <w:tcPr>
            <w:tcW w:w="23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1A251E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251F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 xml:space="preserve">KEYNOTE-010; </w:t>
            </w:r>
          </w:p>
          <w:p w14:paraId="231A2520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Advanced, Previously-treated NSCLC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2521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 xml:space="preserve">KEYNOTE-024; </w:t>
            </w:r>
          </w:p>
          <w:p w14:paraId="231A2522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Advanced, Previously-untreated (first-line) NSCLC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1A2523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 xml:space="preserve">KEYNOTE-002; </w:t>
            </w:r>
          </w:p>
          <w:p w14:paraId="231A2524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Advanced melanoma</w:t>
            </w:r>
          </w:p>
        </w:tc>
      </w:tr>
      <w:tr w:rsidR="00413215" w:rsidRPr="008420AE" w14:paraId="231A252F" w14:textId="77777777" w:rsidTr="00DE5A05">
        <w:trPr>
          <w:trHeight w:val="1070"/>
        </w:trPr>
        <w:tc>
          <w:tcPr>
            <w:tcW w:w="23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1A2526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Characteristic</w:t>
            </w:r>
          </w:p>
        </w:tc>
        <w:tc>
          <w:tcPr>
            <w:tcW w:w="22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2527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Pembrolizumab</w:t>
            </w:r>
          </w:p>
          <w:p w14:paraId="231A2528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(n = 652), No. (%)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2529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Docetaxel</w:t>
            </w:r>
          </w:p>
          <w:p w14:paraId="231A252A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(n = 309), No. (%)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252B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Pembrolizumab</w:t>
            </w:r>
          </w:p>
          <w:p w14:paraId="231A252C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(n = 152), No. (%)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1A252D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 xml:space="preserve">Pembrolizumab </w:t>
            </w:r>
          </w:p>
          <w:p w14:paraId="231A252E" w14:textId="77777777" w:rsidR="005B28A2" w:rsidRPr="000805E6" w:rsidRDefault="005B28A2" w:rsidP="00D75B0B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(n = 340), No. (%)</w:t>
            </w:r>
          </w:p>
        </w:tc>
      </w:tr>
      <w:tr w:rsidR="00413215" w:rsidRPr="008420AE" w14:paraId="231A253F" w14:textId="77777777" w:rsidTr="00DE5A05">
        <w:trPr>
          <w:trHeight w:val="1008"/>
        </w:trPr>
        <w:tc>
          <w:tcPr>
            <w:tcW w:w="2301" w:type="dxa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30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Age, year</w:t>
            </w:r>
          </w:p>
          <w:p w14:paraId="231A2531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Median</w:t>
            </w:r>
          </w:p>
          <w:p w14:paraId="231A2532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Range</w:t>
            </w:r>
          </w:p>
        </w:tc>
        <w:tc>
          <w:tcPr>
            <w:tcW w:w="22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33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</w:p>
          <w:p w14:paraId="231A2534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63</w:t>
            </w:r>
          </w:p>
          <w:p w14:paraId="231A2535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(20 – 88)</w:t>
            </w:r>
          </w:p>
        </w:tc>
        <w:tc>
          <w:tcPr>
            <w:tcW w:w="2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36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231A2537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62</w:t>
            </w:r>
          </w:p>
          <w:p w14:paraId="231A2538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(34 – 82)</w:t>
            </w:r>
          </w:p>
        </w:tc>
        <w:tc>
          <w:tcPr>
            <w:tcW w:w="2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39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3A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64</w:t>
            </w:r>
          </w:p>
          <w:p w14:paraId="231A253B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(33 – 90)</w:t>
            </w:r>
          </w:p>
        </w:tc>
        <w:tc>
          <w:tcPr>
            <w:tcW w:w="2520" w:type="dxa"/>
            <w:tcBorders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31A253C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3D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62</w:t>
            </w:r>
          </w:p>
          <w:p w14:paraId="231A253E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(15 – 89)</w:t>
            </w:r>
          </w:p>
        </w:tc>
      </w:tr>
      <w:tr w:rsidR="00413215" w:rsidRPr="008420AE" w14:paraId="231A254F" w14:textId="77777777" w:rsidTr="00DE5A05">
        <w:trPr>
          <w:trHeight w:val="1008"/>
        </w:trPr>
        <w:tc>
          <w:tcPr>
            <w:tcW w:w="2301" w:type="dxa"/>
            <w:tcBorders>
              <w:top w:val="nil"/>
              <w:bottom w:val="nil"/>
              <w:right w:val="single" w:sz="4" w:space="0" w:color="auto"/>
            </w:tcBorders>
          </w:tcPr>
          <w:p w14:paraId="231A2540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Gender</w:t>
            </w:r>
          </w:p>
          <w:p w14:paraId="231A2541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Male</w:t>
            </w:r>
          </w:p>
          <w:p w14:paraId="231A2542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Female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43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</w:p>
          <w:p w14:paraId="231A2544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397 (61%)</w:t>
            </w:r>
          </w:p>
          <w:p w14:paraId="231A2545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255 (39%)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46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231A2547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191 (62%)</w:t>
            </w:r>
          </w:p>
          <w:p w14:paraId="231A2548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118 (38%)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49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4A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90 (59%)</w:t>
            </w:r>
          </w:p>
          <w:p w14:paraId="231A254B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62 (41%)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</w:tcPr>
          <w:p w14:paraId="231A254C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4D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205 (60%)</w:t>
            </w:r>
          </w:p>
          <w:p w14:paraId="231A254E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135 (40%)</w:t>
            </w:r>
          </w:p>
        </w:tc>
      </w:tr>
      <w:tr w:rsidR="00413215" w:rsidRPr="008420AE" w14:paraId="231A256A" w14:textId="77777777" w:rsidTr="00DE5A05">
        <w:trPr>
          <w:trHeight w:val="1008"/>
        </w:trPr>
        <w:tc>
          <w:tcPr>
            <w:tcW w:w="2301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50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Stage</w:t>
            </w:r>
          </w:p>
          <w:p w14:paraId="231A2551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I</w:t>
            </w:r>
          </w:p>
          <w:p w14:paraId="231A2552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II</w:t>
            </w:r>
          </w:p>
          <w:p w14:paraId="231A2553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III</w:t>
            </w:r>
          </w:p>
          <w:p w14:paraId="231A2554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IV</w:t>
            </w:r>
          </w:p>
          <w:p w14:paraId="231A2555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56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</w:p>
          <w:p w14:paraId="231A2557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 (&lt;1%)</w:t>
            </w:r>
          </w:p>
          <w:p w14:paraId="231A2558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 (&lt;1%)</w:t>
            </w:r>
          </w:p>
          <w:p w14:paraId="231A2559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52 (8%)</w:t>
            </w:r>
          </w:p>
          <w:p w14:paraId="231A255A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597 (92%)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5B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231A255C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 (&lt;1%)</w:t>
            </w:r>
          </w:p>
          <w:p w14:paraId="231A255D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0 (0%)</w:t>
            </w:r>
          </w:p>
          <w:p w14:paraId="231A255E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28 (9%)</w:t>
            </w:r>
          </w:p>
          <w:p w14:paraId="231A255F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280 (91%)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60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61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0 (0%)</w:t>
            </w:r>
          </w:p>
          <w:p w14:paraId="231A2562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0 (0%)</w:t>
            </w:r>
          </w:p>
          <w:p w14:paraId="231A2563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 (&lt;1%)</w:t>
            </w:r>
          </w:p>
          <w:p w14:paraId="231A2564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151 (&gt;99%)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31A2565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66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0 (0%)</w:t>
            </w:r>
          </w:p>
          <w:p w14:paraId="231A2567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0 (0%)</w:t>
            </w:r>
          </w:p>
          <w:p w14:paraId="231A2568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4 (1%)</w:t>
            </w:r>
          </w:p>
          <w:p w14:paraId="231A2569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336 (99%)</w:t>
            </w:r>
          </w:p>
        </w:tc>
      </w:tr>
      <w:tr w:rsidR="00413215" w:rsidRPr="008420AE" w14:paraId="231A257B" w14:textId="77777777" w:rsidTr="00DE5A05">
        <w:trPr>
          <w:trHeight w:val="1008"/>
        </w:trPr>
        <w:tc>
          <w:tcPr>
            <w:tcW w:w="230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31A256B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ECOG</w:t>
            </w:r>
          </w:p>
          <w:p w14:paraId="231A256C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0</w:t>
            </w:r>
          </w:p>
          <w:p w14:paraId="231A256D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</w:t>
            </w:r>
          </w:p>
          <w:p w14:paraId="231A256E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256F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</w:p>
          <w:p w14:paraId="231A2570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224 (34%)</w:t>
            </w:r>
          </w:p>
          <w:p w14:paraId="231A2571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428 (66%)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2572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231A2573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102 (33%)</w:t>
            </w:r>
          </w:p>
          <w:p w14:paraId="231A2574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207 (67%)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2575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76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53 (35%)</w:t>
            </w:r>
          </w:p>
          <w:p w14:paraId="231A2577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99 (65%)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31A2578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79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192 (56%)</w:t>
            </w:r>
          </w:p>
          <w:p w14:paraId="231A257A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146 (43%)</w:t>
            </w:r>
          </w:p>
        </w:tc>
      </w:tr>
      <w:tr w:rsidR="00413215" w:rsidRPr="008420AE" w14:paraId="231A258F" w14:textId="77777777" w:rsidTr="00DE5A05">
        <w:trPr>
          <w:trHeight w:val="1008"/>
        </w:trPr>
        <w:tc>
          <w:tcPr>
            <w:tcW w:w="230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7C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Histology</w:t>
            </w:r>
          </w:p>
          <w:p w14:paraId="231A257D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Squamous</w:t>
            </w:r>
          </w:p>
          <w:p w14:paraId="231A257E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Non-squamous</w:t>
            </w:r>
          </w:p>
          <w:p w14:paraId="231A257F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Other/Unknown</w:t>
            </w:r>
          </w:p>
          <w:p w14:paraId="231A2580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81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</w:p>
          <w:p w14:paraId="231A2582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148 (23%)</w:t>
            </w:r>
          </w:p>
          <w:p w14:paraId="231A2583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474 (73%)</w:t>
            </w:r>
          </w:p>
          <w:p w14:paraId="231A2584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30 (5%)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85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231A2586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62 (20%)</w:t>
            </w:r>
          </w:p>
          <w:p w14:paraId="231A2587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222 (72%)</w:t>
            </w:r>
          </w:p>
          <w:p w14:paraId="231A2588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25 (8%)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89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8A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29 (19%)</w:t>
            </w:r>
          </w:p>
          <w:p w14:paraId="231A258B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123 (81%)</w:t>
            </w:r>
          </w:p>
          <w:p w14:paraId="231A258C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0 (0%)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31A258D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8E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N/A</w:t>
            </w:r>
          </w:p>
        </w:tc>
      </w:tr>
      <w:tr w:rsidR="00413215" w:rsidRPr="008420AE" w14:paraId="231A25A3" w14:textId="77777777" w:rsidTr="00DE5A05">
        <w:trPr>
          <w:trHeight w:val="1008"/>
        </w:trPr>
        <w:tc>
          <w:tcPr>
            <w:tcW w:w="2301" w:type="dxa"/>
            <w:tcBorders>
              <w:top w:val="nil"/>
              <w:bottom w:val="nil"/>
              <w:right w:val="single" w:sz="4" w:space="0" w:color="auto"/>
            </w:tcBorders>
          </w:tcPr>
          <w:p w14:paraId="231A2590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lastRenderedPageBreak/>
              <w:t>EGFR status</w:t>
            </w:r>
          </w:p>
          <w:p w14:paraId="231A2591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Mutant</w:t>
            </w:r>
          </w:p>
          <w:p w14:paraId="231A2592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Wild-type</w:t>
            </w:r>
          </w:p>
          <w:p w14:paraId="231A2593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Unknown</w:t>
            </w:r>
            <w:r w:rsidR="0015298C" w:rsidRPr="000805E6">
              <w:rPr>
                <w:rFonts w:ascii="Arial" w:hAnsi="Arial" w:cs="Arial"/>
              </w:rPr>
              <w:t>/Missing</w:t>
            </w:r>
          </w:p>
          <w:p w14:paraId="231A2594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95" w14:textId="77777777" w:rsidR="005B28A2" w:rsidRPr="000805E6" w:rsidRDefault="005B28A2" w:rsidP="00DE5A05">
            <w:pPr>
              <w:ind w:left="756"/>
              <w:jc w:val="center"/>
              <w:rPr>
                <w:rFonts w:ascii="Arial" w:hAnsi="Arial" w:cs="Arial"/>
              </w:rPr>
            </w:pPr>
          </w:p>
          <w:p w14:paraId="231A2596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58 (9%)</w:t>
            </w:r>
          </w:p>
          <w:p w14:paraId="231A2597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549 (84%)</w:t>
            </w:r>
          </w:p>
          <w:p w14:paraId="231A2598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45 (7%)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99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231A259A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22 (7%)</w:t>
            </w:r>
          </w:p>
          <w:p w14:paraId="231A259B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269 (87%)</w:t>
            </w:r>
          </w:p>
          <w:p w14:paraId="231A259C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18 (6%)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9D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9E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0 (0%)</w:t>
            </w:r>
          </w:p>
          <w:p w14:paraId="231A259F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138 (91%)</w:t>
            </w:r>
          </w:p>
          <w:p w14:paraId="231A25A0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14 (8%)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</w:tcPr>
          <w:p w14:paraId="231A25A1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A2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N/A</w:t>
            </w:r>
          </w:p>
        </w:tc>
      </w:tr>
      <w:tr w:rsidR="00413215" w:rsidRPr="008420AE" w14:paraId="231A25B1" w14:textId="77777777" w:rsidTr="00DE5A05">
        <w:trPr>
          <w:trHeight w:val="1008"/>
        </w:trPr>
        <w:tc>
          <w:tcPr>
            <w:tcW w:w="2301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A4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BRAF mutation</w:t>
            </w:r>
          </w:p>
          <w:p w14:paraId="231A25A5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Yes</w:t>
            </w:r>
          </w:p>
          <w:p w14:paraId="231A25A6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No</w:t>
            </w:r>
          </w:p>
          <w:p w14:paraId="231A25A7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A8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</w:p>
          <w:p w14:paraId="231A25A9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N/A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AA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231A25AB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N/A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AC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AD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N/A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31A25AE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AF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80 (24%)</w:t>
            </w:r>
          </w:p>
          <w:p w14:paraId="231A25B0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260 (76%)</w:t>
            </w:r>
          </w:p>
        </w:tc>
      </w:tr>
      <w:tr w:rsidR="00413215" w:rsidRPr="008420AE" w14:paraId="231A25C2" w14:textId="77777777" w:rsidTr="00DE5A05">
        <w:trPr>
          <w:trHeight w:val="1008"/>
        </w:trPr>
        <w:tc>
          <w:tcPr>
            <w:tcW w:w="2301" w:type="dxa"/>
            <w:tcBorders>
              <w:top w:val="nil"/>
              <w:bottom w:val="nil"/>
              <w:right w:val="single" w:sz="4" w:space="0" w:color="auto"/>
            </w:tcBorders>
          </w:tcPr>
          <w:p w14:paraId="231A25B2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Region</w:t>
            </w:r>
          </w:p>
          <w:p w14:paraId="231A25B3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East Asia</w:t>
            </w:r>
          </w:p>
          <w:p w14:paraId="231A25B4" w14:textId="526AC389" w:rsidR="005B28A2" w:rsidRPr="000805E6" w:rsidRDefault="00DE5A05" w:rsidP="00D75B0B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E</w:t>
            </w:r>
            <w:r w:rsidR="005B28A2" w:rsidRPr="000805E6">
              <w:rPr>
                <w:rFonts w:ascii="Arial" w:hAnsi="Arial" w:cs="Arial"/>
              </w:rPr>
              <w:t>ast Asia</w:t>
            </w:r>
          </w:p>
          <w:p w14:paraId="231A25B5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B6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</w:p>
          <w:p w14:paraId="231A25B7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141 (22%)</w:t>
            </w:r>
          </w:p>
          <w:p w14:paraId="231A25B8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511 (78%)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B9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231A25BA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66 (21%)</w:t>
            </w:r>
          </w:p>
          <w:p w14:paraId="231A25BB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243 (79%)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BC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BD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24 (16%)</w:t>
            </w:r>
          </w:p>
          <w:p w14:paraId="231A25BE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128 (84%)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</w:tcPr>
          <w:p w14:paraId="231A25BF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C0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4 (1%)</w:t>
            </w:r>
          </w:p>
          <w:p w14:paraId="231A25C1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336 (99%)</w:t>
            </w:r>
          </w:p>
        </w:tc>
      </w:tr>
      <w:tr w:rsidR="00413215" w:rsidRPr="008420AE" w14:paraId="231A25D2" w14:textId="77777777" w:rsidTr="00DE5A05">
        <w:trPr>
          <w:trHeight w:val="1008"/>
        </w:trPr>
        <w:tc>
          <w:tcPr>
            <w:tcW w:w="2301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C3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Albumin, g/L</w:t>
            </w:r>
          </w:p>
          <w:p w14:paraId="231A25C4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Median</w:t>
            </w:r>
          </w:p>
          <w:p w14:paraId="231A25C5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Range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C6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</w:p>
          <w:p w14:paraId="231A25C7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40</w:t>
            </w:r>
          </w:p>
          <w:p w14:paraId="231A25C8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(18.5 – 52)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C9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231A25CA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39</w:t>
            </w:r>
          </w:p>
          <w:p w14:paraId="231A25CB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(19 – 51)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CC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CD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38</w:t>
            </w:r>
          </w:p>
          <w:p w14:paraId="231A25CE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(23 – 53)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31A25CF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D0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39</w:t>
            </w:r>
          </w:p>
          <w:p w14:paraId="231A25D1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(19 – 79)</w:t>
            </w:r>
          </w:p>
        </w:tc>
      </w:tr>
      <w:tr w:rsidR="00413215" w:rsidRPr="008420AE" w14:paraId="231A25E2" w14:textId="77777777" w:rsidTr="00DE5A05">
        <w:trPr>
          <w:trHeight w:val="1008"/>
        </w:trPr>
        <w:tc>
          <w:tcPr>
            <w:tcW w:w="2301" w:type="dxa"/>
            <w:tcBorders>
              <w:top w:val="nil"/>
              <w:bottom w:val="nil"/>
              <w:right w:val="single" w:sz="4" w:space="0" w:color="auto"/>
            </w:tcBorders>
          </w:tcPr>
          <w:p w14:paraId="231A25D3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Platelet, billion/L</w:t>
            </w:r>
          </w:p>
          <w:p w14:paraId="231A25D4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Median</w:t>
            </w:r>
          </w:p>
          <w:p w14:paraId="231A25D5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Range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D6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</w:p>
          <w:p w14:paraId="231A25D7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276</w:t>
            </w:r>
          </w:p>
          <w:p w14:paraId="231A25D8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(86 – 636)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D9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231A25DA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285</w:t>
            </w:r>
          </w:p>
          <w:p w14:paraId="231A25DB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(106 – 789)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A25DC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DD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313</w:t>
            </w:r>
          </w:p>
          <w:p w14:paraId="231A25DE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(122 – 961)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</w:tcPr>
          <w:p w14:paraId="231A25DF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E0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259</w:t>
            </w:r>
          </w:p>
          <w:p w14:paraId="231A25E1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(101 – 735)</w:t>
            </w:r>
          </w:p>
        </w:tc>
      </w:tr>
      <w:tr w:rsidR="00413215" w:rsidRPr="008420AE" w14:paraId="231A25F1" w14:textId="77777777" w:rsidTr="00DE5A05">
        <w:trPr>
          <w:trHeight w:val="1008"/>
        </w:trPr>
        <w:tc>
          <w:tcPr>
            <w:tcW w:w="2301" w:type="dxa"/>
            <w:tcBorders>
              <w:top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31A25E3" w14:textId="77777777" w:rsidR="005B28A2" w:rsidRPr="000805E6" w:rsidRDefault="005B28A2" w:rsidP="00D75B0B">
            <w:pPr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LDH, mkat/L</w:t>
            </w:r>
          </w:p>
          <w:p w14:paraId="231A25E4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Median</w:t>
            </w:r>
          </w:p>
          <w:p w14:paraId="231A25E5" w14:textId="77777777" w:rsidR="005B28A2" w:rsidRPr="000805E6" w:rsidRDefault="005B28A2" w:rsidP="00D75B0B">
            <w:pPr>
              <w:ind w:left="360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Range</w: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1A25E6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</w:p>
          <w:p w14:paraId="231A25E7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3.94</w:t>
            </w:r>
          </w:p>
          <w:p w14:paraId="231A25E8" w14:textId="77777777" w:rsidR="005B28A2" w:rsidRPr="000805E6" w:rsidRDefault="005B28A2" w:rsidP="00DE5A05">
            <w:pPr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(0.10 – 56.2)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1A25E9" w14:textId="77777777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</w:p>
          <w:p w14:paraId="6619719C" w14:textId="77777777" w:rsidR="00DE5A05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3.90</w:t>
            </w:r>
          </w:p>
          <w:p w14:paraId="231A25EB" w14:textId="79286208" w:rsidR="005B28A2" w:rsidRPr="000805E6" w:rsidRDefault="005B28A2" w:rsidP="00DE5A05">
            <w:pPr>
              <w:ind w:left="88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(1.65 – 23.8)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1A25EC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ED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NA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</w:tcPr>
          <w:p w14:paraId="231A25EE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</w:p>
          <w:p w14:paraId="231A25EF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4.88</w:t>
            </w:r>
          </w:p>
          <w:p w14:paraId="231A25F0" w14:textId="77777777" w:rsidR="005B28A2" w:rsidRPr="000805E6" w:rsidRDefault="005B28A2" w:rsidP="00DE5A05">
            <w:pPr>
              <w:ind w:left="612"/>
              <w:jc w:val="center"/>
              <w:rPr>
                <w:rFonts w:ascii="Arial" w:hAnsi="Arial" w:cs="Arial"/>
              </w:rPr>
            </w:pPr>
            <w:r w:rsidRPr="000805E6">
              <w:rPr>
                <w:rFonts w:ascii="Arial" w:hAnsi="Arial" w:cs="Arial"/>
              </w:rPr>
              <w:t>(1.10 – 62.4)</w:t>
            </w:r>
          </w:p>
        </w:tc>
      </w:tr>
    </w:tbl>
    <w:p w14:paraId="0AF89B9A" w14:textId="3F6E5908" w:rsidR="00363807" w:rsidRDefault="005B28A2" w:rsidP="000157DC">
      <w:pPr>
        <w:spacing w:line="480" w:lineRule="auto"/>
        <w:rPr>
          <w:rFonts w:ascii="Arial" w:hAnsi="Arial" w:cs="Arial"/>
          <w:b/>
          <w:sz w:val="24"/>
          <w:szCs w:val="24"/>
        </w:rPr>
        <w:sectPr w:rsidR="00363807" w:rsidSect="006965D7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 w:rsidRPr="000805E6">
        <w:rPr>
          <w:rFonts w:ascii="Arial" w:hAnsi="Arial" w:cs="Arial"/>
          <w:sz w:val="20"/>
          <w:szCs w:val="20"/>
        </w:rPr>
        <w:t>Abbreviations:   ECOG, Eastern Cooperative Oncology Group; LDH, lactate dehydrogenase; NSCLC, non</w:t>
      </w:r>
      <w:r w:rsidR="00363807">
        <w:rPr>
          <w:rFonts w:ascii="Arial" w:hAnsi="Arial" w:cs="Arial"/>
          <w:sz w:val="20"/>
          <w:szCs w:val="20"/>
        </w:rPr>
        <w:t>-</w:t>
      </w:r>
      <w:r w:rsidRPr="000805E6">
        <w:rPr>
          <w:rFonts w:ascii="Arial" w:hAnsi="Arial" w:cs="Arial"/>
          <w:sz w:val="20"/>
          <w:szCs w:val="20"/>
        </w:rPr>
        <w:t>small cell lung cancer</w:t>
      </w:r>
    </w:p>
    <w:p w14:paraId="231A25F4" w14:textId="14D9CEFF" w:rsidR="000157DC" w:rsidRPr="00583107" w:rsidRDefault="00583107" w:rsidP="000157DC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="003C5958">
        <w:rPr>
          <w:rFonts w:ascii="Arial" w:hAnsi="Arial" w:cs="Arial"/>
          <w:b/>
          <w:sz w:val="24"/>
          <w:szCs w:val="24"/>
        </w:rPr>
        <w:t>Table S</w:t>
      </w:r>
      <w:r w:rsidR="000157DC" w:rsidRPr="00583107">
        <w:rPr>
          <w:rFonts w:ascii="Arial" w:hAnsi="Arial" w:cs="Arial"/>
          <w:b/>
          <w:sz w:val="24"/>
          <w:szCs w:val="24"/>
        </w:rPr>
        <w:t xml:space="preserve">3. </w:t>
      </w:r>
      <w:r w:rsidR="00DE5A05">
        <w:rPr>
          <w:rFonts w:ascii="Arial" w:hAnsi="Arial" w:cs="Arial"/>
          <w:sz w:val="24"/>
          <w:szCs w:val="24"/>
        </w:rPr>
        <w:t xml:space="preserve">Comparison of </w:t>
      </w:r>
      <w:r w:rsidR="00755A0C">
        <w:rPr>
          <w:rFonts w:ascii="Arial" w:hAnsi="Arial" w:cs="Arial"/>
          <w:sz w:val="24"/>
          <w:szCs w:val="24"/>
        </w:rPr>
        <w:t>U</w:t>
      </w:r>
      <w:r w:rsidR="00DE5A05">
        <w:rPr>
          <w:rFonts w:ascii="Arial" w:hAnsi="Arial" w:cs="Arial"/>
          <w:sz w:val="24"/>
          <w:szCs w:val="24"/>
        </w:rPr>
        <w:t xml:space="preserve">nivariate HR </w:t>
      </w:r>
      <w:r w:rsidR="00755A0C">
        <w:rPr>
          <w:rFonts w:ascii="Arial" w:hAnsi="Arial" w:cs="Arial"/>
          <w:sz w:val="24"/>
          <w:szCs w:val="24"/>
        </w:rPr>
        <w:t>R</w:t>
      </w:r>
      <w:r w:rsidR="00DE5A05">
        <w:rPr>
          <w:rFonts w:ascii="Arial" w:hAnsi="Arial" w:cs="Arial"/>
          <w:sz w:val="24"/>
          <w:szCs w:val="24"/>
        </w:rPr>
        <w:t xml:space="preserve">esults using </w:t>
      </w:r>
      <w:r w:rsidR="00755A0C">
        <w:rPr>
          <w:rFonts w:ascii="Arial" w:hAnsi="Arial" w:cs="Arial"/>
          <w:sz w:val="24"/>
          <w:szCs w:val="24"/>
        </w:rPr>
        <w:t>B</w:t>
      </w:r>
      <w:r w:rsidR="00DE5A05">
        <w:rPr>
          <w:rFonts w:ascii="Arial" w:hAnsi="Arial" w:cs="Arial"/>
          <w:sz w:val="24"/>
          <w:szCs w:val="24"/>
        </w:rPr>
        <w:t xml:space="preserve">aseline </w:t>
      </w:r>
      <w:r w:rsidR="00755A0C">
        <w:rPr>
          <w:rFonts w:ascii="Arial" w:hAnsi="Arial" w:cs="Arial"/>
          <w:sz w:val="24"/>
          <w:szCs w:val="24"/>
        </w:rPr>
        <w:t>C</w:t>
      </w:r>
      <w:r w:rsidR="00DE5A05">
        <w:rPr>
          <w:rFonts w:ascii="Arial" w:hAnsi="Arial" w:cs="Arial"/>
          <w:sz w:val="24"/>
          <w:szCs w:val="24"/>
        </w:rPr>
        <w:t xml:space="preserve">learance from </w:t>
      </w:r>
      <w:r w:rsidR="00755A0C">
        <w:rPr>
          <w:rFonts w:ascii="Arial" w:hAnsi="Arial" w:cs="Arial"/>
          <w:sz w:val="24"/>
          <w:szCs w:val="24"/>
        </w:rPr>
        <w:t>T</w:t>
      </w:r>
      <w:r w:rsidR="00DE5A05">
        <w:rPr>
          <w:rFonts w:ascii="Arial" w:hAnsi="Arial" w:cs="Arial"/>
          <w:sz w:val="24"/>
          <w:szCs w:val="24"/>
        </w:rPr>
        <w:t xml:space="preserve">ime-dependent PK </w:t>
      </w:r>
      <w:r w:rsidR="00755A0C">
        <w:rPr>
          <w:rFonts w:ascii="Arial" w:hAnsi="Arial" w:cs="Arial"/>
          <w:sz w:val="24"/>
          <w:szCs w:val="24"/>
        </w:rPr>
        <w:t>M</w:t>
      </w:r>
      <w:r w:rsidR="00DE5A05">
        <w:rPr>
          <w:rFonts w:ascii="Arial" w:hAnsi="Arial" w:cs="Arial"/>
          <w:sz w:val="24"/>
          <w:szCs w:val="24"/>
        </w:rPr>
        <w:t xml:space="preserve">odel </w:t>
      </w:r>
      <w:r w:rsidR="00755A0C">
        <w:rPr>
          <w:rFonts w:ascii="Arial" w:hAnsi="Arial" w:cs="Arial"/>
          <w:sz w:val="24"/>
          <w:szCs w:val="24"/>
        </w:rPr>
        <w:t>V</w:t>
      </w:r>
      <w:r w:rsidR="00DE5A05">
        <w:rPr>
          <w:rFonts w:ascii="Arial" w:hAnsi="Arial" w:cs="Arial"/>
          <w:sz w:val="24"/>
          <w:szCs w:val="24"/>
        </w:rPr>
        <w:t xml:space="preserve">ersus a </w:t>
      </w:r>
      <w:r w:rsidR="00755A0C">
        <w:rPr>
          <w:rFonts w:ascii="Arial" w:hAnsi="Arial" w:cs="Arial"/>
          <w:sz w:val="24"/>
          <w:szCs w:val="24"/>
        </w:rPr>
        <w:t>S</w:t>
      </w:r>
      <w:r w:rsidR="00DE5A05">
        <w:rPr>
          <w:rFonts w:ascii="Arial" w:hAnsi="Arial" w:cs="Arial"/>
          <w:sz w:val="24"/>
          <w:szCs w:val="24"/>
        </w:rPr>
        <w:t xml:space="preserve">teady-state </w:t>
      </w:r>
      <w:r w:rsidR="00755A0C">
        <w:rPr>
          <w:rFonts w:ascii="Arial" w:hAnsi="Arial" w:cs="Arial"/>
          <w:sz w:val="24"/>
          <w:szCs w:val="24"/>
        </w:rPr>
        <w:t>C</w:t>
      </w:r>
      <w:r w:rsidR="00DE5A05">
        <w:rPr>
          <w:rFonts w:ascii="Arial" w:hAnsi="Arial" w:cs="Arial"/>
          <w:sz w:val="24"/>
          <w:szCs w:val="24"/>
        </w:rPr>
        <w:t xml:space="preserve">learance from a </w:t>
      </w:r>
      <w:r w:rsidR="00755A0C">
        <w:rPr>
          <w:rFonts w:ascii="Arial" w:hAnsi="Arial" w:cs="Arial"/>
          <w:sz w:val="24"/>
          <w:szCs w:val="24"/>
        </w:rPr>
        <w:t>S</w:t>
      </w:r>
      <w:r w:rsidR="00DE5A05">
        <w:rPr>
          <w:rFonts w:ascii="Arial" w:hAnsi="Arial" w:cs="Arial"/>
          <w:sz w:val="24"/>
          <w:szCs w:val="24"/>
        </w:rPr>
        <w:t xml:space="preserve">tatic PK </w:t>
      </w:r>
      <w:r w:rsidR="00755A0C">
        <w:rPr>
          <w:rFonts w:ascii="Arial" w:hAnsi="Arial" w:cs="Arial"/>
          <w:sz w:val="24"/>
          <w:szCs w:val="24"/>
        </w:rPr>
        <w:t>M</w:t>
      </w:r>
      <w:r w:rsidR="00DE5A05">
        <w:rPr>
          <w:rFonts w:ascii="Arial" w:hAnsi="Arial" w:cs="Arial"/>
          <w:sz w:val="24"/>
          <w:szCs w:val="24"/>
        </w:rPr>
        <w:t xml:space="preserve">odel </w:t>
      </w:r>
      <w:r w:rsidR="00755A0C">
        <w:rPr>
          <w:rFonts w:ascii="Arial" w:hAnsi="Arial" w:cs="Arial"/>
          <w:sz w:val="24"/>
          <w:szCs w:val="24"/>
        </w:rPr>
        <w:t>S</w:t>
      </w:r>
      <w:r w:rsidR="00DE5A05">
        <w:rPr>
          <w:rFonts w:ascii="Arial" w:hAnsi="Arial" w:cs="Arial"/>
          <w:sz w:val="24"/>
          <w:szCs w:val="24"/>
        </w:rPr>
        <w:t xml:space="preserve">hows the </w:t>
      </w:r>
      <w:r w:rsidR="00755A0C">
        <w:rPr>
          <w:rFonts w:ascii="Arial" w:hAnsi="Arial" w:cs="Arial"/>
          <w:sz w:val="24"/>
          <w:szCs w:val="24"/>
        </w:rPr>
        <w:t>C</w:t>
      </w:r>
      <w:r w:rsidR="00DE5A05">
        <w:rPr>
          <w:rFonts w:ascii="Arial" w:hAnsi="Arial" w:cs="Arial"/>
          <w:sz w:val="24"/>
          <w:szCs w:val="24"/>
        </w:rPr>
        <w:t xml:space="preserve">hoice of </w:t>
      </w:r>
      <w:r w:rsidR="00755A0C">
        <w:rPr>
          <w:rFonts w:ascii="Arial" w:hAnsi="Arial" w:cs="Arial"/>
          <w:sz w:val="24"/>
          <w:szCs w:val="24"/>
        </w:rPr>
        <w:t>E</w:t>
      </w:r>
      <w:r w:rsidR="00DE5A05">
        <w:rPr>
          <w:rFonts w:ascii="Arial" w:hAnsi="Arial" w:cs="Arial"/>
          <w:sz w:val="24"/>
          <w:szCs w:val="24"/>
        </w:rPr>
        <w:t xml:space="preserve">xposure </w:t>
      </w:r>
      <w:r w:rsidR="00755A0C">
        <w:rPr>
          <w:rFonts w:ascii="Arial" w:hAnsi="Arial" w:cs="Arial"/>
          <w:sz w:val="24"/>
          <w:szCs w:val="24"/>
        </w:rPr>
        <w:t>I</w:t>
      </w:r>
      <w:r w:rsidR="000157DC" w:rsidRPr="00583107">
        <w:rPr>
          <w:rFonts w:ascii="Arial" w:hAnsi="Arial" w:cs="Arial"/>
          <w:sz w:val="24"/>
          <w:szCs w:val="24"/>
        </w:rPr>
        <w:t xml:space="preserve">nterval is </w:t>
      </w:r>
      <w:r w:rsidR="00755A0C">
        <w:rPr>
          <w:rFonts w:ascii="Arial" w:hAnsi="Arial" w:cs="Arial"/>
          <w:sz w:val="24"/>
          <w:szCs w:val="24"/>
        </w:rPr>
        <w:t>N</w:t>
      </w:r>
      <w:r w:rsidR="00DE5A05">
        <w:rPr>
          <w:rFonts w:ascii="Arial" w:hAnsi="Arial" w:cs="Arial"/>
          <w:sz w:val="24"/>
          <w:szCs w:val="24"/>
        </w:rPr>
        <w:t xml:space="preserve">ot </w:t>
      </w:r>
      <w:r w:rsidR="00755A0C">
        <w:rPr>
          <w:rFonts w:ascii="Arial" w:hAnsi="Arial" w:cs="Arial"/>
          <w:sz w:val="24"/>
          <w:szCs w:val="24"/>
        </w:rPr>
        <w:t>E</w:t>
      </w:r>
      <w:r w:rsidR="00DE5A05">
        <w:rPr>
          <w:rFonts w:ascii="Arial" w:hAnsi="Arial" w:cs="Arial"/>
          <w:sz w:val="24"/>
          <w:szCs w:val="24"/>
        </w:rPr>
        <w:t xml:space="preserve">xpected to </w:t>
      </w:r>
      <w:r w:rsidR="00755A0C">
        <w:rPr>
          <w:rFonts w:ascii="Arial" w:hAnsi="Arial" w:cs="Arial"/>
          <w:sz w:val="24"/>
          <w:szCs w:val="24"/>
        </w:rPr>
        <w:t>I</w:t>
      </w:r>
      <w:r w:rsidR="00DE5A05">
        <w:rPr>
          <w:rFonts w:ascii="Arial" w:hAnsi="Arial" w:cs="Arial"/>
          <w:sz w:val="24"/>
          <w:szCs w:val="24"/>
        </w:rPr>
        <w:t xml:space="preserve">mpact </w:t>
      </w:r>
      <w:r w:rsidR="00755A0C">
        <w:rPr>
          <w:rFonts w:ascii="Arial" w:hAnsi="Arial" w:cs="Arial"/>
          <w:sz w:val="24"/>
          <w:szCs w:val="24"/>
        </w:rPr>
        <w:t>R</w:t>
      </w:r>
      <w:r w:rsidR="00DE5A05">
        <w:rPr>
          <w:rFonts w:ascii="Arial" w:hAnsi="Arial" w:cs="Arial"/>
          <w:sz w:val="24"/>
          <w:szCs w:val="24"/>
        </w:rPr>
        <w:t xml:space="preserve">ank </w:t>
      </w:r>
      <w:r w:rsidR="00755A0C">
        <w:rPr>
          <w:rFonts w:ascii="Arial" w:hAnsi="Arial" w:cs="Arial"/>
          <w:sz w:val="24"/>
          <w:szCs w:val="24"/>
        </w:rPr>
        <w:t>O</w:t>
      </w:r>
      <w:r w:rsidR="00DE5A05">
        <w:rPr>
          <w:rFonts w:ascii="Arial" w:hAnsi="Arial" w:cs="Arial"/>
          <w:sz w:val="24"/>
          <w:szCs w:val="24"/>
        </w:rPr>
        <w:t xml:space="preserve">rder of </w:t>
      </w:r>
      <w:r w:rsidR="00755A0C">
        <w:rPr>
          <w:rFonts w:ascii="Arial" w:hAnsi="Arial" w:cs="Arial"/>
          <w:sz w:val="24"/>
          <w:szCs w:val="24"/>
        </w:rPr>
        <w:t>E</w:t>
      </w:r>
      <w:r w:rsidR="00DE5A05">
        <w:rPr>
          <w:rFonts w:ascii="Arial" w:hAnsi="Arial" w:cs="Arial"/>
          <w:sz w:val="24"/>
          <w:szCs w:val="24"/>
        </w:rPr>
        <w:t xml:space="preserve">xposure </w:t>
      </w:r>
      <w:r w:rsidR="00755A0C">
        <w:rPr>
          <w:rFonts w:ascii="Arial" w:hAnsi="Arial" w:cs="Arial"/>
          <w:sz w:val="24"/>
          <w:szCs w:val="24"/>
        </w:rPr>
        <w:t>E</w:t>
      </w:r>
      <w:r w:rsidR="000157DC" w:rsidRPr="00583107">
        <w:rPr>
          <w:rFonts w:ascii="Arial" w:hAnsi="Arial" w:cs="Arial"/>
          <w:sz w:val="24"/>
          <w:szCs w:val="24"/>
        </w:rPr>
        <w:t xml:space="preserve">stimates and </w:t>
      </w:r>
      <w:r w:rsidR="00755A0C">
        <w:rPr>
          <w:rFonts w:ascii="Arial" w:hAnsi="Arial" w:cs="Arial"/>
          <w:sz w:val="24"/>
          <w:szCs w:val="24"/>
        </w:rPr>
        <w:t>t</w:t>
      </w:r>
      <w:r w:rsidR="00DE5A05">
        <w:rPr>
          <w:rFonts w:ascii="Arial" w:hAnsi="Arial" w:cs="Arial"/>
          <w:sz w:val="24"/>
          <w:szCs w:val="24"/>
        </w:rPr>
        <w:t xml:space="preserve">hat a </w:t>
      </w:r>
      <w:r w:rsidR="00755A0C">
        <w:rPr>
          <w:rFonts w:ascii="Arial" w:hAnsi="Arial" w:cs="Arial"/>
          <w:sz w:val="24"/>
          <w:szCs w:val="24"/>
        </w:rPr>
        <w:t>M</w:t>
      </w:r>
      <w:r w:rsidR="000157DC" w:rsidRPr="00583107">
        <w:rPr>
          <w:rFonts w:ascii="Arial" w:hAnsi="Arial" w:cs="Arial"/>
          <w:sz w:val="24"/>
          <w:szCs w:val="24"/>
        </w:rPr>
        <w:t>od</w:t>
      </w:r>
      <w:r w:rsidR="00DE5A05">
        <w:rPr>
          <w:rFonts w:ascii="Arial" w:hAnsi="Arial" w:cs="Arial"/>
          <w:sz w:val="24"/>
          <w:szCs w:val="24"/>
        </w:rPr>
        <w:t xml:space="preserve">est, </w:t>
      </w:r>
      <w:r w:rsidR="00755A0C">
        <w:rPr>
          <w:rFonts w:ascii="Arial" w:hAnsi="Arial" w:cs="Arial"/>
          <w:sz w:val="24"/>
          <w:szCs w:val="24"/>
        </w:rPr>
        <w:t>T</w:t>
      </w:r>
      <w:r w:rsidR="00DE5A05">
        <w:rPr>
          <w:rFonts w:ascii="Arial" w:hAnsi="Arial" w:cs="Arial"/>
          <w:sz w:val="24"/>
          <w:szCs w:val="24"/>
        </w:rPr>
        <w:t xml:space="preserve">ime-dependent </w:t>
      </w:r>
      <w:r w:rsidR="00755A0C">
        <w:rPr>
          <w:rFonts w:ascii="Arial" w:hAnsi="Arial" w:cs="Arial"/>
          <w:sz w:val="24"/>
          <w:szCs w:val="24"/>
        </w:rPr>
        <w:t>C</w:t>
      </w:r>
      <w:r w:rsidR="00DE5A05">
        <w:rPr>
          <w:rFonts w:ascii="Arial" w:hAnsi="Arial" w:cs="Arial"/>
          <w:sz w:val="24"/>
          <w:szCs w:val="24"/>
        </w:rPr>
        <w:t xml:space="preserve">hange in </w:t>
      </w:r>
      <w:r w:rsidR="00755A0C">
        <w:rPr>
          <w:rFonts w:ascii="Arial" w:hAnsi="Arial" w:cs="Arial"/>
          <w:sz w:val="24"/>
          <w:szCs w:val="24"/>
        </w:rPr>
        <w:t>P</w:t>
      </w:r>
      <w:r w:rsidR="00DE5A05">
        <w:rPr>
          <w:rFonts w:ascii="Arial" w:hAnsi="Arial" w:cs="Arial"/>
          <w:sz w:val="24"/>
          <w:szCs w:val="24"/>
        </w:rPr>
        <w:t xml:space="preserve">embrolizumab </w:t>
      </w:r>
      <w:r w:rsidR="00755A0C">
        <w:rPr>
          <w:rFonts w:ascii="Arial" w:hAnsi="Arial" w:cs="Arial"/>
          <w:sz w:val="24"/>
          <w:szCs w:val="24"/>
        </w:rPr>
        <w:t>C</w:t>
      </w:r>
      <w:r w:rsidR="00DE5A05">
        <w:rPr>
          <w:rFonts w:ascii="Arial" w:hAnsi="Arial" w:cs="Arial"/>
          <w:sz w:val="24"/>
          <w:szCs w:val="24"/>
        </w:rPr>
        <w:t xml:space="preserve">learance </w:t>
      </w:r>
      <w:r w:rsidR="00755A0C">
        <w:rPr>
          <w:rFonts w:ascii="Arial" w:hAnsi="Arial" w:cs="Arial"/>
          <w:sz w:val="24"/>
          <w:szCs w:val="24"/>
        </w:rPr>
        <w:t>Does N</w:t>
      </w:r>
      <w:r w:rsidR="00DE5A05">
        <w:rPr>
          <w:rFonts w:ascii="Arial" w:hAnsi="Arial" w:cs="Arial"/>
          <w:sz w:val="24"/>
          <w:szCs w:val="24"/>
        </w:rPr>
        <w:t xml:space="preserve">ot </w:t>
      </w:r>
      <w:r w:rsidR="00755A0C">
        <w:rPr>
          <w:rFonts w:ascii="Arial" w:hAnsi="Arial" w:cs="Arial"/>
          <w:sz w:val="24"/>
          <w:szCs w:val="24"/>
        </w:rPr>
        <w:t>M</w:t>
      </w:r>
      <w:r w:rsidR="00DE5A05">
        <w:rPr>
          <w:rFonts w:ascii="Arial" w:hAnsi="Arial" w:cs="Arial"/>
          <w:sz w:val="24"/>
          <w:szCs w:val="24"/>
        </w:rPr>
        <w:t xml:space="preserve">eaningfully </w:t>
      </w:r>
      <w:r w:rsidR="00755A0C">
        <w:rPr>
          <w:rFonts w:ascii="Arial" w:hAnsi="Arial" w:cs="Arial"/>
          <w:sz w:val="24"/>
          <w:szCs w:val="24"/>
        </w:rPr>
        <w:t>A</w:t>
      </w:r>
      <w:r w:rsidR="00DE5A05">
        <w:rPr>
          <w:rFonts w:ascii="Arial" w:hAnsi="Arial" w:cs="Arial"/>
          <w:sz w:val="24"/>
          <w:szCs w:val="24"/>
        </w:rPr>
        <w:t xml:space="preserve">lter </w:t>
      </w:r>
      <w:r w:rsidR="00755A0C">
        <w:rPr>
          <w:rFonts w:ascii="Arial" w:hAnsi="Arial" w:cs="Arial"/>
          <w:sz w:val="24"/>
          <w:szCs w:val="24"/>
        </w:rPr>
        <w:t>I</w:t>
      </w:r>
      <w:r w:rsidR="00DE5A05">
        <w:rPr>
          <w:rFonts w:ascii="Arial" w:hAnsi="Arial" w:cs="Arial"/>
          <w:sz w:val="24"/>
          <w:szCs w:val="24"/>
        </w:rPr>
        <w:t xml:space="preserve">nterpretations </w:t>
      </w:r>
      <w:r w:rsidR="00755A0C">
        <w:rPr>
          <w:rFonts w:ascii="Arial" w:hAnsi="Arial" w:cs="Arial"/>
          <w:sz w:val="24"/>
          <w:szCs w:val="24"/>
        </w:rPr>
        <w:t>D</w:t>
      </w:r>
      <w:r w:rsidR="00DE5A05">
        <w:rPr>
          <w:rFonts w:ascii="Arial" w:hAnsi="Arial" w:cs="Arial"/>
          <w:sz w:val="24"/>
          <w:szCs w:val="24"/>
        </w:rPr>
        <w:t xml:space="preserve">escribed in this </w:t>
      </w:r>
      <w:r w:rsidR="00755A0C">
        <w:rPr>
          <w:rFonts w:ascii="Arial" w:hAnsi="Arial" w:cs="Arial"/>
          <w:sz w:val="24"/>
          <w:szCs w:val="24"/>
        </w:rPr>
        <w:t>S</w:t>
      </w:r>
      <w:r w:rsidR="000157DC" w:rsidRPr="00583107">
        <w:rPr>
          <w:rFonts w:ascii="Arial" w:hAnsi="Arial" w:cs="Arial"/>
          <w:sz w:val="24"/>
          <w:szCs w:val="24"/>
        </w:rPr>
        <w:t>tudy</w:t>
      </w:r>
      <w:r w:rsidR="00755A0C">
        <w:rPr>
          <w:rFonts w:ascii="Arial" w:hAnsi="Arial" w:cs="Arial"/>
          <w:sz w:val="24"/>
          <w:szCs w:val="24"/>
        </w:rPr>
        <w:t>.</w:t>
      </w:r>
    </w:p>
    <w:p w14:paraId="231A25F5" w14:textId="77777777" w:rsidR="00DE6087" w:rsidRPr="001B2B3B" w:rsidRDefault="00DE6087" w:rsidP="00DE608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</w:p>
    <w:tbl>
      <w:tblPr>
        <w:tblW w:w="11007" w:type="dxa"/>
        <w:jc w:val="center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5"/>
        <w:gridCol w:w="1969"/>
        <w:gridCol w:w="1923"/>
        <w:gridCol w:w="1857"/>
        <w:gridCol w:w="1813"/>
      </w:tblGrid>
      <w:tr w:rsidR="00363807" w:rsidRPr="009319F8" w14:paraId="231A25FD" w14:textId="77777777" w:rsidTr="006965D7">
        <w:trPr>
          <w:trHeight w:val="1155"/>
          <w:tblCellSpacing w:w="15" w:type="dxa"/>
          <w:jc w:val="center"/>
        </w:trPr>
        <w:tc>
          <w:tcPr>
            <w:tcW w:w="3400" w:type="dxa"/>
            <w:vMerge w:val="restart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231A25F6" w14:textId="77777777" w:rsidR="00DE6087" w:rsidRPr="00D87D5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gridSpan w:val="2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231A25F7" w14:textId="77777777" w:rsidR="00DE6087" w:rsidRPr="00CB3684" w:rsidRDefault="00DE6087" w:rsidP="004124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3684">
              <w:rPr>
                <w:rFonts w:ascii="Times New Roman" w:hAnsi="Times New Roman" w:cs="Times New Roman"/>
                <w:b/>
              </w:rPr>
              <w:t>KEYNOTE-002;</w:t>
            </w:r>
          </w:p>
          <w:p w14:paraId="231A25F8" w14:textId="77777777" w:rsidR="00DE6087" w:rsidRPr="00CB3684" w:rsidRDefault="00DE6087" w:rsidP="004124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3684">
              <w:rPr>
                <w:rFonts w:ascii="Times New Roman" w:hAnsi="Times New Roman" w:cs="Times New Roman"/>
                <w:b/>
              </w:rPr>
              <w:t xml:space="preserve">Advanced melanoma </w:t>
            </w:r>
          </w:p>
          <w:p w14:paraId="231A25F9" w14:textId="77777777" w:rsidR="00DE6087" w:rsidRPr="00D87D5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625" w:type="dxa"/>
            <w:gridSpan w:val="2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231A25FA" w14:textId="77777777" w:rsidR="00DE6087" w:rsidRPr="00CB3684" w:rsidRDefault="00DE6087" w:rsidP="004124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3684">
              <w:rPr>
                <w:rFonts w:ascii="Times New Roman" w:hAnsi="Times New Roman" w:cs="Times New Roman"/>
                <w:b/>
              </w:rPr>
              <w:t>KEYNOTE-010;</w:t>
            </w:r>
          </w:p>
          <w:p w14:paraId="231A25FB" w14:textId="77777777" w:rsidR="00DE6087" w:rsidRPr="00CB3684" w:rsidRDefault="00DE6087" w:rsidP="004124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3684">
              <w:rPr>
                <w:rFonts w:ascii="Times New Roman" w:hAnsi="Times New Roman" w:cs="Times New Roman"/>
                <w:b/>
              </w:rPr>
              <w:t>Advanced, Previously-treated NSCLC</w:t>
            </w:r>
          </w:p>
          <w:p w14:paraId="231A25FC" w14:textId="77777777" w:rsidR="00DE6087" w:rsidRPr="00D87D5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363807" w:rsidRPr="009319F8" w14:paraId="231A2603" w14:textId="77777777" w:rsidTr="006965D7">
        <w:trPr>
          <w:tblCellSpacing w:w="15" w:type="dxa"/>
          <w:jc w:val="center"/>
        </w:trPr>
        <w:tc>
          <w:tcPr>
            <w:tcW w:w="3400" w:type="dxa"/>
            <w:vMerge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231A25FE" w14:textId="77777777" w:rsidR="00DE6087" w:rsidRPr="00D87D5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39" w:type="dxa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231A25FF" w14:textId="77777777" w:rsidR="00DE6087" w:rsidRPr="00D87D5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Baseline CL (CL</w:t>
            </w:r>
            <w:r w:rsidRPr="00583107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 from Time-dependent Population PK Model</w:t>
            </w:r>
          </w:p>
        </w:tc>
        <w:tc>
          <w:tcPr>
            <w:tcW w:w="1893" w:type="dxa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31A2600" w14:textId="77777777" w:rsidR="00DE6087" w:rsidRPr="00D87D57" w:rsidRDefault="00DE6087" w:rsidP="00DE6087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Steady-state CL (CL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 from Static Population PK Model</w:t>
            </w:r>
          </w:p>
        </w:tc>
        <w:tc>
          <w:tcPr>
            <w:tcW w:w="1827" w:type="dxa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231A2601" w14:textId="77777777" w:rsidR="00DE6087" w:rsidRPr="00D87D5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Baseline CL (CL</w:t>
            </w:r>
            <w:r w:rsidRPr="00A96118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 from Time-dependent Population PK Model</w:t>
            </w:r>
          </w:p>
        </w:tc>
        <w:tc>
          <w:tcPr>
            <w:tcW w:w="1768" w:type="dxa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231A2602" w14:textId="77777777" w:rsidR="00DE6087" w:rsidRPr="00D87D5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Steady-state CL (CL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 from Static Population PK Model</w:t>
            </w:r>
          </w:p>
        </w:tc>
      </w:tr>
      <w:tr w:rsidR="00363807" w:rsidRPr="009319F8" w14:paraId="231A260E" w14:textId="77777777" w:rsidTr="006965D7">
        <w:trPr>
          <w:tblCellSpacing w:w="15" w:type="dxa"/>
          <w:jc w:val="center"/>
        </w:trPr>
        <w:tc>
          <w:tcPr>
            <w:tcW w:w="3400" w:type="dxa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231A2604" w14:textId="77777777" w:rsidR="00DE6087" w:rsidRPr="00D87D57" w:rsidRDefault="00DE6087" w:rsidP="00DE6087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Unadjusted Clearance</w:t>
            </w:r>
            <w:r w:rsidRPr="00D87D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HR</w:t>
            </w:r>
          </w:p>
          <w:p w14:paraId="231A2605" w14:textId="77777777" w:rsidR="00DE6087" w:rsidRPr="00583107" w:rsidRDefault="00DE6087" w:rsidP="00583107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(95% CI for</w:t>
            </w:r>
            <w:r w:rsidRPr="00D87D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HR)</w:t>
            </w:r>
          </w:p>
        </w:tc>
        <w:tc>
          <w:tcPr>
            <w:tcW w:w="1939" w:type="dxa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31A2606" w14:textId="77777777" w:rsidR="00DE608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2.56</w:t>
            </w:r>
          </w:p>
          <w:p w14:paraId="231A2607" w14:textId="77777777" w:rsidR="00DE6087" w:rsidRPr="00D87D5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(1.72-3.80)</w:t>
            </w:r>
          </w:p>
        </w:tc>
        <w:tc>
          <w:tcPr>
            <w:tcW w:w="1893" w:type="dxa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31A2608" w14:textId="77777777" w:rsidR="00DE6087" w:rsidRDefault="00DE6087" w:rsidP="00DE6087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2.55</w:t>
            </w:r>
          </w:p>
          <w:p w14:paraId="231A2609" w14:textId="77777777" w:rsidR="00DE6087" w:rsidRPr="00D87D57" w:rsidRDefault="00DE6087" w:rsidP="00DE6087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(1.79-3.63)</w:t>
            </w:r>
          </w:p>
        </w:tc>
        <w:tc>
          <w:tcPr>
            <w:tcW w:w="1827" w:type="dxa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31A260A" w14:textId="77777777" w:rsidR="00DE608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2.64</w:t>
            </w:r>
          </w:p>
          <w:p w14:paraId="231A260B" w14:textId="77777777" w:rsidR="00DE6087" w:rsidRPr="00D87D57" w:rsidRDefault="00DE6087" w:rsidP="00412408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(1.94-3.57)</w:t>
            </w:r>
          </w:p>
        </w:tc>
        <w:tc>
          <w:tcPr>
            <w:tcW w:w="1768" w:type="dxa"/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231A260C" w14:textId="77777777" w:rsidR="00DE6087" w:rsidRDefault="00DE6087" w:rsidP="00DE6087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4.32</w:t>
            </w:r>
          </w:p>
          <w:p w14:paraId="231A260D" w14:textId="77777777" w:rsidR="00DE6087" w:rsidRPr="00D87D57" w:rsidRDefault="00DE6087" w:rsidP="00DE6087">
            <w:pPr>
              <w:spacing w:before="96"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(3.12-5.99)</w:t>
            </w:r>
          </w:p>
        </w:tc>
      </w:tr>
    </w:tbl>
    <w:p w14:paraId="231A2610" w14:textId="77777777" w:rsidR="003F7F52" w:rsidRPr="00583107" w:rsidRDefault="003F7F52" w:rsidP="00E70DA4">
      <w:pPr>
        <w:spacing w:line="480" w:lineRule="auto"/>
        <w:rPr>
          <w:rFonts w:ascii="Arial" w:hAnsi="Arial" w:cs="Arial"/>
          <w:sz w:val="24"/>
          <w:szCs w:val="24"/>
        </w:rPr>
      </w:pPr>
    </w:p>
    <w:p w14:paraId="4318E393" w14:textId="77777777" w:rsidR="008D13E5" w:rsidRDefault="008D13E5">
      <w:pPr>
        <w:rPr>
          <w:rFonts w:ascii="Arial" w:hAnsi="Arial" w:cs="Arial"/>
        </w:rPr>
      </w:pPr>
    </w:p>
    <w:p w14:paraId="5ABD3CD4" w14:textId="77777777" w:rsidR="008D13E5" w:rsidRDefault="008D13E5">
      <w:pPr>
        <w:rPr>
          <w:rFonts w:ascii="Arial" w:hAnsi="Arial" w:cs="Arial"/>
        </w:rPr>
      </w:pPr>
    </w:p>
    <w:p w14:paraId="575A80FE" w14:textId="77777777" w:rsidR="008D13E5" w:rsidRDefault="008D13E5">
      <w:pPr>
        <w:rPr>
          <w:rFonts w:ascii="Arial" w:hAnsi="Arial" w:cs="Arial"/>
        </w:rPr>
      </w:pPr>
    </w:p>
    <w:p w14:paraId="652A4FE8" w14:textId="77777777" w:rsidR="008D13E5" w:rsidRDefault="008D13E5">
      <w:pPr>
        <w:rPr>
          <w:rFonts w:ascii="Arial" w:hAnsi="Arial" w:cs="Arial"/>
        </w:rPr>
      </w:pPr>
    </w:p>
    <w:p w14:paraId="77B03575" w14:textId="77777777" w:rsidR="008D13E5" w:rsidRDefault="008D13E5" w:rsidP="00721701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 xml:space="preserve">Supplementary Table S4. </w:t>
      </w:r>
      <w:r w:rsidRPr="00570CF2">
        <w:rPr>
          <w:rFonts w:ascii="Arial" w:hAnsi="Arial" w:cs="Arial"/>
        </w:rPr>
        <w:t>Protocol-specified Pharmacokinetic Sampling Strategy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D13E5" w:rsidRPr="00115C7A" w14:paraId="6B0FDF7E" w14:textId="77777777" w:rsidTr="002E754E">
        <w:trPr>
          <w:trHeight w:val="1052"/>
        </w:trPr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C1149" w14:textId="77777777" w:rsidR="008D13E5" w:rsidRPr="00115C7A" w:rsidRDefault="008D13E5" w:rsidP="002E754E">
            <w:pPr>
              <w:jc w:val="center"/>
              <w:rPr>
                <w:rFonts w:ascii="Arial" w:hAnsi="Arial" w:cs="Arial"/>
                <w:b/>
              </w:rPr>
            </w:pPr>
            <w:r w:rsidRPr="00115C7A">
              <w:rPr>
                <w:rFonts w:ascii="Arial" w:hAnsi="Arial" w:cs="Arial"/>
                <w:b/>
              </w:rPr>
              <w:t>Protocol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001A80" w14:textId="77777777" w:rsidR="008D13E5" w:rsidRPr="00115C7A" w:rsidRDefault="008D13E5" w:rsidP="002E754E">
            <w:pPr>
              <w:jc w:val="center"/>
              <w:rPr>
                <w:rFonts w:ascii="Arial" w:hAnsi="Arial" w:cs="Arial"/>
                <w:b/>
              </w:rPr>
            </w:pPr>
            <w:r w:rsidRPr="00115C7A">
              <w:rPr>
                <w:rFonts w:ascii="Arial" w:hAnsi="Arial" w:cs="Arial"/>
                <w:b/>
              </w:rPr>
              <w:t>Peak end-of-infusion and pre-dose trough samples*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57970" w14:textId="604050F1" w:rsidR="008D13E5" w:rsidRPr="00115C7A" w:rsidRDefault="008D13E5" w:rsidP="002E754E">
            <w:pPr>
              <w:jc w:val="center"/>
              <w:rPr>
                <w:rFonts w:ascii="Arial" w:hAnsi="Arial" w:cs="Arial"/>
                <w:b/>
              </w:rPr>
            </w:pPr>
            <w:r w:rsidRPr="00115C7A">
              <w:rPr>
                <w:rFonts w:ascii="Arial" w:hAnsi="Arial" w:cs="Arial"/>
                <w:b/>
              </w:rPr>
              <w:t>Additional pre-dose trough samples</w:t>
            </w:r>
            <w:r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10AED5" w14:textId="77777777" w:rsidR="008D13E5" w:rsidRPr="00115C7A" w:rsidRDefault="008D13E5" w:rsidP="002E754E">
            <w:pPr>
              <w:jc w:val="center"/>
              <w:rPr>
                <w:rFonts w:ascii="Arial" w:hAnsi="Arial" w:cs="Arial"/>
                <w:b/>
              </w:rPr>
            </w:pPr>
            <w:r w:rsidRPr="00115C7A">
              <w:rPr>
                <w:rFonts w:ascii="Arial" w:hAnsi="Arial" w:cs="Arial"/>
                <w:b/>
              </w:rPr>
              <w:t>Additional PK samples</w:t>
            </w:r>
          </w:p>
        </w:tc>
      </w:tr>
      <w:tr w:rsidR="008D13E5" w:rsidRPr="00115C7A" w14:paraId="281E2374" w14:textId="77777777" w:rsidTr="002E754E"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14:paraId="5AFDD4DD" w14:textId="77777777" w:rsidR="008D13E5" w:rsidRPr="00115C7A" w:rsidRDefault="008D13E5" w:rsidP="002E754E">
            <w:pPr>
              <w:jc w:val="center"/>
              <w:rPr>
                <w:rFonts w:ascii="Arial" w:hAnsi="Arial" w:cs="Arial"/>
                <w:b/>
              </w:rPr>
            </w:pPr>
            <w:r w:rsidRPr="00115C7A">
              <w:rPr>
                <w:rFonts w:ascii="Arial" w:hAnsi="Arial" w:cs="Arial"/>
                <w:b/>
              </w:rPr>
              <w:t>KEYNOTE-002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14:paraId="56DC184C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  <w:r w:rsidRPr="00115C7A">
              <w:rPr>
                <w:rStyle w:val="apple-converted-space"/>
                <w:rFonts w:ascii="Arial" w:hAnsi="Arial" w:cs="Arial"/>
                <w:shd w:val="clear" w:color="auto" w:fill="FFFFFF"/>
              </w:rPr>
              <w:t>Cycles 1 and 6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14:paraId="549CF8AB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</w:p>
          <w:p w14:paraId="24FCA8E4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  <w:r w:rsidRPr="00115C7A">
              <w:rPr>
                <w:rFonts w:ascii="Arial" w:hAnsi="Arial" w:cs="Arial"/>
              </w:rPr>
              <w:t>Cycles 2, 3, 8, 12 and 16, with subsequent trough samples obtained approximately every 8 cycles (~6 months) thereafter</w:t>
            </w:r>
          </w:p>
          <w:p w14:paraId="0BE7F478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14:paraId="5C9A5790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  <w:r w:rsidRPr="00115C7A">
              <w:rPr>
                <w:rFonts w:ascii="Arial" w:hAnsi="Arial" w:cs="Arial"/>
              </w:rPr>
              <w:t>One sample between 1-4 days (24 to 96 hours) after Cycle 2 dosing</w:t>
            </w:r>
          </w:p>
        </w:tc>
      </w:tr>
      <w:tr w:rsidR="008D13E5" w:rsidRPr="00115C7A" w14:paraId="263AEE90" w14:textId="77777777" w:rsidTr="002E754E">
        <w:tc>
          <w:tcPr>
            <w:tcW w:w="2394" w:type="dxa"/>
            <w:vAlign w:val="center"/>
          </w:tcPr>
          <w:p w14:paraId="2742E173" w14:textId="77777777" w:rsidR="008D13E5" w:rsidRPr="00115C7A" w:rsidRDefault="008D13E5" w:rsidP="002E754E">
            <w:pPr>
              <w:jc w:val="center"/>
              <w:rPr>
                <w:rFonts w:ascii="Arial" w:hAnsi="Arial" w:cs="Arial"/>
                <w:b/>
              </w:rPr>
            </w:pPr>
            <w:r w:rsidRPr="00115C7A">
              <w:rPr>
                <w:rFonts w:ascii="Arial" w:hAnsi="Arial" w:cs="Arial"/>
                <w:b/>
              </w:rPr>
              <w:t>KEYNOTE-010</w:t>
            </w:r>
          </w:p>
        </w:tc>
        <w:tc>
          <w:tcPr>
            <w:tcW w:w="2394" w:type="dxa"/>
            <w:vAlign w:val="center"/>
          </w:tcPr>
          <w:p w14:paraId="4BCFB71E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  <w:r w:rsidRPr="00115C7A">
              <w:rPr>
                <w:rStyle w:val="apple-converted-space"/>
                <w:rFonts w:ascii="Arial" w:hAnsi="Arial" w:cs="Arial"/>
                <w:shd w:val="clear" w:color="auto" w:fill="FFFFFF"/>
              </w:rPr>
              <w:t>Cycles 1, 2, and 6</w:t>
            </w:r>
          </w:p>
        </w:tc>
        <w:tc>
          <w:tcPr>
            <w:tcW w:w="2394" w:type="dxa"/>
            <w:vAlign w:val="center"/>
          </w:tcPr>
          <w:p w14:paraId="7AB0D888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</w:p>
          <w:p w14:paraId="6D6FC30D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  <w:r w:rsidRPr="00115C7A">
              <w:rPr>
                <w:rFonts w:ascii="Arial" w:hAnsi="Arial" w:cs="Arial"/>
              </w:rPr>
              <w:t>Cycles 3, 8, 13 and 17, with subsequent trough samples obtained approximately every 8 cycles (~6 months) thereafter</w:t>
            </w:r>
          </w:p>
          <w:p w14:paraId="739ACE45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94" w:type="dxa"/>
            <w:vAlign w:val="center"/>
          </w:tcPr>
          <w:p w14:paraId="14E81359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  <w:r w:rsidRPr="00115C7A">
              <w:rPr>
                <w:rFonts w:ascii="Arial" w:hAnsi="Arial" w:cs="Arial"/>
              </w:rPr>
              <w:t>1-4 days (24 to 96 hours) after Cycle 2 dosing</w:t>
            </w:r>
          </w:p>
        </w:tc>
      </w:tr>
      <w:tr w:rsidR="008D13E5" w:rsidRPr="00115C7A" w14:paraId="5E05F595" w14:textId="77777777" w:rsidTr="002E754E">
        <w:tc>
          <w:tcPr>
            <w:tcW w:w="2394" w:type="dxa"/>
            <w:vAlign w:val="center"/>
          </w:tcPr>
          <w:p w14:paraId="3DDECAC0" w14:textId="77777777" w:rsidR="008D13E5" w:rsidRPr="00115C7A" w:rsidRDefault="008D13E5" w:rsidP="002E754E">
            <w:pPr>
              <w:jc w:val="center"/>
              <w:rPr>
                <w:rFonts w:ascii="Arial" w:hAnsi="Arial" w:cs="Arial"/>
                <w:b/>
              </w:rPr>
            </w:pPr>
            <w:r w:rsidRPr="00115C7A">
              <w:rPr>
                <w:rFonts w:ascii="Arial" w:hAnsi="Arial" w:cs="Arial"/>
                <w:b/>
              </w:rPr>
              <w:t>KEYNOTE-024</w:t>
            </w:r>
          </w:p>
        </w:tc>
        <w:tc>
          <w:tcPr>
            <w:tcW w:w="2394" w:type="dxa"/>
            <w:vAlign w:val="center"/>
          </w:tcPr>
          <w:p w14:paraId="271509AF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  <w:r w:rsidRPr="00115C7A">
              <w:rPr>
                <w:rFonts w:ascii="Arial" w:hAnsi="Arial" w:cs="Arial"/>
              </w:rPr>
              <w:t>Cycle 1</w:t>
            </w:r>
          </w:p>
        </w:tc>
        <w:tc>
          <w:tcPr>
            <w:tcW w:w="2394" w:type="dxa"/>
            <w:vAlign w:val="center"/>
          </w:tcPr>
          <w:p w14:paraId="6D21418F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</w:p>
          <w:p w14:paraId="2FDCF3A0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  <w:r w:rsidRPr="00115C7A">
              <w:rPr>
                <w:rFonts w:ascii="Arial" w:hAnsi="Arial" w:cs="Arial"/>
              </w:rPr>
              <w:t>Cycles 2, 4, 8 and every 8 cycles (~6 months)  thereafter plus at 1, 3 and 6 months after last dose</w:t>
            </w:r>
          </w:p>
          <w:p w14:paraId="4A7B1186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94" w:type="dxa"/>
            <w:vAlign w:val="center"/>
          </w:tcPr>
          <w:p w14:paraId="6E5C17B2" w14:textId="77777777" w:rsidR="008D13E5" w:rsidRPr="00115C7A" w:rsidRDefault="008D13E5" w:rsidP="002E754E">
            <w:pPr>
              <w:jc w:val="center"/>
              <w:rPr>
                <w:rFonts w:ascii="Arial" w:hAnsi="Arial" w:cs="Arial"/>
              </w:rPr>
            </w:pPr>
            <w:r w:rsidRPr="00115C7A">
              <w:rPr>
                <w:rFonts w:ascii="Arial" w:hAnsi="Arial" w:cs="Arial"/>
              </w:rPr>
              <w:t>3-7 days (72 to 168 hours) after Cycle 1 dosing</w:t>
            </w:r>
          </w:p>
        </w:tc>
      </w:tr>
    </w:tbl>
    <w:p w14:paraId="5EFBE5E2" w14:textId="25E174EE" w:rsidR="008D13E5" w:rsidRPr="00583107" w:rsidRDefault="008D13E5" w:rsidP="0000320D">
      <w:pPr>
        <w:spacing w:after="0"/>
        <w:rPr>
          <w:rFonts w:ascii="Arial" w:hAnsi="Arial" w:cs="Arial"/>
        </w:rPr>
      </w:pPr>
      <w:r w:rsidRPr="00115C7A">
        <w:rPr>
          <w:rFonts w:ascii="Arial" w:hAnsi="Arial" w:cs="Arial"/>
        </w:rPr>
        <w:t>*Peak end-of-infusion samples acquired within 30 minutes after the end of the infusion</w:t>
      </w:r>
      <w:r>
        <w:rPr>
          <w:rFonts w:ascii="Arial" w:hAnsi="Arial" w:cs="Arial"/>
        </w:rPr>
        <w:t>.</w:t>
      </w:r>
    </w:p>
    <w:p w14:paraId="25AB40F4" w14:textId="77777777" w:rsidR="008D13E5" w:rsidRPr="00115C7A" w:rsidRDefault="008D13E5" w:rsidP="008D13E5">
      <w:pPr>
        <w:spacing w:after="0"/>
        <w:rPr>
          <w:rFonts w:ascii="Arial" w:hAnsi="Arial" w:cs="Arial"/>
        </w:rPr>
      </w:pPr>
      <w:r w:rsidRPr="00115C7A">
        <w:rPr>
          <w:rFonts w:ascii="Arial" w:hAnsi="Arial" w:cs="Arial"/>
        </w:rPr>
        <w:t xml:space="preserve">*All trough samples drawn within 24 hours before pembrolizumab administration. </w:t>
      </w:r>
    </w:p>
    <w:p w14:paraId="040CDB32" w14:textId="693D988A" w:rsidR="00BF233F" w:rsidRPr="00583107" w:rsidRDefault="00BF233F" w:rsidP="008D13E5">
      <w:pPr>
        <w:rPr>
          <w:rFonts w:ascii="Arial" w:hAnsi="Arial" w:cs="Arial"/>
        </w:rPr>
      </w:pPr>
    </w:p>
    <w:sectPr w:rsidR="00BF233F" w:rsidRPr="00583107" w:rsidSect="006965D7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B2A0F" w14:textId="77777777" w:rsidR="00470711" w:rsidRDefault="00470711" w:rsidP="00E70DA4">
      <w:pPr>
        <w:spacing w:after="0" w:line="240" w:lineRule="auto"/>
      </w:pPr>
      <w:r>
        <w:separator/>
      </w:r>
    </w:p>
  </w:endnote>
  <w:endnote w:type="continuationSeparator" w:id="0">
    <w:p w14:paraId="7902E3B9" w14:textId="77777777" w:rsidR="00470711" w:rsidRDefault="00470711" w:rsidP="00E70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75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3B6485" w14:textId="7F3D0CDE" w:rsidR="002E754E" w:rsidRDefault="002E75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6C9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0F7FE98E" w14:textId="77777777" w:rsidR="002E754E" w:rsidRDefault="002E75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F7A8B" w14:textId="77777777" w:rsidR="00470711" w:rsidRDefault="00470711" w:rsidP="00E70DA4">
      <w:pPr>
        <w:spacing w:after="0" w:line="240" w:lineRule="auto"/>
      </w:pPr>
      <w:r>
        <w:separator/>
      </w:r>
    </w:p>
  </w:footnote>
  <w:footnote w:type="continuationSeparator" w:id="0">
    <w:p w14:paraId="4447CCC4" w14:textId="77777777" w:rsidR="00470711" w:rsidRDefault="00470711" w:rsidP="00E70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70B11"/>
    <w:multiLevelType w:val="hybridMultilevel"/>
    <w:tmpl w:val="8E9A29C6"/>
    <w:lvl w:ilvl="0" w:tplc="66F2D038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removePersonalInformation/>
  <w:removeDateAndTime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DA4"/>
    <w:rsid w:val="00001FEA"/>
    <w:rsid w:val="0000320D"/>
    <w:rsid w:val="00004687"/>
    <w:rsid w:val="0001036B"/>
    <w:rsid w:val="00011305"/>
    <w:rsid w:val="00012D0D"/>
    <w:rsid w:val="00012E35"/>
    <w:rsid w:val="00013DC8"/>
    <w:rsid w:val="000140F4"/>
    <w:rsid w:val="000156C3"/>
    <w:rsid w:val="000157DC"/>
    <w:rsid w:val="0001704C"/>
    <w:rsid w:val="0001730D"/>
    <w:rsid w:val="00017FAD"/>
    <w:rsid w:val="000237FE"/>
    <w:rsid w:val="0002448C"/>
    <w:rsid w:val="00025A6A"/>
    <w:rsid w:val="00026018"/>
    <w:rsid w:val="0002676A"/>
    <w:rsid w:val="00030445"/>
    <w:rsid w:val="00030EB0"/>
    <w:rsid w:val="0003369A"/>
    <w:rsid w:val="0003429E"/>
    <w:rsid w:val="00034336"/>
    <w:rsid w:val="0003706C"/>
    <w:rsid w:val="0003723A"/>
    <w:rsid w:val="00037BE5"/>
    <w:rsid w:val="00041160"/>
    <w:rsid w:val="00041558"/>
    <w:rsid w:val="000415DC"/>
    <w:rsid w:val="00043113"/>
    <w:rsid w:val="000440A3"/>
    <w:rsid w:val="000465A0"/>
    <w:rsid w:val="00047DD0"/>
    <w:rsid w:val="00054C58"/>
    <w:rsid w:val="00060F21"/>
    <w:rsid w:val="00060FD1"/>
    <w:rsid w:val="00061410"/>
    <w:rsid w:val="00063AFC"/>
    <w:rsid w:val="00063FCD"/>
    <w:rsid w:val="00064CAE"/>
    <w:rsid w:val="0006554F"/>
    <w:rsid w:val="00066440"/>
    <w:rsid w:val="00066EAC"/>
    <w:rsid w:val="00070335"/>
    <w:rsid w:val="00071173"/>
    <w:rsid w:val="00072131"/>
    <w:rsid w:val="0007215E"/>
    <w:rsid w:val="0007539C"/>
    <w:rsid w:val="00075514"/>
    <w:rsid w:val="0007607C"/>
    <w:rsid w:val="0007698F"/>
    <w:rsid w:val="00076A32"/>
    <w:rsid w:val="00076CFE"/>
    <w:rsid w:val="000772D0"/>
    <w:rsid w:val="000805E6"/>
    <w:rsid w:val="0008098F"/>
    <w:rsid w:val="00080E9B"/>
    <w:rsid w:val="00081B14"/>
    <w:rsid w:val="00081BC9"/>
    <w:rsid w:val="00081CDA"/>
    <w:rsid w:val="000833AD"/>
    <w:rsid w:val="00085E61"/>
    <w:rsid w:val="0008707B"/>
    <w:rsid w:val="00087653"/>
    <w:rsid w:val="000910FA"/>
    <w:rsid w:val="00091585"/>
    <w:rsid w:val="00091EE1"/>
    <w:rsid w:val="00092055"/>
    <w:rsid w:val="00092B2F"/>
    <w:rsid w:val="000939D8"/>
    <w:rsid w:val="000957BD"/>
    <w:rsid w:val="00095A1D"/>
    <w:rsid w:val="00096E5A"/>
    <w:rsid w:val="000A0268"/>
    <w:rsid w:val="000A31B2"/>
    <w:rsid w:val="000A44D2"/>
    <w:rsid w:val="000A50AC"/>
    <w:rsid w:val="000A65BA"/>
    <w:rsid w:val="000A7C4E"/>
    <w:rsid w:val="000B0C6A"/>
    <w:rsid w:val="000B58FB"/>
    <w:rsid w:val="000B5ACF"/>
    <w:rsid w:val="000C010B"/>
    <w:rsid w:val="000C0561"/>
    <w:rsid w:val="000C0EE5"/>
    <w:rsid w:val="000C5D2A"/>
    <w:rsid w:val="000C7313"/>
    <w:rsid w:val="000D0ADB"/>
    <w:rsid w:val="000D1412"/>
    <w:rsid w:val="000D1AF8"/>
    <w:rsid w:val="000D1B46"/>
    <w:rsid w:val="000D2B94"/>
    <w:rsid w:val="000D4826"/>
    <w:rsid w:val="000D6E68"/>
    <w:rsid w:val="000E119A"/>
    <w:rsid w:val="000E343A"/>
    <w:rsid w:val="000E3A9A"/>
    <w:rsid w:val="000E42F8"/>
    <w:rsid w:val="000E66FB"/>
    <w:rsid w:val="000E7366"/>
    <w:rsid w:val="000F2ECE"/>
    <w:rsid w:val="000F48B0"/>
    <w:rsid w:val="000F6727"/>
    <w:rsid w:val="000F6E3B"/>
    <w:rsid w:val="00101360"/>
    <w:rsid w:val="00101813"/>
    <w:rsid w:val="001068EA"/>
    <w:rsid w:val="00106B0C"/>
    <w:rsid w:val="00110C5C"/>
    <w:rsid w:val="001117A4"/>
    <w:rsid w:val="00112183"/>
    <w:rsid w:val="001137B3"/>
    <w:rsid w:val="00113F39"/>
    <w:rsid w:val="001158F8"/>
    <w:rsid w:val="00115EA1"/>
    <w:rsid w:val="001162AF"/>
    <w:rsid w:val="0011665D"/>
    <w:rsid w:val="00121239"/>
    <w:rsid w:val="00121DB5"/>
    <w:rsid w:val="001233F7"/>
    <w:rsid w:val="0012413C"/>
    <w:rsid w:val="00126819"/>
    <w:rsid w:val="0013138E"/>
    <w:rsid w:val="00134B18"/>
    <w:rsid w:val="00134B43"/>
    <w:rsid w:val="00135F6D"/>
    <w:rsid w:val="00136597"/>
    <w:rsid w:val="00137C9D"/>
    <w:rsid w:val="001510B0"/>
    <w:rsid w:val="00151765"/>
    <w:rsid w:val="00151F10"/>
    <w:rsid w:val="00152112"/>
    <w:rsid w:val="0015240B"/>
    <w:rsid w:val="0015298C"/>
    <w:rsid w:val="00153226"/>
    <w:rsid w:val="00154698"/>
    <w:rsid w:val="00155F12"/>
    <w:rsid w:val="0016000F"/>
    <w:rsid w:val="0016087D"/>
    <w:rsid w:val="00161408"/>
    <w:rsid w:val="00161D1C"/>
    <w:rsid w:val="001627E5"/>
    <w:rsid w:val="00162F41"/>
    <w:rsid w:val="0016662C"/>
    <w:rsid w:val="00166B4E"/>
    <w:rsid w:val="00167FCC"/>
    <w:rsid w:val="00171718"/>
    <w:rsid w:val="00172157"/>
    <w:rsid w:val="00173457"/>
    <w:rsid w:val="00177377"/>
    <w:rsid w:val="00177DCA"/>
    <w:rsid w:val="00180C33"/>
    <w:rsid w:val="001820F5"/>
    <w:rsid w:val="001833CB"/>
    <w:rsid w:val="001865F0"/>
    <w:rsid w:val="0019010A"/>
    <w:rsid w:val="0019127C"/>
    <w:rsid w:val="0019221A"/>
    <w:rsid w:val="001928D3"/>
    <w:rsid w:val="00193FBF"/>
    <w:rsid w:val="001970F6"/>
    <w:rsid w:val="001A0C3D"/>
    <w:rsid w:val="001A1E18"/>
    <w:rsid w:val="001A3B5C"/>
    <w:rsid w:val="001A4AFB"/>
    <w:rsid w:val="001A4C7F"/>
    <w:rsid w:val="001A5BCD"/>
    <w:rsid w:val="001A5D00"/>
    <w:rsid w:val="001A6064"/>
    <w:rsid w:val="001A748B"/>
    <w:rsid w:val="001A787D"/>
    <w:rsid w:val="001B001F"/>
    <w:rsid w:val="001B4A57"/>
    <w:rsid w:val="001B4B6D"/>
    <w:rsid w:val="001B660E"/>
    <w:rsid w:val="001B7D95"/>
    <w:rsid w:val="001C0029"/>
    <w:rsid w:val="001C1689"/>
    <w:rsid w:val="001C3499"/>
    <w:rsid w:val="001C39B7"/>
    <w:rsid w:val="001C4CCF"/>
    <w:rsid w:val="001C73BF"/>
    <w:rsid w:val="001C7C8C"/>
    <w:rsid w:val="001D0878"/>
    <w:rsid w:val="001D4158"/>
    <w:rsid w:val="001D593A"/>
    <w:rsid w:val="001D5E48"/>
    <w:rsid w:val="001D611F"/>
    <w:rsid w:val="001D6367"/>
    <w:rsid w:val="001D6B0A"/>
    <w:rsid w:val="001E032D"/>
    <w:rsid w:val="001E0F26"/>
    <w:rsid w:val="001E3412"/>
    <w:rsid w:val="001E5520"/>
    <w:rsid w:val="001E6D2D"/>
    <w:rsid w:val="001F1E57"/>
    <w:rsid w:val="001F2B0E"/>
    <w:rsid w:val="001F4CDB"/>
    <w:rsid w:val="001F506D"/>
    <w:rsid w:val="001F5AD2"/>
    <w:rsid w:val="001F6A50"/>
    <w:rsid w:val="001F6ACD"/>
    <w:rsid w:val="001F718C"/>
    <w:rsid w:val="002005CE"/>
    <w:rsid w:val="0020160C"/>
    <w:rsid w:val="00202B97"/>
    <w:rsid w:val="002035D6"/>
    <w:rsid w:val="00203758"/>
    <w:rsid w:val="00205416"/>
    <w:rsid w:val="00207908"/>
    <w:rsid w:val="00210753"/>
    <w:rsid w:val="00211228"/>
    <w:rsid w:val="002121C2"/>
    <w:rsid w:val="00212C50"/>
    <w:rsid w:val="002159E0"/>
    <w:rsid w:val="002166B8"/>
    <w:rsid w:val="00220749"/>
    <w:rsid w:val="00220A33"/>
    <w:rsid w:val="00220B89"/>
    <w:rsid w:val="00220F07"/>
    <w:rsid w:val="002218E6"/>
    <w:rsid w:val="00221CF4"/>
    <w:rsid w:val="0022215E"/>
    <w:rsid w:val="00222D1E"/>
    <w:rsid w:val="00223F82"/>
    <w:rsid w:val="0022547C"/>
    <w:rsid w:val="00226546"/>
    <w:rsid w:val="00230169"/>
    <w:rsid w:val="002344FF"/>
    <w:rsid w:val="002353F8"/>
    <w:rsid w:val="00240033"/>
    <w:rsid w:val="002415A8"/>
    <w:rsid w:val="00241A8D"/>
    <w:rsid w:val="00241B73"/>
    <w:rsid w:val="00242489"/>
    <w:rsid w:val="00242B17"/>
    <w:rsid w:val="00242CA8"/>
    <w:rsid w:val="00242FAB"/>
    <w:rsid w:val="0024578F"/>
    <w:rsid w:val="00246521"/>
    <w:rsid w:val="00246746"/>
    <w:rsid w:val="00246CA1"/>
    <w:rsid w:val="00247176"/>
    <w:rsid w:val="0025077B"/>
    <w:rsid w:val="00251CCC"/>
    <w:rsid w:val="00252B0B"/>
    <w:rsid w:val="002536EB"/>
    <w:rsid w:val="00254B50"/>
    <w:rsid w:val="00255006"/>
    <w:rsid w:val="00255800"/>
    <w:rsid w:val="00255A38"/>
    <w:rsid w:val="002615D2"/>
    <w:rsid w:val="00261635"/>
    <w:rsid w:val="00262169"/>
    <w:rsid w:val="00262B7F"/>
    <w:rsid w:val="00263457"/>
    <w:rsid w:val="002648A8"/>
    <w:rsid w:val="00266697"/>
    <w:rsid w:val="0026774B"/>
    <w:rsid w:val="00270BDB"/>
    <w:rsid w:val="00272C70"/>
    <w:rsid w:val="00273A3B"/>
    <w:rsid w:val="002749E5"/>
    <w:rsid w:val="00276EC9"/>
    <w:rsid w:val="00276F6A"/>
    <w:rsid w:val="00277A13"/>
    <w:rsid w:val="00281C14"/>
    <w:rsid w:val="00281F4A"/>
    <w:rsid w:val="0028240F"/>
    <w:rsid w:val="002835E6"/>
    <w:rsid w:val="00284432"/>
    <w:rsid w:val="002873E5"/>
    <w:rsid w:val="002879B5"/>
    <w:rsid w:val="00294644"/>
    <w:rsid w:val="002960E6"/>
    <w:rsid w:val="00296BCE"/>
    <w:rsid w:val="002A21D2"/>
    <w:rsid w:val="002A711A"/>
    <w:rsid w:val="002B1EB9"/>
    <w:rsid w:val="002B41AE"/>
    <w:rsid w:val="002B4372"/>
    <w:rsid w:val="002B71BD"/>
    <w:rsid w:val="002C2516"/>
    <w:rsid w:val="002C3505"/>
    <w:rsid w:val="002C7078"/>
    <w:rsid w:val="002D2799"/>
    <w:rsid w:val="002D2C0A"/>
    <w:rsid w:val="002D3361"/>
    <w:rsid w:val="002D361A"/>
    <w:rsid w:val="002D48ED"/>
    <w:rsid w:val="002D59A8"/>
    <w:rsid w:val="002D69B5"/>
    <w:rsid w:val="002D7A2F"/>
    <w:rsid w:val="002E04B2"/>
    <w:rsid w:val="002E1FD3"/>
    <w:rsid w:val="002E2840"/>
    <w:rsid w:val="002E33D8"/>
    <w:rsid w:val="002E517A"/>
    <w:rsid w:val="002E5DE9"/>
    <w:rsid w:val="002E754E"/>
    <w:rsid w:val="002F0071"/>
    <w:rsid w:val="002F49CE"/>
    <w:rsid w:val="002F512B"/>
    <w:rsid w:val="002F5162"/>
    <w:rsid w:val="002F6442"/>
    <w:rsid w:val="0030004C"/>
    <w:rsid w:val="00301224"/>
    <w:rsid w:val="0030163F"/>
    <w:rsid w:val="003025AE"/>
    <w:rsid w:val="00302EF4"/>
    <w:rsid w:val="00303087"/>
    <w:rsid w:val="0031112B"/>
    <w:rsid w:val="003115D5"/>
    <w:rsid w:val="00312910"/>
    <w:rsid w:val="00314C60"/>
    <w:rsid w:val="00315077"/>
    <w:rsid w:val="0031545A"/>
    <w:rsid w:val="00315E63"/>
    <w:rsid w:val="0031655B"/>
    <w:rsid w:val="00317B44"/>
    <w:rsid w:val="00320116"/>
    <w:rsid w:val="00320C40"/>
    <w:rsid w:val="00320E84"/>
    <w:rsid w:val="00321374"/>
    <w:rsid w:val="00325FEE"/>
    <w:rsid w:val="00326785"/>
    <w:rsid w:val="00330F33"/>
    <w:rsid w:val="00330F5B"/>
    <w:rsid w:val="00332E0D"/>
    <w:rsid w:val="003335AA"/>
    <w:rsid w:val="00334F72"/>
    <w:rsid w:val="00335710"/>
    <w:rsid w:val="00335A56"/>
    <w:rsid w:val="0033716F"/>
    <w:rsid w:val="003434B3"/>
    <w:rsid w:val="0034467D"/>
    <w:rsid w:val="00344861"/>
    <w:rsid w:val="00347108"/>
    <w:rsid w:val="00351AF2"/>
    <w:rsid w:val="00355336"/>
    <w:rsid w:val="00355832"/>
    <w:rsid w:val="003558EF"/>
    <w:rsid w:val="00356BA5"/>
    <w:rsid w:val="00357ADE"/>
    <w:rsid w:val="00360299"/>
    <w:rsid w:val="00363807"/>
    <w:rsid w:val="00364CE3"/>
    <w:rsid w:val="00364F66"/>
    <w:rsid w:val="0036530E"/>
    <w:rsid w:val="003654F2"/>
    <w:rsid w:val="003656AD"/>
    <w:rsid w:val="00367A6A"/>
    <w:rsid w:val="0037107D"/>
    <w:rsid w:val="003728E3"/>
    <w:rsid w:val="0037338E"/>
    <w:rsid w:val="00374668"/>
    <w:rsid w:val="00375BAB"/>
    <w:rsid w:val="00377762"/>
    <w:rsid w:val="003807A1"/>
    <w:rsid w:val="00380BCC"/>
    <w:rsid w:val="00383100"/>
    <w:rsid w:val="003832D9"/>
    <w:rsid w:val="003850A5"/>
    <w:rsid w:val="003859A7"/>
    <w:rsid w:val="003860F9"/>
    <w:rsid w:val="00386C72"/>
    <w:rsid w:val="003915BC"/>
    <w:rsid w:val="003934BE"/>
    <w:rsid w:val="00393AB9"/>
    <w:rsid w:val="00393BF1"/>
    <w:rsid w:val="003962F2"/>
    <w:rsid w:val="00396938"/>
    <w:rsid w:val="003979E1"/>
    <w:rsid w:val="003A3037"/>
    <w:rsid w:val="003A3C41"/>
    <w:rsid w:val="003A3ED8"/>
    <w:rsid w:val="003A3F26"/>
    <w:rsid w:val="003A3FE8"/>
    <w:rsid w:val="003A6509"/>
    <w:rsid w:val="003B015A"/>
    <w:rsid w:val="003B10FA"/>
    <w:rsid w:val="003B1CA2"/>
    <w:rsid w:val="003B37D2"/>
    <w:rsid w:val="003B3F3E"/>
    <w:rsid w:val="003B4FBA"/>
    <w:rsid w:val="003B6371"/>
    <w:rsid w:val="003C00BC"/>
    <w:rsid w:val="003C022B"/>
    <w:rsid w:val="003C09D0"/>
    <w:rsid w:val="003C0E27"/>
    <w:rsid w:val="003C49F6"/>
    <w:rsid w:val="003C5939"/>
    <w:rsid w:val="003C5958"/>
    <w:rsid w:val="003C5CF7"/>
    <w:rsid w:val="003C6853"/>
    <w:rsid w:val="003D182B"/>
    <w:rsid w:val="003D53D9"/>
    <w:rsid w:val="003D6B7C"/>
    <w:rsid w:val="003E134B"/>
    <w:rsid w:val="003E25E5"/>
    <w:rsid w:val="003E2EF9"/>
    <w:rsid w:val="003E5AA9"/>
    <w:rsid w:val="003E6307"/>
    <w:rsid w:val="003F316D"/>
    <w:rsid w:val="003F3B45"/>
    <w:rsid w:val="003F3D99"/>
    <w:rsid w:val="003F3FC6"/>
    <w:rsid w:val="003F4801"/>
    <w:rsid w:val="003F5451"/>
    <w:rsid w:val="003F55E8"/>
    <w:rsid w:val="003F5CCC"/>
    <w:rsid w:val="003F5DF6"/>
    <w:rsid w:val="003F7C97"/>
    <w:rsid w:val="003F7F52"/>
    <w:rsid w:val="00401D01"/>
    <w:rsid w:val="00402D7F"/>
    <w:rsid w:val="004077D4"/>
    <w:rsid w:val="00412408"/>
    <w:rsid w:val="00413215"/>
    <w:rsid w:val="004146BD"/>
    <w:rsid w:val="00414BBB"/>
    <w:rsid w:val="0041532A"/>
    <w:rsid w:val="00415F38"/>
    <w:rsid w:val="00420714"/>
    <w:rsid w:val="00420863"/>
    <w:rsid w:val="0042098A"/>
    <w:rsid w:val="00424BFB"/>
    <w:rsid w:val="00425B02"/>
    <w:rsid w:val="004268AB"/>
    <w:rsid w:val="00427B15"/>
    <w:rsid w:val="00431CD3"/>
    <w:rsid w:val="00432414"/>
    <w:rsid w:val="00432511"/>
    <w:rsid w:val="00433DC8"/>
    <w:rsid w:val="0043736C"/>
    <w:rsid w:val="00437C88"/>
    <w:rsid w:val="00440C46"/>
    <w:rsid w:val="00440F17"/>
    <w:rsid w:val="00442202"/>
    <w:rsid w:val="0044247E"/>
    <w:rsid w:val="00443824"/>
    <w:rsid w:val="004439BA"/>
    <w:rsid w:val="00444C27"/>
    <w:rsid w:val="00444CEF"/>
    <w:rsid w:val="004450C2"/>
    <w:rsid w:val="004456AC"/>
    <w:rsid w:val="00445729"/>
    <w:rsid w:val="0044674F"/>
    <w:rsid w:val="004471C4"/>
    <w:rsid w:val="00450A80"/>
    <w:rsid w:val="00451AA0"/>
    <w:rsid w:val="00454A2B"/>
    <w:rsid w:val="0045618A"/>
    <w:rsid w:val="00457B96"/>
    <w:rsid w:val="004617C3"/>
    <w:rsid w:val="00462592"/>
    <w:rsid w:val="00462F19"/>
    <w:rsid w:val="004644D6"/>
    <w:rsid w:val="00465C8F"/>
    <w:rsid w:val="00470711"/>
    <w:rsid w:val="00471807"/>
    <w:rsid w:val="004720D0"/>
    <w:rsid w:val="00472B34"/>
    <w:rsid w:val="004742D6"/>
    <w:rsid w:val="004768A4"/>
    <w:rsid w:val="004775ED"/>
    <w:rsid w:val="0048265C"/>
    <w:rsid w:val="00482CB4"/>
    <w:rsid w:val="00483A30"/>
    <w:rsid w:val="00485019"/>
    <w:rsid w:val="00490816"/>
    <w:rsid w:val="004916A9"/>
    <w:rsid w:val="00491CFF"/>
    <w:rsid w:val="00491F2A"/>
    <w:rsid w:val="00492135"/>
    <w:rsid w:val="00492838"/>
    <w:rsid w:val="00492A81"/>
    <w:rsid w:val="00492E58"/>
    <w:rsid w:val="0049394D"/>
    <w:rsid w:val="004969CE"/>
    <w:rsid w:val="0049716A"/>
    <w:rsid w:val="0049717C"/>
    <w:rsid w:val="004974E2"/>
    <w:rsid w:val="0049771E"/>
    <w:rsid w:val="004A03B7"/>
    <w:rsid w:val="004A1F6F"/>
    <w:rsid w:val="004A2768"/>
    <w:rsid w:val="004A3C2D"/>
    <w:rsid w:val="004A3DED"/>
    <w:rsid w:val="004A5B68"/>
    <w:rsid w:val="004A6E22"/>
    <w:rsid w:val="004B2B15"/>
    <w:rsid w:val="004B3825"/>
    <w:rsid w:val="004B3D49"/>
    <w:rsid w:val="004B3FE0"/>
    <w:rsid w:val="004B5473"/>
    <w:rsid w:val="004B5847"/>
    <w:rsid w:val="004B693C"/>
    <w:rsid w:val="004B69A3"/>
    <w:rsid w:val="004B7AF1"/>
    <w:rsid w:val="004B7C65"/>
    <w:rsid w:val="004C0EED"/>
    <w:rsid w:val="004C13A6"/>
    <w:rsid w:val="004C1702"/>
    <w:rsid w:val="004C273B"/>
    <w:rsid w:val="004C3535"/>
    <w:rsid w:val="004C53B0"/>
    <w:rsid w:val="004C69D3"/>
    <w:rsid w:val="004D10F6"/>
    <w:rsid w:val="004D61BB"/>
    <w:rsid w:val="004D6A79"/>
    <w:rsid w:val="004D6C29"/>
    <w:rsid w:val="004E0356"/>
    <w:rsid w:val="004E04E9"/>
    <w:rsid w:val="004E0692"/>
    <w:rsid w:val="004E0B27"/>
    <w:rsid w:val="004E1752"/>
    <w:rsid w:val="004E234C"/>
    <w:rsid w:val="004E2C12"/>
    <w:rsid w:val="004E359E"/>
    <w:rsid w:val="004E6BB9"/>
    <w:rsid w:val="004F0299"/>
    <w:rsid w:val="004F0757"/>
    <w:rsid w:val="004F0DBE"/>
    <w:rsid w:val="004F16D4"/>
    <w:rsid w:val="004F190B"/>
    <w:rsid w:val="004F62BB"/>
    <w:rsid w:val="00502A46"/>
    <w:rsid w:val="00510844"/>
    <w:rsid w:val="00511D27"/>
    <w:rsid w:val="00513833"/>
    <w:rsid w:val="00515603"/>
    <w:rsid w:val="0051613B"/>
    <w:rsid w:val="0051690E"/>
    <w:rsid w:val="005173FF"/>
    <w:rsid w:val="0051791C"/>
    <w:rsid w:val="00517DEC"/>
    <w:rsid w:val="0052006A"/>
    <w:rsid w:val="00520CBD"/>
    <w:rsid w:val="005221EA"/>
    <w:rsid w:val="00522DF6"/>
    <w:rsid w:val="00523C41"/>
    <w:rsid w:val="00523D49"/>
    <w:rsid w:val="00524364"/>
    <w:rsid w:val="0052622E"/>
    <w:rsid w:val="00527227"/>
    <w:rsid w:val="00527B41"/>
    <w:rsid w:val="00527E3C"/>
    <w:rsid w:val="00531EFC"/>
    <w:rsid w:val="00535FB4"/>
    <w:rsid w:val="00537D89"/>
    <w:rsid w:val="0054005E"/>
    <w:rsid w:val="00542167"/>
    <w:rsid w:val="00542C96"/>
    <w:rsid w:val="0054363B"/>
    <w:rsid w:val="005441DD"/>
    <w:rsid w:val="00552F95"/>
    <w:rsid w:val="00553B63"/>
    <w:rsid w:val="0055464A"/>
    <w:rsid w:val="005557E5"/>
    <w:rsid w:val="00557212"/>
    <w:rsid w:val="00557B92"/>
    <w:rsid w:val="0056070E"/>
    <w:rsid w:val="005607C8"/>
    <w:rsid w:val="00560CA6"/>
    <w:rsid w:val="0056269C"/>
    <w:rsid w:val="00567A3A"/>
    <w:rsid w:val="005720FF"/>
    <w:rsid w:val="005736BD"/>
    <w:rsid w:val="00573CC3"/>
    <w:rsid w:val="0057432D"/>
    <w:rsid w:val="0057480B"/>
    <w:rsid w:val="00574B49"/>
    <w:rsid w:val="00574DE5"/>
    <w:rsid w:val="00574E52"/>
    <w:rsid w:val="00574FA7"/>
    <w:rsid w:val="00575ABC"/>
    <w:rsid w:val="00575FE9"/>
    <w:rsid w:val="00577406"/>
    <w:rsid w:val="005776B9"/>
    <w:rsid w:val="00582EAD"/>
    <w:rsid w:val="00583107"/>
    <w:rsid w:val="00584D00"/>
    <w:rsid w:val="00585CF9"/>
    <w:rsid w:val="005879A3"/>
    <w:rsid w:val="00587BCE"/>
    <w:rsid w:val="00590D6E"/>
    <w:rsid w:val="005925BC"/>
    <w:rsid w:val="005939AE"/>
    <w:rsid w:val="00595057"/>
    <w:rsid w:val="00595C89"/>
    <w:rsid w:val="005972A1"/>
    <w:rsid w:val="005A25EF"/>
    <w:rsid w:val="005A3CC5"/>
    <w:rsid w:val="005A4DDF"/>
    <w:rsid w:val="005A66A5"/>
    <w:rsid w:val="005A7867"/>
    <w:rsid w:val="005B1A52"/>
    <w:rsid w:val="005B28A2"/>
    <w:rsid w:val="005B3028"/>
    <w:rsid w:val="005B3D0B"/>
    <w:rsid w:val="005B4097"/>
    <w:rsid w:val="005B40EC"/>
    <w:rsid w:val="005B4208"/>
    <w:rsid w:val="005B5E17"/>
    <w:rsid w:val="005C5F25"/>
    <w:rsid w:val="005D3831"/>
    <w:rsid w:val="005D6DAE"/>
    <w:rsid w:val="005D6F10"/>
    <w:rsid w:val="005D7F44"/>
    <w:rsid w:val="005E0BD1"/>
    <w:rsid w:val="005E5189"/>
    <w:rsid w:val="005E6B8B"/>
    <w:rsid w:val="005E7586"/>
    <w:rsid w:val="005F0A69"/>
    <w:rsid w:val="005F0E5F"/>
    <w:rsid w:val="005F585E"/>
    <w:rsid w:val="005F59CC"/>
    <w:rsid w:val="005F5BD5"/>
    <w:rsid w:val="006008E3"/>
    <w:rsid w:val="00601709"/>
    <w:rsid w:val="006019CB"/>
    <w:rsid w:val="00603852"/>
    <w:rsid w:val="006044EC"/>
    <w:rsid w:val="006055FF"/>
    <w:rsid w:val="00607893"/>
    <w:rsid w:val="00612C51"/>
    <w:rsid w:val="0061633C"/>
    <w:rsid w:val="006228A4"/>
    <w:rsid w:val="00624BF8"/>
    <w:rsid w:val="00625638"/>
    <w:rsid w:val="00630563"/>
    <w:rsid w:val="00631CC0"/>
    <w:rsid w:val="006329BC"/>
    <w:rsid w:val="006331CE"/>
    <w:rsid w:val="00633415"/>
    <w:rsid w:val="00637806"/>
    <w:rsid w:val="006409A9"/>
    <w:rsid w:val="006413E6"/>
    <w:rsid w:val="00641B47"/>
    <w:rsid w:val="006424C1"/>
    <w:rsid w:val="00642916"/>
    <w:rsid w:val="00642EA3"/>
    <w:rsid w:val="00643E38"/>
    <w:rsid w:val="00644E79"/>
    <w:rsid w:val="006464F5"/>
    <w:rsid w:val="00646D5A"/>
    <w:rsid w:val="00646DD6"/>
    <w:rsid w:val="00650A2F"/>
    <w:rsid w:val="006510EF"/>
    <w:rsid w:val="006515E8"/>
    <w:rsid w:val="00652DDE"/>
    <w:rsid w:val="00654884"/>
    <w:rsid w:val="00654C01"/>
    <w:rsid w:val="00656079"/>
    <w:rsid w:val="006564E7"/>
    <w:rsid w:val="00656B10"/>
    <w:rsid w:val="00661784"/>
    <w:rsid w:val="006618E7"/>
    <w:rsid w:val="006618F4"/>
    <w:rsid w:val="0066296C"/>
    <w:rsid w:val="00664031"/>
    <w:rsid w:val="0066504D"/>
    <w:rsid w:val="0066580F"/>
    <w:rsid w:val="00665B1D"/>
    <w:rsid w:val="00670A74"/>
    <w:rsid w:val="00672279"/>
    <w:rsid w:val="00673458"/>
    <w:rsid w:val="0067360E"/>
    <w:rsid w:val="006740D0"/>
    <w:rsid w:val="0067493E"/>
    <w:rsid w:val="006750BA"/>
    <w:rsid w:val="00676109"/>
    <w:rsid w:val="00676970"/>
    <w:rsid w:val="00677DB2"/>
    <w:rsid w:val="0068089A"/>
    <w:rsid w:val="00682245"/>
    <w:rsid w:val="006823F9"/>
    <w:rsid w:val="0068392D"/>
    <w:rsid w:val="0068401E"/>
    <w:rsid w:val="006847E1"/>
    <w:rsid w:val="006872C0"/>
    <w:rsid w:val="00691322"/>
    <w:rsid w:val="00692E4C"/>
    <w:rsid w:val="00693E76"/>
    <w:rsid w:val="00695A73"/>
    <w:rsid w:val="006965D7"/>
    <w:rsid w:val="006A39AE"/>
    <w:rsid w:val="006A568A"/>
    <w:rsid w:val="006A5E8A"/>
    <w:rsid w:val="006A6517"/>
    <w:rsid w:val="006A6738"/>
    <w:rsid w:val="006A6943"/>
    <w:rsid w:val="006B0959"/>
    <w:rsid w:val="006B0D97"/>
    <w:rsid w:val="006B1F98"/>
    <w:rsid w:val="006B26AF"/>
    <w:rsid w:val="006B293B"/>
    <w:rsid w:val="006B2ACB"/>
    <w:rsid w:val="006B39FB"/>
    <w:rsid w:val="006B7349"/>
    <w:rsid w:val="006C2E35"/>
    <w:rsid w:val="006C3B78"/>
    <w:rsid w:val="006C586C"/>
    <w:rsid w:val="006C7E8C"/>
    <w:rsid w:val="006D3795"/>
    <w:rsid w:val="006D38F1"/>
    <w:rsid w:val="006D3B4C"/>
    <w:rsid w:val="006D49E4"/>
    <w:rsid w:val="006D4B2D"/>
    <w:rsid w:val="006D7564"/>
    <w:rsid w:val="006D7CF0"/>
    <w:rsid w:val="006D7F66"/>
    <w:rsid w:val="006E07EC"/>
    <w:rsid w:val="006E1641"/>
    <w:rsid w:val="006E5367"/>
    <w:rsid w:val="006E5693"/>
    <w:rsid w:val="006F0681"/>
    <w:rsid w:val="006F1B6D"/>
    <w:rsid w:val="006F323F"/>
    <w:rsid w:val="006F3A6C"/>
    <w:rsid w:val="006F462B"/>
    <w:rsid w:val="006F4C19"/>
    <w:rsid w:val="006F596A"/>
    <w:rsid w:val="006F7BEF"/>
    <w:rsid w:val="00700B54"/>
    <w:rsid w:val="00701F9A"/>
    <w:rsid w:val="0070317D"/>
    <w:rsid w:val="007038E6"/>
    <w:rsid w:val="00703D3D"/>
    <w:rsid w:val="0070426E"/>
    <w:rsid w:val="0070548B"/>
    <w:rsid w:val="007066AF"/>
    <w:rsid w:val="0071113E"/>
    <w:rsid w:val="00711E98"/>
    <w:rsid w:val="00713748"/>
    <w:rsid w:val="00713888"/>
    <w:rsid w:val="00714022"/>
    <w:rsid w:val="00714DA0"/>
    <w:rsid w:val="007158CD"/>
    <w:rsid w:val="00716F29"/>
    <w:rsid w:val="007175C0"/>
    <w:rsid w:val="0072027B"/>
    <w:rsid w:val="0072033E"/>
    <w:rsid w:val="00720F85"/>
    <w:rsid w:val="00721701"/>
    <w:rsid w:val="00722233"/>
    <w:rsid w:val="0072658F"/>
    <w:rsid w:val="007341B2"/>
    <w:rsid w:val="0073667B"/>
    <w:rsid w:val="00741579"/>
    <w:rsid w:val="00744A17"/>
    <w:rsid w:val="00744E77"/>
    <w:rsid w:val="0074575E"/>
    <w:rsid w:val="00752A62"/>
    <w:rsid w:val="00754D38"/>
    <w:rsid w:val="00755A0C"/>
    <w:rsid w:val="00761622"/>
    <w:rsid w:val="00761E3A"/>
    <w:rsid w:val="00762EE1"/>
    <w:rsid w:val="00763A42"/>
    <w:rsid w:val="007646BD"/>
    <w:rsid w:val="0076486D"/>
    <w:rsid w:val="00765544"/>
    <w:rsid w:val="0077174A"/>
    <w:rsid w:val="007732C6"/>
    <w:rsid w:val="00773FBF"/>
    <w:rsid w:val="00775147"/>
    <w:rsid w:val="00780377"/>
    <w:rsid w:val="00783634"/>
    <w:rsid w:val="00784917"/>
    <w:rsid w:val="00786813"/>
    <w:rsid w:val="00790B17"/>
    <w:rsid w:val="00792409"/>
    <w:rsid w:val="00792AD1"/>
    <w:rsid w:val="00792B80"/>
    <w:rsid w:val="0079359B"/>
    <w:rsid w:val="007945D0"/>
    <w:rsid w:val="00794848"/>
    <w:rsid w:val="007A0D27"/>
    <w:rsid w:val="007A0E6B"/>
    <w:rsid w:val="007A10C5"/>
    <w:rsid w:val="007A3020"/>
    <w:rsid w:val="007A3088"/>
    <w:rsid w:val="007A7986"/>
    <w:rsid w:val="007B053D"/>
    <w:rsid w:val="007B218B"/>
    <w:rsid w:val="007B27F8"/>
    <w:rsid w:val="007B2D4B"/>
    <w:rsid w:val="007B2F00"/>
    <w:rsid w:val="007B341F"/>
    <w:rsid w:val="007B5603"/>
    <w:rsid w:val="007B5CB9"/>
    <w:rsid w:val="007B76F5"/>
    <w:rsid w:val="007B7F83"/>
    <w:rsid w:val="007C0139"/>
    <w:rsid w:val="007C15C0"/>
    <w:rsid w:val="007C2CED"/>
    <w:rsid w:val="007C3ED6"/>
    <w:rsid w:val="007C425E"/>
    <w:rsid w:val="007C743D"/>
    <w:rsid w:val="007D032A"/>
    <w:rsid w:val="007D0872"/>
    <w:rsid w:val="007D2602"/>
    <w:rsid w:val="007D4351"/>
    <w:rsid w:val="007D461F"/>
    <w:rsid w:val="007D6D10"/>
    <w:rsid w:val="007E5051"/>
    <w:rsid w:val="007E5080"/>
    <w:rsid w:val="007E5227"/>
    <w:rsid w:val="007F14E2"/>
    <w:rsid w:val="007F1942"/>
    <w:rsid w:val="007F39A8"/>
    <w:rsid w:val="008001F2"/>
    <w:rsid w:val="00801697"/>
    <w:rsid w:val="0080228A"/>
    <w:rsid w:val="0080371C"/>
    <w:rsid w:val="00804E80"/>
    <w:rsid w:val="00805F1C"/>
    <w:rsid w:val="0080632B"/>
    <w:rsid w:val="00810082"/>
    <w:rsid w:val="00813D8E"/>
    <w:rsid w:val="0081514F"/>
    <w:rsid w:val="00816BB7"/>
    <w:rsid w:val="008170E5"/>
    <w:rsid w:val="0081717E"/>
    <w:rsid w:val="0082029D"/>
    <w:rsid w:val="0082357F"/>
    <w:rsid w:val="0082584A"/>
    <w:rsid w:val="00825BEB"/>
    <w:rsid w:val="00830B01"/>
    <w:rsid w:val="008352F1"/>
    <w:rsid w:val="00835CFF"/>
    <w:rsid w:val="00836CB1"/>
    <w:rsid w:val="00837462"/>
    <w:rsid w:val="00837AD4"/>
    <w:rsid w:val="008402AC"/>
    <w:rsid w:val="0084192B"/>
    <w:rsid w:val="008420AE"/>
    <w:rsid w:val="008439CA"/>
    <w:rsid w:val="00845B9F"/>
    <w:rsid w:val="00845F88"/>
    <w:rsid w:val="00846378"/>
    <w:rsid w:val="00850760"/>
    <w:rsid w:val="00850AED"/>
    <w:rsid w:val="00851351"/>
    <w:rsid w:val="008523B4"/>
    <w:rsid w:val="00852FE8"/>
    <w:rsid w:val="00855074"/>
    <w:rsid w:val="0085682A"/>
    <w:rsid w:val="00863D1B"/>
    <w:rsid w:val="0086403A"/>
    <w:rsid w:val="00864367"/>
    <w:rsid w:val="008643CE"/>
    <w:rsid w:val="008651B2"/>
    <w:rsid w:val="0086774C"/>
    <w:rsid w:val="00867F45"/>
    <w:rsid w:val="008710E5"/>
    <w:rsid w:val="00871874"/>
    <w:rsid w:val="00874031"/>
    <w:rsid w:val="00874BFE"/>
    <w:rsid w:val="0088004C"/>
    <w:rsid w:val="00880A51"/>
    <w:rsid w:val="008814F5"/>
    <w:rsid w:val="00882007"/>
    <w:rsid w:val="00883208"/>
    <w:rsid w:val="00884771"/>
    <w:rsid w:val="0088723B"/>
    <w:rsid w:val="00890A34"/>
    <w:rsid w:val="008914AB"/>
    <w:rsid w:val="00892B3C"/>
    <w:rsid w:val="00893A53"/>
    <w:rsid w:val="008A221B"/>
    <w:rsid w:val="008A2BF5"/>
    <w:rsid w:val="008A3CEA"/>
    <w:rsid w:val="008A4F97"/>
    <w:rsid w:val="008A5158"/>
    <w:rsid w:val="008B11AC"/>
    <w:rsid w:val="008B2D2D"/>
    <w:rsid w:val="008B5081"/>
    <w:rsid w:val="008B6FFA"/>
    <w:rsid w:val="008B73BF"/>
    <w:rsid w:val="008C05FC"/>
    <w:rsid w:val="008D13E5"/>
    <w:rsid w:val="008D3252"/>
    <w:rsid w:val="008D345A"/>
    <w:rsid w:val="008D4640"/>
    <w:rsid w:val="008D54EF"/>
    <w:rsid w:val="008D706F"/>
    <w:rsid w:val="008E1E63"/>
    <w:rsid w:val="008E4339"/>
    <w:rsid w:val="008E4539"/>
    <w:rsid w:val="008E499F"/>
    <w:rsid w:val="008E4C4E"/>
    <w:rsid w:val="008E4E8F"/>
    <w:rsid w:val="008E5CE2"/>
    <w:rsid w:val="008E6DCF"/>
    <w:rsid w:val="008E7FCE"/>
    <w:rsid w:val="008F1111"/>
    <w:rsid w:val="008F3798"/>
    <w:rsid w:val="008F4B21"/>
    <w:rsid w:val="008F5507"/>
    <w:rsid w:val="008F67AB"/>
    <w:rsid w:val="009008BB"/>
    <w:rsid w:val="00902876"/>
    <w:rsid w:val="00911CE0"/>
    <w:rsid w:val="00916D07"/>
    <w:rsid w:val="00917F35"/>
    <w:rsid w:val="009221B4"/>
    <w:rsid w:val="00922BC7"/>
    <w:rsid w:val="00922F6B"/>
    <w:rsid w:val="009235FA"/>
    <w:rsid w:val="00924651"/>
    <w:rsid w:val="00925CAF"/>
    <w:rsid w:val="009300EF"/>
    <w:rsid w:val="00930974"/>
    <w:rsid w:val="009314B8"/>
    <w:rsid w:val="009318AF"/>
    <w:rsid w:val="00931AAB"/>
    <w:rsid w:val="009326B6"/>
    <w:rsid w:val="009344E6"/>
    <w:rsid w:val="00934863"/>
    <w:rsid w:val="009357D3"/>
    <w:rsid w:val="009359EA"/>
    <w:rsid w:val="00936E32"/>
    <w:rsid w:val="00937A8B"/>
    <w:rsid w:val="00940FFC"/>
    <w:rsid w:val="00942706"/>
    <w:rsid w:val="00943859"/>
    <w:rsid w:val="0094414E"/>
    <w:rsid w:val="009455AE"/>
    <w:rsid w:val="00945DF4"/>
    <w:rsid w:val="00945EC5"/>
    <w:rsid w:val="00946490"/>
    <w:rsid w:val="00947BBA"/>
    <w:rsid w:val="0095095C"/>
    <w:rsid w:val="00952C5F"/>
    <w:rsid w:val="009536F6"/>
    <w:rsid w:val="00953B40"/>
    <w:rsid w:val="00953BB1"/>
    <w:rsid w:val="00955567"/>
    <w:rsid w:val="00955603"/>
    <w:rsid w:val="00961CF2"/>
    <w:rsid w:val="00962505"/>
    <w:rsid w:val="00964E9E"/>
    <w:rsid w:val="00965206"/>
    <w:rsid w:val="00965784"/>
    <w:rsid w:val="00967765"/>
    <w:rsid w:val="00967D79"/>
    <w:rsid w:val="009708FF"/>
    <w:rsid w:val="0097152C"/>
    <w:rsid w:val="0097227B"/>
    <w:rsid w:val="009726EF"/>
    <w:rsid w:val="0097279A"/>
    <w:rsid w:val="00972FB5"/>
    <w:rsid w:val="0097318C"/>
    <w:rsid w:val="0097577C"/>
    <w:rsid w:val="009758EB"/>
    <w:rsid w:val="00976818"/>
    <w:rsid w:val="00977834"/>
    <w:rsid w:val="0098071A"/>
    <w:rsid w:val="009811D6"/>
    <w:rsid w:val="00981F76"/>
    <w:rsid w:val="00982C4F"/>
    <w:rsid w:val="00986234"/>
    <w:rsid w:val="00990FA1"/>
    <w:rsid w:val="00994500"/>
    <w:rsid w:val="00995531"/>
    <w:rsid w:val="00995605"/>
    <w:rsid w:val="009A2819"/>
    <w:rsid w:val="009A31B8"/>
    <w:rsid w:val="009B051E"/>
    <w:rsid w:val="009B05E9"/>
    <w:rsid w:val="009B0A3B"/>
    <w:rsid w:val="009B16ED"/>
    <w:rsid w:val="009B1FF9"/>
    <w:rsid w:val="009B44D0"/>
    <w:rsid w:val="009B4976"/>
    <w:rsid w:val="009B7830"/>
    <w:rsid w:val="009B7FC4"/>
    <w:rsid w:val="009C5C44"/>
    <w:rsid w:val="009D286F"/>
    <w:rsid w:val="009D742C"/>
    <w:rsid w:val="009E0742"/>
    <w:rsid w:val="009E0E75"/>
    <w:rsid w:val="009E21FD"/>
    <w:rsid w:val="009E261F"/>
    <w:rsid w:val="009E49FF"/>
    <w:rsid w:val="009E5A7F"/>
    <w:rsid w:val="009F0104"/>
    <w:rsid w:val="009F31E1"/>
    <w:rsid w:val="009F392B"/>
    <w:rsid w:val="009F44A1"/>
    <w:rsid w:val="009F47FB"/>
    <w:rsid w:val="009F492C"/>
    <w:rsid w:val="009F4F0A"/>
    <w:rsid w:val="009F7515"/>
    <w:rsid w:val="009F7A89"/>
    <w:rsid w:val="00A00F38"/>
    <w:rsid w:val="00A0170C"/>
    <w:rsid w:val="00A01B2E"/>
    <w:rsid w:val="00A01E37"/>
    <w:rsid w:val="00A0536F"/>
    <w:rsid w:val="00A05E05"/>
    <w:rsid w:val="00A06E84"/>
    <w:rsid w:val="00A10A11"/>
    <w:rsid w:val="00A11104"/>
    <w:rsid w:val="00A11A7C"/>
    <w:rsid w:val="00A164D3"/>
    <w:rsid w:val="00A21014"/>
    <w:rsid w:val="00A22775"/>
    <w:rsid w:val="00A23C52"/>
    <w:rsid w:val="00A24B53"/>
    <w:rsid w:val="00A26054"/>
    <w:rsid w:val="00A30416"/>
    <w:rsid w:val="00A30F8B"/>
    <w:rsid w:val="00A32B7B"/>
    <w:rsid w:val="00A32BEB"/>
    <w:rsid w:val="00A330A4"/>
    <w:rsid w:val="00A33AE0"/>
    <w:rsid w:val="00A34EC2"/>
    <w:rsid w:val="00A36E5C"/>
    <w:rsid w:val="00A37EF1"/>
    <w:rsid w:val="00A37F39"/>
    <w:rsid w:val="00A40ADF"/>
    <w:rsid w:val="00A44001"/>
    <w:rsid w:val="00A4631F"/>
    <w:rsid w:val="00A504AF"/>
    <w:rsid w:val="00A50C87"/>
    <w:rsid w:val="00A5306A"/>
    <w:rsid w:val="00A5558F"/>
    <w:rsid w:val="00A555B4"/>
    <w:rsid w:val="00A558A5"/>
    <w:rsid w:val="00A56AD5"/>
    <w:rsid w:val="00A572DE"/>
    <w:rsid w:val="00A60BDA"/>
    <w:rsid w:val="00A619A4"/>
    <w:rsid w:val="00A61C24"/>
    <w:rsid w:val="00A62398"/>
    <w:rsid w:val="00A6240F"/>
    <w:rsid w:val="00A62E32"/>
    <w:rsid w:val="00A64779"/>
    <w:rsid w:val="00A65632"/>
    <w:rsid w:val="00A661F4"/>
    <w:rsid w:val="00A662B8"/>
    <w:rsid w:val="00A66B10"/>
    <w:rsid w:val="00A66FE4"/>
    <w:rsid w:val="00A67D3A"/>
    <w:rsid w:val="00A67DDD"/>
    <w:rsid w:val="00A67F7C"/>
    <w:rsid w:val="00A700E1"/>
    <w:rsid w:val="00A7129D"/>
    <w:rsid w:val="00A73AE3"/>
    <w:rsid w:val="00A7415E"/>
    <w:rsid w:val="00A7489A"/>
    <w:rsid w:val="00A7498A"/>
    <w:rsid w:val="00A76510"/>
    <w:rsid w:val="00A76C17"/>
    <w:rsid w:val="00A81DF6"/>
    <w:rsid w:val="00A8259F"/>
    <w:rsid w:val="00A82C69"/>
    <w:rsid w:val="00A8303D"/>
    <w:rsid w:val="00A8419D"/>
    <w:rsid w:val="00A902F6"/>
    <w:rsid w:val="00A940BD"/>
    <w:rsid w:val="00A94271"/>
    <w:rsid w:val="00A956F2"/>
    <w:rsid w:val="00A96778"/>
    <w:rsid w:val="00A97F5F"/>
    <w:rsid w:val="00AA0039"/>
    <w:rsid w:val="00AA1D66"/>
    <w:rsid w:val="00AA2422"/>
    <w:rsid w:val="00AA61BF"/>
    <w:rsid w:val="00AA788F"/>
    <w:rsid w:val="00AB3EA2"/>
    <w:rsid w:val="00AB594A"/>
    <w:rsid w:val="00AB60E2"/>
    <w:rsid w:val="00AC10B1"/>
    <w:rsid w:val="00AC10B3"/>
    <w:rsid w:val="00AC1815"/>
    <w:rsid w:val="00AC2661"/>
    <w:rsid w:val="00AC30C3"/>
    <w:rsid w:val="00AC4D3E"/>
    <w:rsid w:val="00AC5E60"/>
    <w:rsid w:val="00AC5ECA"/>
    <w:rsid w:val="00AC6801"/>
    <w:rsid w:val="00AD1AB2"/>
    <w:rsid w:val="00AD237C"/>
    <w:rsid w:val="00AD274D"/>
    <w:rsid w:val="00AD338F"/>
    <w:rsid w:val="00AD3846"/>
    <w:rsid w:val="00AD3973"/>
    <w:rsid w:val="00AD4822"/>
    <w:rsid w:val="00AD6147"/>
    <w:rsid w:val="00AD7BA3"/>
    <w:rsid w:val="00AE237D"/>
    <w:rsid w:val="00AE5278"/>
    <w:rsid w:val="00AE6081"/>
    <w:rsid w:val="00AE6CB3"/>
    <w:rsid w:val="00AE755A"/>
    <w:rsid w:val="00AE7DE8"/>
    <w:rsid w:val="00AF10F0"/>
    <w:rsid w:val="00AF16F4"/>
    <w:rsid w:val="00AF351B"/>
    <w:rsid w:val="00AF45FE"/>
    <w:rsid w:val="00AF4995"/>
    <w:rsid w:val="00AF6283"/>
    <w:rsid w:val="00AF70CB"/>
    <w:rsid w:val="00AF73D7"/>
    <w:rsid w:val="00AF77A2"/>
    <w:rsid w:val="00B01D4C"/>
    <w:rsid w:val="00B0391E"/>
    <w:rsid w:val="00B04B9A"/>
    <w:rsid w:val="00B10461"/>
    <w:rsid w:val="00B106FC"/>
    <w:rsid w:val="00B1196F"/>
    <w:rsid w:val="00B124C3"/>
    <w:rsid w:val="00B13D30"/>
    <w:rsid w:val="00B16F3D"/>
    <w:rsid w:val="00B17602"/>
    <w:rsid w:val="00B1798C"/>
    <w:rsid w:val="00B200A0"/>
    <w:rsid w:val="00B2427F"/>
    <w:rsid w:val="00B24821"/>
    <w:rsid w:val="00B249F1"/>
    <w:rsid w:val="00B25588"/>
    <w:rsid w:val="00B261DA"/>
    <w:rsid w:val="00B263FE"/>
    <w:rsid w:val="00B2679D"/>
    <w:rsid w:val="00B26FE5"/>
    <w:rsid w:val="00B275F2"/>
    <w:rsid w:val="00B30495"/>
    <w:rsid w:val="00B30866"/>
    <w:rsid w:val="00B31A3D"/>
    <w:rsid w:val="00B31DBA"/>
    <w:rsid w:val="00B3350A"/>
    <w:rsid w:val="00B33F7E"/>
    <w:rsid w:val="00B359AF"/>
    <w:rsid w:val="00B3698C"/>
    <w:rsid w:val="00B36DE8"/>
    <w:rsid w:val="00B36F2A"/>
    <w:rsid w:val="00B37A82"/>
    <w:rsid w:val="00B44A67"/>
    <w:rsid w:val="00B46582"/>
    <w:rsid w:val="00B50EFC"/>
    <w:rsid w:val="00B5355B"/>
    <w:rsid w:val="00B5666E"/>
    <w:rsid w:val="00B60F32"/>
    <w:rsid w:val="00B6121F"/>
    <w:rsid w:val="00B630BF"/>
    <w:rsid w:val="00B63BE7"/>
    <w:rsid w:val="00B652D7"/>
    <w:rsid w:val="00B65BFE"/>
    <w:rsid w:val="00B65F61"/>
    <w:rsid w:val="00B67508"/>
    <w:rsid w:val="00B7554A"/>
    <w:rsid w:val="00B75EA3"/>
    <w:rsid w:val="00B84CB1"/>
    <w:rsid w:val="00B8602C"/>
    <w:rsid w:val="00B867C8"/>
    <w:rsid w:val="00B868AC"/>
    <w:rsid w:val="00B9166D"/>
    <w:rsid w:val="00B92045"/>
    <w:rsid w:val="00B92BD5"/>
    <w:rsid w:val="00B970C1"/>
    <w:rsid w:val="00B972B1"/>
    <w:rsid w:val="00BA075C"/>
    <w:rsid w:val="00BA0EAB"/>
    <w:rsid w:val="00BA149E"/>
    <w:rsid w:val="00BA158F"/>
    <w:rsid w:val="00BA22BC"/>
    <w:rsid w:val="00BA235F"/>
    <w:rsid w:val="00BA5FF1"/>
    <w:rsid w:val="00BA69CA"/>
    <w:rsid w:val="00BA6B9B"/>
    <w:rsid w:val="00BB24F4"/>
    <w:rsid w:val="00BB3FF4"/>
    <w:rsid w:val="00BB4226"/>
    <w:rsid w:val="00BB5EEA"/>
    <w:rsid w:val="00BC06FA"/>
    <w:rsid w:val="00BC2AC4"/>
    <w:rsid w:val="00BC5DAF"/>
    <w:rsid w:val="00BC77A4"/>
    <w:rsid w:val="00BD2CFE"/>
    <w:rsid w:val="00BD4027"/>
    <w:rsid w:val="00BD468C"/>
    <w:rsid w:val="00BD53F1"/>
    <w:rsid w:val="00BD611A"/>
    <w:rsid w:val="00BE03CB"/>
    <w:rsid w:val="00BE11BA"/>
    <w:rsid w:val="00BE1916"/>
    <w:rsid w:val="00BE20E0"/>
    <w:rsid w:val="00BE7E8E"/>
    <w:rsid w:val="00BF1800"/>
    <w:rsid w:val="00BF233F"/>
    <w:rsid w:val="00BF2541"/>
    <w:rsid w:val="00BF27BA"/>
    <w:rsid w:val="00BF2A88"/>
    <w:rsid w:val="00BF538C"/>
    <w:rsid w:val="00BF70B0"/>
    <w:rsid w:val="00C00737"/>
    <w:rsid w:val="00C00B58"/>
    <w:rsid w:val="00C02441"/>
    <w:rsid w:val="00C025A7"/>
    <w:rsid w:val="00C029DA"/>
    <w:rsid w:val="00C033C3"/>
    <w:rsid w:val="00C039BA"/>
    <w:rsid w:val="00C05451"/>
    <w:rsid w:val="00C05CEC"/>
    <w:rsid w:val="00C1013E"/>
    <w:rsid w:val="00C11CDA"/>
    <w:rsid w:val="00C13080"/>
    <w:rsid w:val="00C141AD"/>
    <w:rsid w:val="00C14875"/>
    <w:rsid w:val="00C151EF"/>
    <w:rsid w:val="00C158E7"/>
    <w:rsid w:val="00C2085E"/>
    <w:rsid w:val="00C21706"/>
    <w:rsid w:val="00C2278C"/>
    <w:rsid w:val="00C2469A"/>
    <w:rsid w:val="00C2582F"/>
    <w:rsid w:val="00C2678C"/>
    <w:rsid w:val="00C27825"/>
    <w:rsid w:val="00C30EA8"/>
    <w:rsid w:val="00C319CB"/>
    <w:rsid w:val="00C31C7F"/>
    <w:rsid w:val="00C34994"/>
    <w:rsid w:val="00C35B9B"/>
    <w:rsid w:val="00C364D3"/>
    <w:rsid w:val="00C37B61"/>
    <w:rsid w:val="00C41681"/>
    <w:rsid w:val="00C41E71"/>
    <w:rsid w:val="00C45832"/>
    <w:rsid w:val="00C47881"/>
    <w:rsid w:val="00C51CAD"/>
    <w:rsid w:val="00C5461C"/>
    <w:rsid w:val="00C57710"/>
    <w:rsid w:val="00C6219A"/>
    <w:rsid w:val="00C6226E"/>
    <w:rsid w:val="00C632A8"/>
    <w:rsid w:val="00C645F5"/>
    <w:rsid w:val="00C72930"/>
    <w:rsid w:val="00C73948"/>
    <w:rsid w:val="00C766E8"/>
    <w:rsid w:val="00C76CE2"/>
    <w:rsid w:val="00C808B4"/>
    <w:rsid w:val="00C84413"/>
    <w:rsid w:val="00C84B95"/>
    <w:rsid w:val="00C85B7F"/>
    <w:rsid w:val="00C867B7"/>
    <w:rsid w:val="00C878C5"/>
    <w:rsid w:val="00C91473"/>
    <w:rsid w:val="00C91AC5"/>
    <w:rsid w:val="00C91C49"/>
    <w:rsid w:val="00C91FD3"/>
    <w:rsid w:val="00C93B74"/>
    <w:rsid w:val="00C967DB"/>
    <w:rsid w:val="00C969B3"/>
    <w:rsid w:val="00C96C98"/>
    <w:rsid w:val="00C976EC"/>
    <w:rsid w:val="00CA007F"/>
    <w:rsid w:val="00CA0681"/>
    <w:rsid w:val="00CA143A"/>
    <w:rsid w:val="00CA197C"/>
    <w:rsid w:val="00CA1F14"/>
    <w:rsid w:val="00CA2019"/>
    <w:rsid w:val="00CA3A5C"/>
    <w:rsid w:val="00CA4998"/>
    <w:rsid w:val="00CA64BE"/>
    <w:rsid w:val="00CA7037"/>
    <w:rsid w:val="00CA7966"/>
    <w:rsid w:val="00CB0488"/>
    <w:rsid w:val="00CB04B2"/>
    <w:rsid w:val="00CB0D02"/>
    <w:rsid w:val="00CB0ED8"/>
    <w:rsid w:val="00CB1105"/>
    <w:rsid w:val="00CB37A5"/>
    <w:rsid w:val="00CB55BC"/>
    <w:rsid w:val="00CB5716"/>
    <w:rsid w:val="00CB61A8"/>
    <w:rsid w:val="00CB69D8"/>
    <w:rsid w:val="00CB7AB7"/>
    <w:rsid w:val="00CC1EC2"/>
    <w:rsid w:val="00CC3493"/>
    <w:rsid w:val="00CC3D78"/>
    <w:rsid w:val="00CC4977"/>
    <w:rsid w:val="00CC4AD4"/>
    <w:rsid w:val="00CD0705"/>
    <w:rsid w:val="00CD0BEB"/>
    <w:rsid w:val="00CD1921"/>
    <w:rsid w:val="00CD41E1"/>
    <w:rsid w:val="00CE2A01"/>
    <w:rsid w:val="00CE33B7"/>
    <w:rsid w:val="00CE428B"/>
    <w:rsid w:val="00CF0820"/>
    <w:rsid w:val="00CF1F9F"/>
    <w:rsid w:val="00CF2641"/>
    <w:rsid w:val="00CF374E"/>
    <w:rsid w:val="00CF39F3"/>
    <w:rsid w:val="00CF3E5F"/>
    <w:rsid w:val="00CF6A02"/>
    <w:rsid w:val="00D02D84"/>
    <w:rsid w:val="00D066A8"/>
    <w:rsid w:val="00D1129E"/>
    <w:rsid w:val="00D11C64"/>
    <w:rsid w:val="00D133AD"/>
    <w:rsid w:val="00D147D2"/>
    <w:rsid w:val="00D1482C"/>
    <w:rsid w:val="00D14FA9"/>
    <w:rsid w:val="00D1586F"/>
    <w:rsid w:val="00D1687C"/>
    <w:rsid w:val="00D201A9"/>
    <w:rsid w:val="00D24767"/>
    <w:rsid w:val="00D25A9F"/>
    <w:rsid w:val="00D26569"/>
    <w:rsid w:val="00D26F60"/>
    <w:rsid w:val="00D35E91"/>
    <w:rsid w:val="00D366EB"/>
    <w:rsid w:val="00D369A8"/>
    <w:rsid w:val="00D37FBF"/>
    <w:rsid w:val="00D4070C"/>
    <w:rsid w:val="00D4194E"/>
    <w:rsid w:val="00D42996"/>
    <w:rsid w:val="00D54F96"/>
    <w:rsid w:val="00D55099"/>
    <w:rsid w:val="00D55552"/>
    <w:rsid w:val="00D56397"/>
    <w:rsid w:val="00D57FED"/>
    <w:rsid w:val="00D61D9F"/>
    <w:rsid w:val="00D65AFA"/>
    <w:rsid w:val="00D66BAD"/>
    <w:rsid w:val="00D70CF5"/>
    <w:rsid w:val="00D7150C"/>
    <w:rsid w:val="00D732FE"/>
    <w:rsid w:val="00D737AF"/>
    <w:rsid w:val="00D75B0B"/>
    <w:rsid w:val="00D7611E"/>
    <w:rsid w:val="00D76340"/>
    <w:rsid w:val="00D764C9"/>
    <w:rsid w:val="00D805F8"/>
    <w:rsid w:val="00D806F8"/>
    <w:rsid w:val="00D8109A"/>
    <w:rsid w:val="00D8388D"/>
    <w:rsid w:val="00D841A3"/>
    <w:rsid w:val="00D85484"/>
    <w:rsid w:val="00D87908"/>
    <w:rsid w:val="00D91B1C"/>
    <w:rsid w:val="00D9329D"/>
    <w:rsid w:val="00D943FC"/>
    <w:rsid w:val="00D97089"/>
    <w:rsid w:val="00D978F7"/>
    <w:rsid w:val="00D97B5D"/>
    <w:rsid w:val="00D97EDB"/>
    <w:rsid w:val="00DA1438"/>
    <w:rsid w:val="00DA1C95"/>
    <w:rsid w:val="00DA3050"/>
    <w:rsid w:val="00DA4CE3"/>
    <w:rsid w:val="00DA519C"/>
    <w:rsid w:val="00DA5206"/>
    <w:rsid w:val="00DA6B48"/>
    <w:rsid w:val="00DB0CE7"/>
    <w:rsid w:val="00DB0D0C"/>
    <w:rsid w:val="00DB443C"/>
    <w:rsid w:val="00DB5897"/>
    <w:rsid w:val="00DB7605"/>
    <w:rsid w:val="00DC3C86"/>
    <w:rsid w:val="00DC7DBE"/>
    <w:rsid w:val="00DD1811"/>
    <w:rsid w:val="00DD24A1"/>
    <w:rsid w:val="00DD399C"/>
    <w:rsid w:val="00DD463E"/>
    <w:rsid w:val="00DD4A01"/>
    <w:rsid w:val="00DD5C59"/>
    <w:rsid w:val="00DD5DFD"/>
    <w:rsid w:val="00DD6883"/>
    <w:rsid w:val="00DE1C4D"/>
    <w:rsid w:val="00DE1E49"/>
    <w:rsid w:val="00DE2DC2"/>
    <w:rsid w:val="00DE4F87"/>
    <w:rsid w:val="00DE5773"/>
    <w:rsid w:val="00DE5A05"/>
    <w:rsid w:val="00DE6087"/>
    <w:rsid w:val="00DE7F13"/>
    <w:rsid w:val="00DE7FA4"/>
    <w:rsid w:val="00DF3755"/>
    <w:rsid w:val="00E01A87"/>
    <w:rsid w:val="00E02E2D"/>
    <w:rsid w:val="00E038DC"/>
    <w:rsid w:val="00E03E69"/>
    <w:rsid w:val="00E06CCA"/>
    <w:rsid w:val="00E10316"/>
    <w:rsid w:val="00E1124F"/>
    <w:rsid w:val="00E1175C"/>
    <w:rsid w:val="00E1186F"/>
    <w:rsid w:val="00E11EB2"/>
    <w:rsid w:val="00E137A8"/>
    <w:rsid w:val="00E16FEA"/>
    <w:rsid w:val="00E209F6"/>
    <w:rsid w:val="00E223D0"/>
    <w:rsid w:val="00E226F9"/>
    <w:rsid w:val="00E23355"/>
    <w:rsid w:val="00E24E57"/>
    <w:rsid w:val="00E26905"/>
    <w:rsid w:val="00E26C6A"/>
    <w:rsid w:val="00E322C3"/>
    <w:rsid w:val="00E328BC"/>
    <w:rsid w:val="00E33207"/>
    <w:rsid w:val="00E34A5E"/>
    <w:rsid w:val="00E35B21"/>
    <w:rsid w:val="00E35B5E"/>
    <w:rsid w:val="00E36DE4"/>
    <w:rsid w:val="00E37698"/>
    <w:rsid w:val="00E415B3"/>
    <w:rsid w:val="00E42411"/>
    <w:rsid w:val="00E42A9D"/>
    <w:rsid w:val="00E42B6A"/>
    <w:rsid w:val="00E43684"/>
    <w:rsid w:val="00E4459F"/>
    <w:rsid w:val="00E46B89"/>
    <w:rsid w:val="00E51B18"/>
    <w:rsid w:val="00E51BB7"/>
    <w:rsid w:val="00E5493F"/>
    <w:rsid w:val="00E558A8"/>
    <w:rsid w:val="00E56C1A"/>
    <w:rsid w:val="00E577FC"/>
    <w:rsid w:val="00E57FBE"/>
    <w:rsid w:val="00E61916"/>
    <w:rsid w:val="00E65BBB"/>
    <w:rsid w:val="00E6629A"/>
    <w:rsid w:val="00E70A83"/>
    <w:rsid w:val="00E70DA4"/>
    <w:rsid w:val="00E7203C"/>
    <w:rsid w:val="00E73011"/>
    <w:rsid w:val="00E7356D"/>
    <w:rsid w:val="00E73854"/>
    <w:rsid w:val="00E74FA1"/>
    <w:rsid w:val="00E752DF"/>
    <w:rsid w:val="00E84794"/>
    <w:rsid w:val="00E86305"/>
    <w:rsid w:val="00E86B1D"/>
    <w:rsid w:val="00E9194F"/>
    <w:rsid w:val="00E94273"/>
    <w:rsid w:val="00E94598"/>
    <w:rsid w:val="00E9647C"/>
    <w:rsid w:val="00E974B9"/>
    <w:rsid w:val="00EA0A5A"/>
    <w:rsid w:val="00EA26C3"/>
    <w:rsid w:val="00EA4239"/>
    <w:rsid w:val="00EA4F6D"/>
    <w:rsid w:val="00EA7725"/>
    <w:rsid w:val="00EB069F"/>
    <w:rsid w:val="00EB06BC"/>
    <w:rsid w:val="00EB0F26"/>
    <w:rsid w:val="00EB1013"/>
    <w:rsid w:val="00EB4973"/>
    <w:rsid w:val="00EB6D4E"/>
    <w:rsid w:val="00EB7055"/>
    <w:rsid w:val="00EC073D"/>
    <w:rsid w:val="00EC07FE"/>
    <w:rsid w:val="00EC1EE5"/>
    <w:rsid w:val="00EC21A8"/>
    <w:rsid w:val="00EC7395"/>
    <w:rsid w:val="00EC7E3F"/>
    <w:rsid w:val="00ED329F"/>
    <w:rsid w:val="00ED3C36"/>
    <w:rsid w:val="00ED4480"/>
    <w:rsid w:val="00ED5B0C"/>
    <w:rsid w:val="00ED7947"/>
    <w:rsid w:val="00EE027E"/>
    <w:rsid w:val="00EE1235"/>
    <w:rsid w:val="00EE5D30"/>
    <w:rsid w:val="00EE679A"/>
    <w:rsid w:val="00EF0FD6"/>
    <w:rsid w:val="00EF268B"/>
    <w:rsid w:val="00EF2ED6"/>
    <w:rsid w:val="00EF394F"/>
    <w:rsid w:val="00EF396D"/>
    <w:rsid w:val="00EF48E0"/>
    <w:rsid w:val="00EF75A9"/>
    <w:rsid w:val="00F007D7"/>
    <w:rsid w:val="00F015F9"/>
    <w:rsid w:val="00F02CF8"/>
    <w:rsid w:val="00F02DD9"/>
    <w:rsid w:val="00F03E48"/>
    <w:rsid w:val="00F047CB"/>
    <w:rsid w:val="00F062BC"/>
    <w:rsid w:val="00F11467"/>
    <w:rsid w:val="00F12A15"/>
    <w:rsid w:val="00F15B81"/>
    <w:rsid w:val="00F2002D"/>
    <w:rsid w:val="00F22A40"/>
    <w:rsid w:val="00F246AA"/>
    <w:rsid w:val="00F2523C"/>
    <w:rsid w:val="00F25B64"/>
    <w:rsid w:val="00F26358"/>
    <w:rsid w:val="00F335DA"/>
    <w:rsid w:val="00F3377F"/>
    <w:rsid w:val="00F33EB1"/>
    <w:rsid w:val="00F34AEF"/>
    <w:rsid w:val="00F35A86"/>
    <w:rsid w:val="00F35FFC"/>
    <w:rsid w:val="00F36D18"/>
    <w:rsid w:val="00F37685"/>
    <w:rsid w:val="00F409B5"/>
    <w:rsid w:val="00F43663"/>
    <w:rsid w:val="00F439C1"/>
    <w:rsid w:val="00F43B8B"/>
    <w:rsid w:val="00F52849"/>
    <w:rsid w:val="00F54329"/>
    <w:rsid w:val="00F54CF4"/>
    <w:rsid w:val="00F5678F"/>
    <w:rsid w:val="00F57E76"/>
    <w:rsid w:val="00F610CB"/>
    <w:rsid w:val="00F612D5"/>
    <w:rsid w:val="00F61807"/>
    <w:rsid w:val="00F621DD"/>
    <w:rsid w:val="00F63C07"/>
    <w:rsid w:val="00F662A8"/>
    <w:rsid w:val="00F66BE9"/>
    <w:rsid w:val="00F67B57"/>
    <w:rsid w:val="00F708D4"/>
    <w:rsid w:val="00F718D7"/>
    <w:rsid w:val="00F727F0"/>
    <w:rsid w:val="00F72D73"/>
    <w:rsid w:val="00F737F8"/>
    <w:rsid w:val="00F739C1"/>
    <w:rsid w:val="00F7520E"/>
    <w:rsid w:val="00F75962"/>
    <w:rsid w:val="00F76C1C"/>
    <w:rsid w:val="00F76FFF"/>
    <w:rsid w:val="00F7703B"/>
    <w:rsid w:val="00F7714A"/>
    <w:rsid w:val="00F77809"/>
    <w:rsid w:val="00F77B03"/>
    <w:rsid w:val="00F816D5"/>
    <w:rsid w:val="00F833BF"/>
    <w:rsid w:val="00F8543E"/>
    <w:rsid w:val="00F857F1"/>
    <w:rsid w:val="00F90A7E"/>
    <w:rsid w:val="00F90EF2"/>
    <w:rsid w:val="00F91A30"/>
    <w:rsid w:val="00F91D41"/>
    <w:rsid w:val="00F93576"/>
    <w:rsid w:val="00F96CB0"/>
    <w:rsid w:val="00F9703C"/>
    <w:rsid w:val="00F9720A"/>
    <w:rsid w:val="00FA0D03"/>
    <w:rsid w:val="00FA0DA0"/>
    <w:rsid w:val="00FA17DB"/>
    <w:rsid w:val="00FA3077"/>
    <w:rsid w:val="00FA41DC"/>
    <w:rsid w:val="00FA6A4F"/>
    <w:rsid w:val="00FB140D"/>
    <w:rsid w:val="00FB23D9"/>
    <w:rsid w:val="00FB3089"/>
    <w:rsid w:val="00FB3593"/>
    <w:rsid w:val="00FB3ECC"/>
    <w:rsid w:val="00FB58A7"/>
    <w:rsid w:val="00FB7392"/>
    <w:rsid w:val="00FB75C1"/>
    <w:rsid w:val="00FC05E0"/>
    <w:rsid w:val="00FC096D"/>
    <w:rsid w:val="00FC09B5"/>
    <w:rsid w:val="00FC1E24"/>
    <w:rsid w:val="00FC208F"/>
    <w:rsid w:val="00FC299D"/>
    <w:rsid w:val="00FC4F81"/>
    <w:rsid w:val="00FC5497"/>
    <w:rsid w:val="00FC5CD5"/>
    <w:rsid w:val="00FC628E"/>
    <w:rsid w:val="00FC7FAC"/>
    <w:rsid w:val="00FD1A17"/>
    <w:rsid w:val="00FD1D15"/>
    <w:rsid w:val="00FD2398"/>
    <w:rsid w:val="00FD2B3B"/>
    <w:rsid w:val="00FD2ED5"/>
    <w:rsid w:val="00FD30BE"/>
    <w:rsid w:val="00FD3658"/>
    <w:rsid w:val="00FD3BAB"/>
    <w:rsid w:val="00FD5375"/>
    <w:rsid w:val="00FD68EA"/>
    <w:rsid w:val="00FD69DE"/>
    <w:rsid w:val="00FD74F1"/>
    <w:rsid w:val="00FE1BBE"/>
    <w:rsid w:val="00FE1CC9"/>
    <w:rsid w:val="00FE43F4"/>
    <w:rsid w:val="00FE5469"/>
    <w:rsid w:val="00FE6097"/>
    <w:rsid w:val="00FE6545"/>
    <w:rsid w:val="00FE6BCA"/>
    <w:rsid w:val="00FE715F"/>
    <w:rsid w:val="00FF1551"/>
    <w:rsid w:val="00FF24C0"/>
    <w:rsid w:val="00FF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A2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D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DA4"/>
  </w:style>
  <w:style w:type="paragraph" w:styleId="Footer">
    <w:name w:val="footer"/>
    <w:basedOn w:val="Normal"/>
    <w:link w:val="FooterChar"/>
    <w:uiPriority w:val="99"/>
    <w:unhideWhenUsed/>
    <w:rsid w:val="00E70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DA4"/>
  </w:style>
  <w:style w:type="table" w:styleId="TableGrid">
    <w:name w:val="Table Grid"/>
    <w:basedOn w:val="TableNormal"/>
    <w:uiPriority w:val="59"/>
    <w:rsid w:val="003F7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F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B28A2"/>
  </w:style>
  <w:style w:type="paragraph" w:customStyle="1" w:styleId="Paragraph">
    <w:name w:val="Paragraph"/>
    <w:link w:val="ParagraphChar"/>
    <w:rsid w:val="005B28A2"/>
    <w:pPr>
      <w:spacing w:before="60" w:after="240" w:line="240" w:lineRule="auto"/>
    </w:pPr>
    <w:rPr>
      <w:rFonts w:ascii="Times New Roman" w:eastAsia="MS Gothic" w:hAnsi="Times New Roman" w:cs="Times New Roman"/>
      <w:sz w:val="24"/>
      <w:szCs w:val="24"/>
    </w:rPr>
  </w:style>
  <w:style w:type="character" w:customStyle="1" w:styleId="ParagraphChar">
    <w:name w:val="Paragraph Char"/>
    <w:link w:val="Paragraph"/>
    <w:rsid w:val="005B28A2"/>
    <w:rPr>
      <w:rFonts w:ascii="Times New Roman" w:eastAsia="MS Gothic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28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8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8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8A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B28A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847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D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DA4"/>
  </w:style>
  <w:style w:type="paragraph" w:styleId="Footer">
    <w:name w:val="footer"/>
    <w:basedOn w:val="Normal"/>
    <w:link w:val="FooterChar"/>
    <w:uiPriority w:val="99"/>
    <w:unhideWhenUsed/>
    <w:rsid w:val="00E70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DA4"/>
  </w:style>
  <w:style w:type="table" w:styleId="TableGrid">
    <w:name w:val="Table Grid"/>
    <w:basedOn w:val="TableNormal"/>
    <w:uiPriority w:val="59"/>
    <w:rsid w:val="003F7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F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B28A2"/>
  </w:style>
  <w:style w:type="paragraph" w:customStyle="1" w:styleId="Paragraph">
    <w:name w:val="Paragraph"/>
    <w:link w:val="ParagraphChar"/>
    <w:rsid w:val="005B28A2"/>
    <w:pPr>
      <w:spacing w:before="60" w:after="240" w:line="240" w:lineRule="auto"/>
    </w:pPr>
    <w:rPr>
      <w:rFonts w:ascii="Times New Roman" w:eastAsia="MS Gothic" w:hAnsi="Times New Roman" w:cs="Times New Roman"/>
      <w:sz w:val="24"/>
      <w:szCs w:val="24"/>
    </w:rPr>
  </w:style>
  <w:style w:type="character" w:customStyle="1" w:styleId="ParagraphChar">
    <w:name w:val="Paragraph Char"/>
    <w:link w:val="Paragraph"/>
    <w:rsid w:val="005B28A2"/>
    <w:rPr>
      <w:rFonts w:ascii="Times New Roman" w:eastAsia="MS Gothic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28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8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8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8A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B28A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84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3.ti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tif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ti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10f9ac0-5937-4b4f-b459-96aedd9ed2c5">
  <element uid="9920fcc9-9f43-4d43-9e3e-b98a219cfd55" value=""/>
</sisl>
</file>

<file path=customXml/itemProps1.xml><?xml version="1.0" encoding="utf-8"?>
<ds:datastoreItem xmlns:ds="http://schemas.openxmlformats.org/officeDocument/2006/customXml" ds:itemID="{706E5C10-26E3-45D3-89F1-5C41E4AD67F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1973</Words>
  <Characters>11248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2018-04-12T14:19:00Z</dcterms:created>
  <dcterms:modified xsi:type="dcterms:W3CDTF">2018-04-12T14:19:00Z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bf872c2e-5cc9-4fdc-9301-e83325018065</vt:lpwstr>
  </property>
  <property fmtid="{D5CDD505-2E9C-101B-9397-08002B2CF9AE}" pid="3" name="bjSaver">
    <vt:lpwstr>mGzTWz8uThQlpn36COqYrc7+RXrmcH7e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policy="a10f9ac0-5937-4b4f-b459-96aedd9ed2c5" xmlns="http://www.boldonjames.com/2008/01/sie/i</vt:lpwstr>
  </property>
  <property fmtid="{D5CDD505-2E9C-101B-9397-08002B2CF9AE}" pid="5" name="bjDocumentLabelXML-0">
    <vt:lpwstr>nternal/label"&gt;&lt;element uid="9920fcc9-9f43-4d43-9e3e-b98a219cfd55" value="" /&gt;&lt;/sisl&gt;</vt:lpwstr>
  </property>
  <property fmtid="{D5CDD505-2E9C-101B-9397-08002B2CF9AE}" pid="6" name="bjDocumentSecurityLabel">
    <vt:lpwstr>Not Classified</vt:lpwstr>
  </property>
</Properties>
</file>