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3CE3E" w14:textId="77777777" w:rsidR="00D17369" w:rsidRDefault="00D17369" w:rsidP="00040F85">
      <w:pPr>
        <w:spacing w:line="480" w:lineRule="auto"/>
        <w:rPr>
          <w:rFonts w:asciiTheme="majorHAnsi" w:hAnsiTheme="majorHAnsi"/>
          <w:b/>
        </w:rPr>
      </w:pPr>
      <w:r>
        <w:rPr>
          <w:rFonts w:asciiTheme="majorHAnsi" w:hAnsiTheme="majorHAnsi"/>
          <w:b/>
        </w:rPr>
        <w:t>CCR-18-0945R1</w:t>
      </w:r>
    </w:p>
    <w:p w14:paraId="6E9BDB90" w14:textId="77777777" w:rsidR="00040F85" w:rsidRPr="00D17369" w:rsidRDefault="00040F85" w:rsidP="00040F85">
      <w:pPr>
        <w:spacing w:line="480" w:lineRule="auto"/>
        <w:rPr>
          <w:rFonts w:asciiTheme="majorHAnsi" w:hAnsiTheme="majorHAnsi"/>
          <w:b/>
        </w:rPr>
      </w:pPr>
      <w:r w:rsidRPr="00D17369">
        <w:rPr>
          <w:rFonts w:asciiTheme="majorHAnsi" w:hAnsiTheme="majorHAnsi"/>
          <w:b/>
        </w:rPr>
        <w:t>SUPPLEMENTAL FIGURE LEGENDS</w:t>
      </w:r>
    </w:p>
    <w:p w14:paraId="3D3B014D" w14:textId="77777777" w:rsidR="009E00C4" w:rsidRDefault="009E00C4" w:rsidP="00040F85">
      <w:pPr>
        <w:spacing w:line="480" w:lineRule="auto"/>
        <w:rPr>
          <w:rFonts w:asciiTheme="majorHAnsi" w:hAnsiTheme="majorHAnsi"/>
          <w:b/>
        </w:rPr>
      </w:pPr>
    </w:p>
    <w:p w14:paraId="6C43289C" w14:textId="4B140079" w:rsidR="00040F85" w:rsidRPr="00D17369" w:rsidRDefault="00040F85" w:rsidP="00040F85">
      <w:pPr>
        <w:spacing w:line="480" w:lineRule="auto"/>
        <w:rPr>
          <w:rFonts w:asciiTheme="majorHAnsi" w:hAnsiTheme="majorHAnsi"/>
          <w:b/>
        </w:rPr>
      </w:pPr>
      <w:proofErr w:type="gramStart"/>
      <w:r w:rsidRPr="00D17369">
        <w:rPr>
          <w:rFonts w:asciiTheme="majorHAnsi" w:hAnsiTheme="majorHAnsi"/>
          <w:b/>
        </w:rPr>
        <w:t>Supplemental Figure 1.</w:t>
      </w:r>
      <w:proofErr w:type="gramEnd"/>
      <w:r w:rsidRPr="00D17369">
        <w:rPr>
          <w:rFonts w:asciiTheme="majorHAnsi" w:hAnsiTheme="majorHAnsi"/>
          <w:b/>
        </w:rPr>
        <w:t xml:space="preserve"> </w:t>
      </w:r>
      <w:proofErr w:type="gramStart"/>
      <w:r w:rsidRPr="00D17369">
        <w:rPr>
          <w:rFonts w:asciiTheme="majorHAnsi" w:hAnsiTheme="majorHAnsi"/>
          <w:b/>
        </w:rPr>
        <w:t xml:space="preserve">Effect of ALT-803 treatment on white blood </w:t>
      </w:r>
      <w:r w:rsidR="00441EFA">
        <w:rPr>
          <w:rFonts w:asciiTheme="majorHAnsi" w:hAnsiTheme="majorHAnsi"/>
          <w:b/>
        </w:rPr>
        <w:t xml:space="preserve">cell and lymphocyte counts in </w:t>
      </w:r>
      <w:proofErr w:type="spellStart"/>
      <w:r w:rsidR="00441EFA">
        <w:rPr>
          <w:rFonts w:asciiTheme="majorHAnsi" w:hAnsiTheme="majorHAnsi"/>
          <w:b/>
        </w:rPr>
        <w:t>i.v.</w:t>
      </w:r>
      <w:proofErr w:type="spellEnd"/>
      <w:proofErr w:type="gramEnd"/>
      <w:r w:rsidRPr="00D17369">
        <w:rPr>
          <w:rFonts w:asciiTheme="majorHAnsi" w:hAnsiTheme="majorHAnsi"/>
          <w:b/>
        </w:rPr>
        <w:t xml:space="preserve"> </w:t>
      </w:r>
      <w:proofErr w:type="gramStart"/>
      <w:r w:rsidRPr="00D17369">
        <w:rPr>
          <w:rFonts w:asciiTheme="majorHAnsi" w:hAnsiTheme="majorHAnsi"/>
          <w:b/>
        </w:rPr>
        <w:t>dose</w:t>
      </w:r>
      <w:proofErr w:type="gramEnd"/>
      <w:r w:rsidRPr="00D17369">
        <w:rPr>
          <w:rFonts w:asciiTheme="majorHAnsi" w:hAnsiTheme="majorHAnsi"/>
          <w:b/>
        </w:rPr>
        <w:t xml:space="preserve"> cohorts</w:t>
      </w:r>
    </w:p>
    <w:p w14:paraId="6779C7E7" w14:textId="77777777" w:rsidR="00040F85" w:rsidRPr="00D17369" w:rsidRDefault="00040F85" w:rsidP="00040F85">
      <w:pPr>
        <w:spacing w:line="480" w:lineRule="auto"/>
        <w:rPr>
          <w:rFonts w:asciiTheme="majorHAnsi" w:hAnsiTheme="majorHAnsi"/>
        </w:rPr>
      </w:pPr>
      <w:r w:rsidRPr="00D17369">
        <w:rPr>
          <w:rFonts w:asciiTheme="majorHAnsi" w:hAnsiTheme="majorHAnsi"/>
        </w:rPr>
        <w:t>Circulating white blood cell (WBC x 1000 cells/</w:t>
      </w:r>
      <w:r w:rsidRPr="00D17369">
        <w:rPr>
          <w:rFonts w:asciiTheme="majorHAnsi" w:hAnsiTheme="majorHAnsi"/>
        </w:rPr>
        <w:sym w:font="Symbol" w:char="F06D"/>
      </w:r>
      <w:r w:rsidRPr="00D17369">
        <w:rPr>
          <w:rFonts w:asciiTheme="majorHAnsi" w:hAnsiTheme="majorHAnsi"/>
        </w:rPr>
        <w:t>L, A) and absolute lymphocyte counts (ALC, cells/</w:t>
      </w:r>
      <w:r w:rsidRPr="00D17369">
        <w:rPr>
          <w:rFonts w:asciiTheme="majorHAnsi" w:hAnsiTheme="majorHAnsi"/>
        </w:rPr>
        <w:sym w:font="Symbol" w:char="F06D"/>
      </w:r>
      <w:r w:rsidRPr="00D17369">
        <w:rPr>
          <w:rFonts w:asciiTheme="majorHAnsi" w:hAnsiTheme="majorHAnsi"/>
        </w:rPr>
        <w:t xml:space="preserve">L, B), before and during </w:t>
      </w:r>
      <w:proofErr w:type="spellStart"/>
      <w:r w:rsidRPr="00D17369">
        <w:rPr>
          <w:rFonts w:asciiTheme="majorHAnsi" w:hAnsiTheme="majorHAnsi"/>
        </w:rPr>
        <w:t>i.v.</w:t>
      </w:r>
      <w:proofErr w:type="spellEnd"/>
      <w:r w:rsidRPr="00D17369">
        <w:rPr>
          <w:rFonts w:asciiTheme="majorHAnsi" w:hAnsiTheme="majorHAnsi"/>
        </w:rPr>
        <w:t xml:space="preserve"> ALT-803 treatment administered on Days 1, 8, 15 and 22 </w:t>
      </w:r>
      <w:r w:rsidRPr="00FF499D">
        <w:rPr>
          <w:rFonts w:asciiTheme="majorHAnsi" w:hAnsiTheme="majorHAnsi"/>
        </w:rPr>
        <w:t>of each 6-week</w:t>
      </w:r>
      <w:bookmarkStart w:id="0" w:name="_GoBack"/>
      <w:bookmarkEnd w:id="0"/>
      <w:r w:rsidRPr="00D17369">
        <w:rPr>
          <w:rFonts w:asciiTheme="majorHAnsi" w:hAnsiTheme="majorHAnsi"/>
        </w:rPr>
        <w:t xml:space="preserve"> cycle.  The mean WBC or ALC values from subjects enrolled in each dose cohort [0.3 &amp; 0.5 </w:t>
      </w:r>
      <w:r w:rsidRPr="00D17369">
        <w:rPr>
          <w:rFonts w:asciiTheme="majorHAnsi" w:hAnsiTheme="majorHAnsi"/>
        </w:rPr>
        <w:sym w:font="Symbol" w:char="F06D"/>
      </w:r>
      <w:r w:rsidRPr="00D17369">
        <w:rPr>
          <w:rFonts w:asciiTheme="majorHAnsi" w:hAnsiTheme="majorHAnsi"/>
        </w:rPr>
        <w:t xml:space="preserve">g/kg (gray, 1 each), 1 </w:t>
      </w:r>
      <w:r w:rsidRPr="00D17369">
        <w:rPr>
          <w:rFonts w:asciiTheme="majorHAnsi" w:hAnsiTheme="majorHAnsi"/>
        </w:rPr>
        <w:sym w:font="Symbol" w:char="F06D"/>
      </w:r>
      <w:r w:rsidRPr="00D17369">
        <w:rPr>
          <w:rFonts w:asciiTheme="majorHAnsi" w:hAnsiTheme="majorHAnsi"/>
        </w:rPr>
        <w:t xml:space="preserve">g/kg (brown, N=3), 3 </w:t>
      </w:r>
      <w:r w:rsidRPr="00D17369">
        <w:rPr>
          <w:rFonts w:asciiTheme="majorHAnsi" w:hAnsiTheme="majorHAnsi"/>
        </w:rPr>
        <w:sym w:font="Symbol" w:char="F06D"/>
      </w:r>
      <w:r w:rsidRPr="00D17369">
        <w:rPr>
          <w:rFonts w:asciiTheme="majorHAnsi" w:hAnsiTheme="majorHAnsi"/>
        </w:rPr>
        <w:t xml:space="preserve">g/kg (lavender, N=3), and 6 </w:t>
      </w:r>
      <w:r w:rsidRPr="00D17369">
        <w:rPr>
          <w:rFonts w:asciiTheme="majorHAnsi" w:hAnsiTheme="majorHAnsi"/>
        </w:rPr>
        <w:sym w:font="Symbol" w:char="F06D"/>
      </w:r>
      <w:r w:rsidRPr="00D17369">
        <w:rPr>
          <w:rFonts w:asciiTheme="majorHAnsi" w:hAnsiTheme="majorHAnsi"/>
        </w:rPr>
        <w:t xml:space="preserve">g/kg/dose (orange, N=3)] are shown in the left-hand panels. The mean maximal fold increases for each dose cohort are shown in the right-hand panels, where columns represent the mean of the maximal fold increase for each subject during treatment compared to baseline (Day 1). The results shown were limited to data through Cycle 2 Day 1 to limit complexity. </w:t>
      </w:r>
    </w:p>
    <w:p w14:paraId="45F6E406" w14:textId="77777777" w:rsidR="00040F85" w:rsidRPr="00D17369" w:rsidRDefault="00040F85" w:rsidP="00040F85">
      <w:pPr>
        <w:spacing w:line="480" w:lineRule="auto"/>
        <w:rPr>
          <w:rFonts w:asciiTheme="majorHAnsi" w:hAnsiTheme="majorHAnsi"/>
        </w:rPr>
      </w:pPr>
    </w:p>
    <w:p w14:paraId="2B96A4BB" w14:textId="77777777" w:rsidR="00040F85" w:rsidRPr="00D17369" w:rsidRDefault="00040F85" w:rsidP="00040F85">
      <w:pPr>
        <w:spacing w:line="480" w:lineRule="auto"/>
        <w:rPr>
          <w:rFonts w:asciiTheme="majorHAnsi" w:hAnsiTheme="majorHAnsi"/>
        </w:rPr>
      </w:pPr>
      <w:proofErr w:type="gramStart"/>
      <w:r w:rsidRPr="00D17369">
        <w:rPr>
          <w:rFonts w:asciiTheme="majorHAnsi" w:hAnsiTheme="majorHAnsi"/>
          <w:b/>
          <w:bCs/>
        </w:rPr>
        <w:t>Supplemental Figure 2.</w:t>
      </w:r>
      <w:proofErr w:type="gramEnd"/>
      <w:r w:rsidRPr="00D17369">
        <w:rPr>
          <w:rFonts w:asciiTheme="majorHAnsi" w:hAnsiTheme="majorHAnsi"/>
          <w:b/>
          <w:bCs/>
        </w:rPr>
        <w:t xml:space="preserve"> Circulating NK cell expansion during ALT-803 treatment</w:t>
      </w:r>
    </w:p>
    <w:p w14:paraId="4D3A58A6" w14:textId="77777777" w:rsidR="00040F85" w:rsidRPr="00D17369" w:rsidRDefault="00040F85" w:rsidP="00040F85">
      <w:pPr>
        <w:spacing w:line="480" w:lineRule="auto"/>
        <w:rPr>
          <w:rFonts w:asciiTheme="majorHAnsi" w:hAnsiTheme="majorHAnsi"/>
          <w:bCs/>
        </w:rPr>
      </w:pPr>
      <w:r w:rsidRPr="00D17369">
        <w:rPr>
          <w:rFonts w:asciiTheme="majorHAnsi" w:hAnsiTheme="majorHAnsi"/>
        </w:rPr>
        <w:t xml:space="preserve">Data shown are from subjects who received </w:t>
      </w:r>
      <w:proofErr w:type="spellStart"/>
      <w:r w:rsidRPr="00D17369">
        <w:rPr>
          <w:rFonts w:asciiTheme="majorHAnsi" w:hAnsiTheme="majorHAnsi"/>
        </w:rPr>
        <w:t>i.v.</w:t>
      </w:r>
      <w:proofErr w:type="spellEnd"/>
      <w:r w:rsidRPr="00D17369">
        <w:rPr>
          <w:rFonts w:asciiTheme="majorHAnsi" w:hAnsiTheme="majorHAnsi"/>
        </w:rPr>
        <w:t xml:space="preserve"> </w:t>
      </w:r>
      <w:proofErr w:type="gramStart"/>
      <w:r w:rsidRPr="00D17369">
        <w:rPr>
          <w:rFonts w:asciiTheme="majorHAnsi" w:hAnsiTheme="majorHAnsi"/>
        </w:rPr>
        <w:t>ALT-803 on Days 1, 8, 15 and 22 of each 6-week cycle.</w:t>
      </w:r>
      <w:proofErr w:type="gramEnd"/>
      <w:r w:rsidRPr="00D17369">
        <w:rPr>
          <w:rFonts w:asciiTheme="majorHAnsi" w:hAnsiTheme="majorHAnsi"/>
        </w:rPr>
        <w:t xml:space="preserve">  Absolute cell frequencies </w:t>
      </w:r>
      <w:r w:rsidRPr="00D17369">
        <w:rPr>
          <w:rFonts w:asciiTheme="majorHAnsi" w:hAnsiTheme="majorHAnsi"/>
          <w:bCs/>
        </w:rPr>
        <w:t xml:space="preserve">are shown as means grouped by dose cohort in left panels: </w:t>
      </w:r>
      <w:r w:rsidRPr="00D17369">
        <w:rPr>
          <w:rFonts w:asciiTheme="majorHAnsi" w:hAnsiTheme="majorHAnsi"/>
        </w:rPr>
        <w:t xml:space="preserve">0.3 &amp; 0.5 </w:t>
      </w:r>
      <w:r w:rsidRPr="00D17369">
        <w:rPr>
          <w:rFonts w:asciiTheme="majorHAnsi" w:hAnsiTheme="majorHAnsi"/>
        </w:rPr>
        <w:sym w:font="Symbol" w:char="F06D"/>
      </w:r>
      <w:r w:rsidRPr="00D17369">
        <w:rPr>
          <w:rFonts w:asciiTheme="majorHAnsi" w:hAnsiTheme="majorHAnsi"/>
        </w:rPr>
        <w:t xml:space="preserve">g/kg (gray, 1 each), 1 </w:t>
      </w:r>
      <w:r w:rsidRPr="00D17369">
        <w:rPr>
          <w:rFonts w:asciiTheme="majorHAnsi" w:hAnsiTheme="majorHAnsi"/>
        </w:rPr>
        <w:sym w:font="Symbol" w:char="F06D"/>
      </w:r>
      <w:r w:rsidRPr="00D17369">
        <w:rPr>
          <w:rFonts w:asciiTheme="majorHAnsi" w:hAnsiTheme="majorHAnsi"/>
        </w:rPr>
        <w:t xml:space="preserve">g/kg (brown, N=3), 3 </w:t>
      </w:r>
      <w:r w:rsidRPr="00D17369">
        <w:rPr>
          <w:rFonts w:asciiTheme="majorHAnsi" w:hAnsiTheme="majorHAnsi"/>
        </w:rPr>
        <w:sym w:font="Symbol" w:char="F06D"/>
      </w:r>
      <w:r w:rsidRPr="00D17369">
        <w:rPr>
          <w:rFonts w:asciiTheme="majorHAnsi" w:hAnsiTheme="majorHAnsi"/>
        </w:rPr>
        <w:t xml:space="preserve">g/kg (lavender, N=3), and 6 </w:t>
      </w:r>
      <w:r w:rsidRPr="00D17369">
        <w:rPr>
          <w:rFonts w:asciiTheme="majorHAnsi" w:hAnsiTheme="majorHAnsi"/>
        </w:rPr>
        <w:sym w:font="Symbol" w:char="F06D"/>
      </w:r>
      <w:r w:rsidRPr="00D17369">
        <w:rPr>
          <w:rFonts w:asciiTheme="majorHAnsi" w:hAnsiTheme="majorHAnsi"/>
        </w:rPr>
        <w:t>g/kg/dose (orange, N=3)</w:t>
      </w:r>
      <w:r w:rsidRPr="00D17369">
        <w:rPr>
          <w:rFonts w:asciiTheme="majorHAnsi" w:hAnsiTheme="majorHAnsi"/>
          <w:bCs/>
        </w:rPr>
        <w:t xml:space="preserve">. </w:t>
      </w:r>
      <w:r w:rsidRPr="00D17369">
        <w:rPr>
          <w:rFonts w:asciiTheme="majorHAnsi" w:hAnsiTheme="majorHAnsi"/>
        </w:rPr>
        <w:t>Circulating total CD56+ NK cells (</w:t>
      </w:r>
      <w:r w:rsidRPr="00D17369">
        <w:rPr>
          <w:rFonts w:asciiTheme="majorHAnsi" w:hAnsiTheme="majorHAnsi"/>
          <w:b/>
        </w:rPr>
        <w:t>A</w:t>
      </w:r>
      <w:r w:rsidRPr="00D17369">
        <w:rPr>
          <w:rFonts w:asciiTheme="majorHAnsi" w:hAnsiTheme="majorHAnsi"/>
        </w:rPr>
        <w:t>), and subsets CD56</w:t>
      </w:r>
      <w:r w:rsidRPr="00D17369">
        <w:rPr>
          <w:rFonts w:asciiTheme="majorHAnsi" w:hAnsiTheme="majorHAnsi"/>
          <w:vertAlign w:val="superscript"/>
        </w:rPr>
        <w:t>bright</w:t>
      </w:r>
      <w:r w:rsidRPr="00D17369">
        <w:rPr>
          <w:rFonts w:asciiTheme="majorHAnsi" w:hAnsiTheme="majorHAnsi"/>
        </w:rPr>
        <w:t xml:space="preserve"> (</w:t>
      </w:r>
      <w:r w:rsidRPr="00D17369">
        <w:rPr>
          <w:rFonts w:asciiTheme="majorHAnsi" w:hAnsiTheme="majorHAnsi"/>
          <w:b/>
        </w:rPr>
        <w:t>B</w:t>
      </w:r>
      <w:r w:rsidRPr="00D17369">
        <w:rPr>
          <w:rFonts w:asciiTheme="majorHAnsi" w:hAnsiTheme="majorHAnsi"/>
        </w:rPr>
        <w:t>) and</w:t>
      </w:r>
      <w:r w:rsidRPr="00D17369">
        <w:rPr>
          <w:rFonts w:asciiTheme="majorHAnsi" w:hAnsiTheme="majorHAnsi"/>
          <w:b/>
          <w:bCs/>
        </w:rPr>
        <w:t xml:space="preserve"> </w:t>
      </w:r>
      <w:r w:rsidRPr="00D17369">
        <w:rPr>
          <w:rFonts w:asciiTheme="majorHAnsi" w:hAnsiTheme="majorHAnsi"/>
        </w:rPr>
        <w:t>CD56</w:t>
      </w:r>
      <w:r w:rsidRPr="00D17369">
        <w:rPr>
          <w:rFonts w:asciiTheme="majorHAnsi" w:hAnsiTheme="majorHAnsi"/>
          <w:vertAlign w:val="superscript"/>
        </w:rPr>
        <w:t xml:space="preserve">dim </w:t>
      </w:r>
      <w:r w:rsidRPr="00D17369">
        <w:rPr>
          <w:rFonts w:asciiTheme="majorHAnsi" w:hAnsiTheme="majorHAnsi"/>
        </w:rPr>
        <w:t xml:space="preserve"> (</w:t>
      </w:r>
      <w:r w:rsidRPr="00D17369">
        <w:rPr>
          <w:rFonts w:asciiTheme="majorHAnsi" w:hAnsiTheme="majorHAnsi"/>
          <w:b/>
        </w:rPr>
        <w:t>C</w:t>
      </w:r>
      <w:r w:rsidRPr="00D17369">
        <w:rPr>
          <w:rFonts w:asciiTheme="majorHAnsi" w:hAnsiTheme="majorHAnsi"/>
        </w:rPr>
        <w:t xml:space="preserve">) NK cell means for each dose cohort are represented by a single line/symbol. Right panels display mean maximal fold-increases during treatment </w:t>
      </w:r>
      <w:r w:rsidRPr="00D17369">
        <w:rPr>
          <w:rFonts w:asciiTheme="majorHAnsi" w:hAnsiTheme="majorHAnsi"/>
        </w:rPr>
        <w:lastRenderedPageBreak/>
        <w:t xml:space="preserve">compared to baseline (Day 1) for each dose cohort. The results shown were limited to data through Cycle 2 Day 1 to limit complexity, since maximal increases in NK cell counts occurred prior to that time point. </w:t>
      </w:r>
    </w:p>
    <w:p w14:paraId="5267B36B" w14:textId="77777777" w:rsidR="00040F85" w:rsidRPr="00D17369" w:rsidRDefault="00040F85" w:rsidP="00040F85">
      <w:pPr>
        <w:spacing w:line="480" w:lineRule="auto"/>
        <w:rPr>
          <w:rFonts w:asciiTheme="majorHAnsi" w:hAnsiTheme="majorHAnsi"/>
          <w:b/>
        </w:rPr>
      </w:pPr>
    </w:p>
    <w:p w14:paraId="6F5AE4EA" w14:textId="77777777" w:rsidR="00040F85" w:rsidRPr="00D17369" w:rsidRDefault="00040F85" w:rsidP="00040F85">
      <w:pPr>
        <w:spacing w:line="480" w:lineRule="auto"/>
        <w:rPr>
          <w:rFonts w:asciiTheme="majorHAnsi" w:hAnsiTheme="majorHAnsi"/>
        </w:rPr>
      </w:pPr>
      <w:proofErr w:type="gramStart"/>
      <w:r w:rsidRPr="00D17369">
        <w:rPr>
          <w:rFonts w:asciiTheme="majorHAnsi" w:hAnsiTheme="majorHAnsi"/>
          <w:b/>
        </w:rPr>
        <w:t>Supplemental Figure 3.</w:t>
      </w:r>
      <w:proofErr w:type="gramEnd"/>
      <w:r w:rsidRPr="00D17369">
        <w:rPr>
          <w:rFonts w:asciiTheme="majorHAnsi" w:hAnsiTheme="majorHAnsi"/>
          <w:b/>
        </w:rPr>
        <w:t xml:space="preserve">  Effect of subcutaneous ALT-803 on circulating T cell expression of HLA-DR</w:t>
      </w:r>
    </w:p>
    <w:p w14:paraId="0D0CC512" w14:textId="77777777" w:rsidR="00040F85" w:rsidRPr="00D17369" w:rsidRDefault="00040F85" w:rsidP="00040F85">
      <w:pPr>
        <w:spacing w:line="480" w:lineRule="auto"/>
        <w:rPr>
          <w:rFonts w:asciiTheme="majorHAnsi" w:hAnsiTheme="majorHAnsi"/>
        </w:rPr>
      </w:pPr>
      <w:r w:rsidRPr="00D17369">
        <w:rPr>
          <w:rFonts w:asciiTheme="majorHAnsi" w:hAnsiTheme="majorHAnsi"/>
        </w:rPr>
        <w:t>Mean % HLA-DR expression among CD8+ T cells (</w:t>
      </w:r>
      <w:r w:rsidRPr="00D17369">
        <w:rPr>
          <w:rFonts w:asciiTheme="majorHAnsi" w:hAnsiTheme="majorHAnsi"/>
          <w:b/>
        </w:rPr>
        <w:t>A</w:t>
      </w:r>
      <w:r w:rsidRPr="00D17369">
        <w:rPr>
          <w:rFonts w:asciiTheme="majorHAnsi" w:hAnsiTheme="majorHAnsi"/>
        </w:rPr>
        <w:t>) and CD4+ T cells (</w:t>
      </w:r>
      <w:r w:rsidRPr="00D17369">
        <w:rPr>
          <w:rFonts w:asciiTheme="majorHAnsi" w:hAnsiTheme="majorHAnsi"/>
          <w:b/>
        </w:rPr>
        <w:t>B</w:t>
      </w:r>
      <w:r w:rsidRPr="00D17369">
        <w:rPr>
          <w:rFonts w:asciiTheme="majorHAnsi" w:hAnsiTheme="majorHAnsi"/>
        </w:rPr>
        <w:t xml:space="preserve">) at Day 1 (pre-treatment) and maximal time points during treatment </w:t>
      </w:r>
      <w:r w:rsidRPr="00D17369">
        <w:rPr>
          <w:rFonts w:asciiTheme="majorHAnsi" w:hAnsiTheme="majorHAnsi"/>
          <w:bCs/>
        </w:rPr>
        <w:t xml:space="preserve">are shown. Each line represents the mean results grouped by dose cohort in left panels: </w:t>
      </w:r>
      <w:r w:rsidRPr="00D17369">
        <w:rPr>
          <w:rFonts w:asciiTheme="majorHAnsi" w:hAnsiTheme="majorHAnsi"/>
        </w:rPr>
        <w:t xml:space="preserve">0.3 &amp; 0.5 </w:t>
      </w:r>
      <w:r w:rsidRPr="00D17369">
        <w:rPr>
          <w:rFonts w:asciiTheme="majorHAnsi" w:hAnsiTheme="majorHAnsi"/>
        </w:rPr>
        <w:sym w:font="Symbol" w:char="F06D"/>
      </w:r>
      <w:r w:rsidRPr="00D17369">
        <w:rPr>
          <w:rFonts w:asciiTheme="majorHAnsi" w:hAnsiTheme="majorHAnsi"/>
        </w:rPr>
        <w:t xml:space="preserve">g/kg (gray, 1 each), 1 </w:t>
      </w:r>
      <w:r w:rsidRPr="00D17369">
        <w:rPr>
          <w:rFonts w:asciiTheme="majorHAnsi" w:hAnsiTheme="majorHAnsi"/>
        </w:rPr>
        <w:sym w:font="Symbol" w:char="F06D"/>
      </w:r>
      <w:r w:rsidRPr="00D17369">
        <w:rPr>
          <w:rFonts w:asciiTheme="majorHAnsi" w:hAnsiTheme="majorHAnsi"/>
        </w:rPr>
        <w:t xml:space="preserve">g/kg (brown, N=3), 3 </w:t>
      </w:r>
      <w:r w:rsidRPr="00D17369">
        <w:rPr>
          <w:rFonts w:asciiTheme="majorHAnsi" w:hAnsiTheme="majorHAnsi"/>
        </w:rPr>
        <w:sym w:font="Symbol" w:char="F06D"/>
      </w:r>
      <w:r w:rsidRPr="00D17369">
        <w:rPr>
          <w:rFonts w:asciiTheme="majorHAnsi" w:hAnsiTheme="majorHAnsi"/>
        </w:rPr>
        <w:t xml:space="preserve">g/kg (lavender, N=3), and 6 </w:t>
      </w:r>
      <w:r w:rsidRPr="00D17369">
        <w:rPr>
          <w:rFonts w:asciiTheme="majorHAnsi" w:hAnsiTheme="majorHAnsi"/>
        </w:rPr>
        <w:sym w:font="Symbol" w:char="F06D"/>
      </w:r>
      <w:r w:rsidRPr="00D17369">
        <w:rPr>
          <w:rFonts w:asciiTheme="majorHAnsi" w:hAnsiTheme="majorHAnsi"/>
        </w:rPr>
        <w:t>g/kg/dose (orange, N=3). Right panels display mean maximal fold-increases during treatment compared to Day 1 (pre-treatment) for each dose cohort.</w:t>
      </w:r>
    </w:p>
    <w:p w14:paraId="3DF0F1EC" w14:textId="77777777" w:rsidR="00040F85" w:rsidRPr="00D17369" w:rsidRDefault="00040F85" w:rsidP="00040F85">
      <w:pPr>
        <w:spacing w:line="480" w:lineRule="auto"/>
        <w:rPr>
          <w:rFonts w:asciiTheme="majorHAnsi" w:hAnsiTheme="majorHAnsi"/>
        </w:rPr>
      </w:pPr>
    </w:p>
    <w:p w14:paraId="5F7DAEEB" w14:textId="77777777" w:rsidR="00C4139C" w:rsidRPr="00D17369" w:rsidRDefault="00C4139C">
      <w:pPr>
        <w:rPr>
          <w:rFonts w:asciiTheme="majorHAnsi" w:hAnsiTheme="majorHAnsi"/>
        </w:rPr>
      </w:pPr>
    </w:p>
    <w:sectPr w:rsidR="00C4139C" w:rsidRPr="00D17369" w:rsidSect="00C413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85"/>
    <w:rsid w:val="00040F85"/>
    <w:rsid w:val="00441EFA"/>
    <w:rsid w:val="00641A9A"/>
    <w:rsid w:val="009E00C4"/>
    <w:rsid w:val="00C4139C"/>
    <w:rsid w:val="00D17369"/>
    <w:rsid w:val="00D40CB1"/>
    <w:rsid w:val="00FF4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E3E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8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0CB1"/>
    <w:rPr>
      <w:sz w:val="18"/>
      <w:szCs w:val="18"/>
    </w:rPr>
  </w:style>
  <w:style w:type="paragraph" w:styleId="CommentText">
    <w:name w:val="annotation text"/>
    <w:basedOn w:val="Normal"/>
    <w:link w:val="CommentTextChar"/>
    <w:uiPriority w:val="99"/>
    <w:semiHidden/>
    <w:unhideWhenUsed/>
    <w:rsid w:val="00D40CB1"/>
  </w:style>
  <w:style w:type="character" w:customStyle="1" w:styleId="CommentTextChar">
    <w:name w:val="Comment Text Char"/>
    <w:basedOn w:val="DefaultParagraphFont"/>
    <w:link w:val="CommentText"/>
    <w:uiPriority w:val="99"/>
    <w:semiHidden/>
    <w:rsid w:val="00D40CB1"/>
    <w:rPr>
      <w:rFonts w:eastAsiaTheme="minorHAnsi"/>
    </w:rPr>
  </w:style>
  <w:style w:type="paragraph" w:styleId="CommentSubject">
    <w:name w:val="annotation subject"/>
    <w:basedOn w:val="CommentText"/>
    <w:next w:val="CommentText"/>
    <w:link w:val="CommentSubjectChar"/>
    <w:uiPriority w:val="99"/>
    <w:semiHidden/>
    <w:unhideWhenUsed/>
    <w:rsid w:val="00D40CB1"/>
    <w:rPr>
      <w:b/>
      <w:bCs/>
      <w:sz w:val="20"/>
      <w:szCs w:val="20"/>
    </w:rPr>
  </w:style>
  <w:style w:type="character" w:customStyle="1" w:styleId="CommentSubjectChar">
    <w:name w:val="Comment Subject Char"/>
    <w:basedOn w:val="CommentTextChar"/>
    <w:link w:val="CommentSubject"/>
    <w:uiPriority w:val="99"/>
    <w:semiHidden/>
    <w:rsid w:val="00D40CB1"/>
    <w:rPr>
      <w:rFonts w:eastAsiaTheme="minorHAnsi"/>
      <w:b/>
      <w:bCs/>
      <w:sz w:val="20"/>
      <w:szCs w:val="20"/>
    </w:rPr>
  </w:style>
  <w:style w:type="paragraph" w:styleId="BalloonText">
    <w:name w:val="Balloon Text"/>
    <w:basedOn w:val="Normal"/>
    <w:link w:val="BalloonTextChar"/>
    <w:uiPriority w:val="99"/>
    <w:semiHidden/>
    <w:unhideWhenUsed/>
    <w:rsid w:val="00D40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CB1"/>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8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0CB1"/>
    <w:rPr>
      <w:sz w:val="18"/>
      <w:szCs w:val="18"/>
    </w:rPr>
  </w:style>
  <w:style w:type="paragraph" w:styleId="CommentText">
    <w:name w:val="annotation text"/>
    <w:basedOn w:val="Normal"/>
    <w:link w:val="CommentTextChar"/>
    <w:uiPriority w:val="99"/>
    <w:semiHidden/>
    <w:unhideWhenUsed/>
    <w:rsid w:val="00D40CB1"/>
  </w:style>
  <w:style w:type="character" w:customStyle="1" w:styleId="CommentTextChar">
    <w:name w:val="Comment Text Char"/>
    <w:basedOn w:val="DefaultParagraphFont"/>
    <w:link w:val="CommentText"/>
    <w:uiPriority w:val="99"/>
    <w:semiHidden/>
    <w:rsid w:val="00D40CB1"/>
    <w:rPr>
      <w:rFonts w:eastAsiaTheme="minorHAnsi"/>
    </w:rPr>
  </w:style>
  <w:style w:type="paragraph" w:styleId="CommentSubject">
    <w:name w:val="annotation subject"/>
    <w:basedOn w:val="CommentText"/>
    <w:next w:val="CommentText"/>
    <w:link w:val="CommentSubjectChar"/>
    <w:uiPriority w:val="99"/>
    <w:semiHidden/>
    <w:unhideWhenUsed/>
    <w:rsid w:val="00D40CB1"/>
    <w:rPr>
      <w:b/>
      <w:bCs/>
      <w:sz w:val="20"/>
      <w:szCs w:val="20"/>
    </w:rPr>
  </w:style>
  <w:style w:type="character" w:customStyle="1" w:styleId="CommentSubjectChar">
    <w:name w:val="Comment Subject Char"/>
    <w:basedOn w:val="CommentTextChar"/>
    <w:link w:val="CommentSubject"/>
    <w:uiPriority w:val="99"/>
    <w:semiHidden/>
    <w:rsid w:val="00D40CB1"/>
    <w:rPr>
      <w:rFonts w:eastAsiaTheme="minorHAnsi"/>
      <w:b/>
      <w:bCs/>
      <w:sz w:val="20"/>
      <w:szCs w:val="20"/>
    </w:rPr>
  </w:style>
  <w:style w:type="paragraph" w:styleId="BalloonText">
    <w:name w:val="Balloon Text"/>
    <w:basedOn w:val="Normal"/>
    <w:link w:val="BalloonTextChar"/>
    <w:uiPriority w:val="99"/>
    <w:semiHidden/>
    <w:unhideWhenUsed/>
    <w:rsid w:val="00D40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CB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1911</Characters>
  <Application>Microsoft Macintosh Word</Application>
  <DocSecurity>0</DocSecurity>
  <Lines>15</Lines>
  <Paragraphs>4</Paragraphs>
  <ScaleCrop>false</ScaleCrop>
  <Company>University of Washington</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Chihiro Morishima</dc:creator>
  <cp:keywords/>
  <dc:description/>
  <cp:lastModifiedBy>Chihiro Morishima</cp:lastModifiedBy>
  <cp:revision>3</cp:revision>
  <dcterms:created xsi:type="dcterms:W3CDTF">2018-07-04T17:37:00Z</dcterms:created>
  <dcterms:modified xsi:type="dcterms:W3CDTF">2018-07-04T17:37:00Z</dcterms:modified>
</cp:coreProperties>
</file>