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87" w:rsidRDefault="00133887" w:rsidP="00133887">
      <w:pPr>
        <w:pStyle w:val="Heading2"/>
      </w:pPr>
      <w:proofErr w:type="gramStart"/>
      <w:r>
        <w:t>Supplementary Fig.</w:t>
      </w:r>
      <w:proofErr w:type="gramEnd"/>
      <w:r>
        <w:t xml:space="preserve"> S1. </w:t>
      </w:r>
      <w:proofErr w:type="spellStart"/>
      <w:r>
        <w:t>Toca</w:t>
      </w:r>
      <w:proofErr w:type="spellEnd"/>
      <w:r>
        <w:t xml:space="preserve"> 511 detection in RNA isolated from patient plasma samples from Study 11.</w:t>
      </w:r>
    </w:p>
    <w:p w:rsidR="00133887" w:rsidRPr="00732FD0" w:rsidRDefault="00133887" w:rsidP="00133887">
      <w:pPr>
        <w:pStyle w:val="ListParagraph"/>
        <w:spacing w:line="480" w:lineRule="auto"/>
        <w:ind w:left="360"/>
        <w:rPr>
          <w:sz w:val="24"/>
          <w:szCs w:val="24"/>
        </w:rPr>
      </w:pPr>
      <w:proofErr w:type="spellStart"/>
      <w:r w:rsidRPr="00A00529">
        <w:rPr>
          <w:sz w:val="24"/>
          <w:szCs w:val="24"/>
        </w:rPr>
        <w:t>Heatmap</w:t>
      </w:r>
      <w:proofErr w:type="spellEnd"/>
      <w:r w:rsidRPr="00A00529">
        <w:rPr>
          <w:sz w:val="24"/>
          <w:szCs w:val="24"/>
        </w:rPr>
        <w:t xml:space="preserve"> representation of </w:t>
      </w:r>
      <w:proofErr w:type="spellStart"/>
      <w:r w:rsidRPr="00A00529">
        <w:rPr>
          <w:sz w:val="24"/>
          <w:szCs w:val="24"/>
        </w:rPr>
        <w:t>Toca</w:t>
      </w:r>
      <w:proofErr w:type="spellEnd"/>
      <w:r w:rsidRPr="00A00529">
        <w:rPr>
          <w:sz w:val="24"/>
          <w:szCs w:val="24"/>
        </w:rPr>
        <w:t xml:space="preserve"> 511 </w:t>
      </w:r>
      <w:r>
        <w:rPr>
          <w:sz w:val="24"/>
          <w:szCs w:val="24"/>
        </w:rPr>
        <w:t xml:space="preserve">RNA </w:t>
      </w:r>
      <w:r w:rsidRPr="00A00529">
        <w:rPr>
          <w:sz w:val="24"/>
          <w:szCs w:val="24"/>
        </w:rPr>
        <w:t xml:space="preserve">signal in </w:t>
      </w:r>
      <w:r>
        <w:rPr>
          <w:sz w:val="24"/>
          <w:szCs w:val="24"/>
        </w:rPr>
        <w:t>plasma</w:t>
      </w:r>
      <w:r w:rsidRPr="00A00529">
        <w:rPr>
          <w:sz w:val="24"/>
          <w:szCs w:val="24"/>
        </w:rPr>
        <w:t xml:space="preserve"> as a function of time </w:t>
      </w:r>
      <w:r>
        <w:rPr>
          <w:sz w:val="24"/>
          <w:szCs w:val="24"/>
        </w:rPr>
        <w:t>for</w:t>
      </w:r>
      <w:r w:rsidRPr="00A00529">
        <w:rPr>
          <w:sz w:val="24"/>
          <w:szCs w:val="24"/>
        </w:rPr>
        <w:t xml:space="preserve"> the </w:t>
      </w:r>
      <w:r>
        <w:rPr>
          <w:sz w:val="24"/>
          <w:szCs w:val="24"/>
        </w:rPr>
        <w:t>22</w:t>
      </w:r>
      <w:r w:rsidRPr="00A00529">
        <w:rPr>
          <w:sz w:val="24"/>
          <w:szCs w:val="24"/>
        </w:rPr>
        <w:t xml:space="preserve"> patients </w:t>
      </w:r>
      <w:r>
        <w:rPr>
          <w:sz w:val="24"/>
          <w:szCs w:val="24"/>
        </w:rPr>
        <w:t xml:space="preserve">of 56 in Study 11 </w:t>
      </w:r>
      <w:r w:rsidRPr="00A00529">
        <w:rPr>
          <w:sz w:val="24"/>
          <w:szCs w:val="24"/>
        </w:rPr>
        <w:t>with detectable signa</w:t>
      </w:r>
      <w:r>
        <w:rPr>
          <w:sz w:val="24"/>
          <w:szCs w:val="24"/>
        </w:rPr>
        <w:t>l</w:t>
      </w:r>
      <w:r w:rsidRPr="00A00529">
        <w:rPr>
          <w:sz w:val="24"/>
          <w:szCs w:val="24"/>
        </w:rPr>
        <w:t>.</w:t>
      </w:r>
      <w:r w:rsidRPr="006C5189">
        <w:rPr>
          <w:sz w:val="24"/>
          <w:szCs w:val="24"/>
        </w:rPr>
        <w:t xml:space="preserve"> </w:t>
      </w:r>
    </w:p>
    <w:p w:rsidR="00133887" w:rsidRPr="00B92385" w:rsidRDefault="00133887" w:rsidP="00133887">
      <w:pPr>
        <w:pStyle w:val="Heading2"/>
      </w:pPr>
      <w:proofErr w:type="gramStart"/>
      <w:r>
        <w:t>Supplementary</w:t>
      </w:r>
      <w:r w:rsidRPr="00B92385">
        <w:t xml:space="preserve"> Fig.</w:t>
      </w:r>
      <w:proofErr w:type="gramEnd"/>
      <w:r w:rsidRPr="00B92385">
        <w:t xml:space="preserve"> </w:t>
      </w:r>
      <w:r>
        <w:t>S2</w:t>
      </w:r>
      <w:r w:rsidRPr="00B92385">
        <w:t xml:space="preserve">. </w:t>
      </w:r>
      <w:proofErr w:type="gramStart"/>
      <w:r w:rsidRPr="00B92385">
        <w:t>Cartoon illustration of integration site identification.</w:t>
      </w:r>
      <w:proofErr w:type="gramEnd"/>
    </w:p>
    <w:p w:rsidR="00133887" w:rsidRDefault="00133887" w:rsidP="00133887">
      <w:pPr>
        <w:pStyle w:val="ListParagraph"/>
        <w:numPr>
          <w:ilvl w:val="0"/>
          <w:numId w:val="7"/>
        </w:numPr>
        <w:spacing w:line="480" w:lineRule="auto"/>
        <w:rPr>
          <w:sz w:val="24"/>
          <w:szCs w:val="24"/>
        </w:rPr>
      </w:pPr>
      <w:r>
        <w:rPr>
          <w:sz w:val="24"/>
          <w:szCs w:val="24"/>
        </w:rPr>
        <w:t xml:space="preserve">Genomic DNA (green) from four cells that contain integrated </w:t>
      </w:r>
      <w:proofErr w:type="spellStart"/>
      <w:r>
        <w:rPr>
          <w:sz w:val="24"/>
          <w:szCs w:val="24"/>
        </w:rPr>
        <w:t>Toca</w:t>
      </w:r>
      <w:proofErr w:type="spellEnd"/>
      <w:r>
        <w:rPr>
          <w:sz w:val="24"/>
          <w:szCs w:val="24"/>
        </w:rPr>
        <w:t xml:space="preserve"> 511 (red).</w:t>
      </w:r>
    </w:p>
    <w:p w:rsidR="00133887" w:rsidRDefault="00133887" w:rsidP="00133887">
      <w:pPr>
        <w:pStyle w:val="ListParagraph"/>
        <w:numPr>
          <w:ilvl w:val="0"/>
          <w:numId w:val="7"/>
        </w:numPr>
        <w:spacing w:line="480" w:lineRule="auto"/>
        <w:rPr>
          <w:sz w:val="24"/>
          <w:szCs w:val="24"/>
        </w:rPr>
      </w:pPr>
      <w:r>
        <w:rPr>
          <w:sz w:val="24"/>
          <w:szCs w:val="24"/>
        </w:rPr>
        <w:t xml:space="preserve">Isolated genomic DNA is randomly fragmented to mode size of ~300 </w:t>
      </w:r>
      <w:proofErr w:type="spellStart"/>
      <w:r>
        <w:rPr>
          <w:sz w:val="24"/>
          <w:szCs w:val="24"/>
        </w:rPr>
        <w:t>bp.</w:t>
      </w:r>
      <w:proofErr w:type="spellEnd"/>
    </w:p>
    <w:p w:rsidR="00133887" w:rsidRDefault="00133887" w:rsidP="00133887">
      <w:pPr>
        <w:pStyle w:val="ListParagraph"/>
        <w:numPr>
          <w:ilvl w:val="0"/>
          <w:numId w:val="7"/>
        </w:numPr>
        <w:spacing w:line="480" w:lineRule="auto"/>
        <w:rPr>
          <w:sz w:val="24"/>
          <w:szCs w:val="24"/>
        </w:rPr>
      </w:pPr>
      <w:r>
        <w:rPr>
          <w:sz w:val="24"/>
          <w:szCs w:val="24"/>
        </w:rPr>
        <w:t xml:space="preserve">A partially double stranded adaptor is ligated to DNA </w:t>
      </w:r>
      <w:proofErr w:type="gramStart"/>
      <w:r>
        <w:rPr>
          <w:sz w:val="24"/>
          <w:szCs w:val="24"/>
        </w:rPr>
        <w:t>ends,</w:t>
      </w:r>
      <w:proofErr w:type="gramEnd"/>
      <w:r>
        <w:rPr>
          <w:sz w:val="24"/>
          <w:szCs w:val="24"/>
        </w:rPr>
        <w:t xml:space="preserve"> PCR is performed with a </w:t>
      </w:r>
      <w:proofErr w:type="spellStart"/>
      <w:r>
        <w:rPr>
          <w:sz w:val="24"/>
          <w:szCs w:val="24"/>
        </w:rPr>
        <w:t>Toca</w:t>
      </w:r>
      <w:proofErr w:type="spellEnd"/>
      <w:r>
        <w:rPr>
          <w:sz w:val="24"/>
          <w:szCs w:val="24"/>
        </w:rPr>
        <w:t xml:space="preserve"> 511-specific primer and adaptor primer.</w:t>
      </w:r>
    </w:p>
    <w:p w:rsidR="00133887" w:rsidRDefault="00133887" w:rsidP="00133887">
      <w:pPr>
        <w:pStyle w:val="ListParagraph"/>
        <w:numPr>
          <w:ilvl w:val="0"/>
          <w:numId w:val="7"/>
        </w:numPr>
        <w:spacing w:line="480" w:lineRule="auto"/>
        <w:rPr>
          <w:sz w:val="24"/>
          <w:szCs w:val="24"/>
        </w:rPr>
      </w:pPr>
      <w:r>
        <w:rPr>
          <w:sz w:val="24"/>
          <w:szCs w:val="24"/>
        </w:rPr>
        <w:t xml:space="preserve">Nested PCR is performed with a </w:t>
      </w:r>
      <w:proofErr w:type="spellStart"/>
      <w:r>
        <w:rPr>
          <w:sz w:val="24"/>
          <w:szCs w:val="24"/>
        </w:rPr>
        <w:t>Toca</w:t>
      </w:r>
      <w:proofErr w:type="spellEnd"/>
      <w:r>
        <w:rPr>
          <w:sz w:val="24"/>
          <w:szCs w:val="24"/>
        </w:rPr>
        <w:t xml:space="preserve"> 511-specific primer and adaptor primer. Primers contain Illumina adaptors and barcodes for pooled sequencing.</w:t>
      </w:r>
    </w:p>
    <w:p w:rsidR="00133887" w:rsidRDefault="00133887" w:rsidP="00133887">
      <w:pPr>
        <w:pStyle w:val="ListParagraph"/>
        <w:numPr>
          <w:ilvl w:val="0"/>
          <w:numId w:val="7"/>
        </w:numPr>
        <w:spacing w:line="480" w:lineRule="auto"/>
        <w:rPr>
          <w:sz w:val="24"/>
          <w:szCs w:val="24"/>
        </w:rPr>
      </w:pPr>
      <w:r>
        <w:rPr>
          <w:sz w:val="24"/>
          <w:szCs w:val="24"/>
        </w:rPr>
        <w:t xml:space="preserve">Data processing following sequencing: e.g., raw sequencing reads are filtered to remove sequences that do not contain the </w:t>
      </w:r>
      <w:proofErr w:type="spellStart"/>
      <w:r>
        <w:rPr>
          <w:sz w:val="24"/>
          <w:szCs w:val="24"/>
        </w:rPr>
        <w:t>Toca</w:t>
      </w:r>
      <w:proofErr w:type="spellEnd"/>
      <w:r>
        <w:rPr>
          <w:sz w:val="24"/>
          <w:szCs w:val="24"/>
        </w:rPr>
        <w:t xml:space="preserve"> 511 integration sequence, then mapped to the human genome, and finally reads with the same integration site and ligation/break site are collapsed. Note that integration events 1 and 4 are not combined because they have different ligation sites and therefore originated from different cells.</w:t>
      </w:r>
    </w:p>
    <w:p w:rsidR="00133887" w:rsidRPr="00B92385" w:rsidRDefault="00133887" w:rsidP="00133887">
      <w:pPr>
        <w:pStyle w:val="ListParagraph"/>
        <w:numPr>
          <w:ilvl w:val="0"/>
          <w:numId w:val="7"/>
        </w:numPr>
        <w:spacing w:line="480" w:lineRule="auto"/>
        <w:rPr>
          <w:sz w:val="24"/>
          <w:szCs w:val="24"/>
        </w:rPr>
      </w:pPr>
      <w:r>
        <w:rPr>
          <w:sz w:val="24"/>
          <w:szCs w:val="24"/>
        </w:rPr>
        <w:t xml:space="preserve">Final results. </w:t>
      </w:r>
    </w:p>
    <w:p w:rsidR="00133887" w:rsidRPr="00A80349" w:rsidRDefault="00133887" w:rsidP="00133887">
      <w:pPr>
        <w:pStyle w:val="Heading2"/>
      </w:pPr>
      <w:proofErr w:type="gramStart"/>
      <w:r>
        <w:t>Supplementary Fig.</w:t>
      </w:r>
      <w:proofErr w:type="gramEnd"/>
      <w:r>
        <w:t xml:space="preserve"> S3</w:t>
      </w:r>
      <w:r w:rsidRPr="00A80349">
        <w:t xml:space="preserve">. </w:t>
      </w:r>
      <w:proofErr w:type="gramStart"/>
      <w:r w:rsidRPr="00A80349">
        <w:t xml:space="preserve">Validation of </w:t>
      </w:r>
      <w:proofErr w:type="spellStart"/>
      <w:r w:rsidRPr="00A80349">
        <w:t>Toca</w:t>
      </w:r>
      <w:proofErr w:type="spellEnd"/>
      <w:r w:rsidRPr="00A80349">
        <w:t xml:space="preserve"> 511 integration profiling workflow.</w:t>
      </w:r>
      <w:proofErr w:type="gramEnd"/>
    </w:p>
    <w:p w:rsidR="00133887" w:rsidRPr="008B3F17" w:rsidRDefault="00133887" w:rsidP="00133887">
      <w:pPr>
        <w:pStyle w:val="ListParagraph"/>
        <w:numPr>
          <w:ilvl w:val="0"/>
          <w:numId w:val="2"/>
        </w:numPr>
        <w:spacing w:line="480" w:lineRule="auto"/>
        <w:rPr>
          <w:sz w:val="24"/>
          <w:szCs w:val="24"/>
        </w:rPr>
      </w:pPr>
      <w:proofErr w:type="spellStart"/>
      <w:r w:rsidRPr="006432BB">
        <w:rPr>
          <w:sz w:val="24"/>
          <w:szCs w:val="24"/>
        </w:rPr>
        <w:t>Barplot</w:t>
      </w:r>
      <w:proofErr w:type="spellEnd"/>
      <w:r w:rsidRPr="006432BB">
        <w:rPr>
          <w:sz w:val="24"/>
          <w:szCs w:val="24"/>
        </w:rPr>
        <w:t xml:space="preserve"> representation of qPCR results showing fold</w:t>
      </w:r>
      <w:r>
        <w:rPr>
          <w:sz w:val="24"/>
          <w:szCs w:val="24"/>
        </w:rPr>
        <w:t>-</w:t>
      </w:r>
      <w:r w:rsidRPr="006432BB">
        <w:rPr>
          <w:sz w:val="24"/>
          <w:szCs w:val="24"/>
        </w:rPr>
        <w:t xml:space="preserve">enrichment of serially diluted genomic DNA from </w:t>
      </w:r>
      <w:proofErr w:type="spellStart"/>
      <w:r w:rsidRPr="006432BB">
        <w:rPr>
          <w:sz w:val="24"/>
          <w:szCs w:val="24"/>
        </w:rPr>
        <w:t>Toca</w:t>
      </w:r>
      <w:proofErr w:type="spellEnd"/>
      <w:r w:rsidRPr="006432BB">
        <w:rPr>
          <w:sz w:val="24"/>
          <w:szCs w:val="24"/>
        </w:rPr>
        <w:t xml:space="preserve"> 511 infected U</w:t>
      </w:r>
      <w:r>
        <w:rPr>
          <w:sz w:val="24"/>
          <w:szCs w:val="24"/>
        </w:rPr>
        <w:t>-</w:t>
      </w:r>
      <w:r w:rsidRPr="006432BB">
        <w:rPr>
          <w:sz w:val="24"/>
          <w:szCs w:val="24"/>
        </w:rPr>
        <w:t>87</w:t>
      </w:r>
      <w:r>
        <w:rPr>
          <w:sz w:val="24"/>
          <w:szCs w:val="24"/>
        </w:rPr>
        <w:t>MG</w:t>
      </w:r>
      <w:r w:rsidRPr="006432BB">
        <w:rPr>
          <w:sz w:val="24"/>
          <w:szCs w:val="24"/>
        </w:rPr>
        <w:t xml:space="preserve"> cells into </w:t>
      </w:r>
      <w:proofErr w:type="spellStart"/>
      <w:r>
        <w:rPr>
          <w:sz w:val="24"/>
          <w:szCs w:val="24"/>
        </w:rPr>
        <w:t>non</w:t>
      </w:r>
      <w:r w:rsidRPr="006432BB">
        <w:rPr>
          <w:sz w:val="24"/>
          <w:szCs w:val="24"/>
        </w:rPr>
        <w:t>infected</w:t>
      </w:r>
      <w:proofErr w:type="spellEnd"/>
      <w:r w:rsidRPr="006432BB">
        <w:rPr>
          <w:sz w:val="24"/>
          <w:szCs w:val="24"/>
        </w:rPr>
        <w:t xml:space="preserve"> DNA isolated from human brain. </w:t>
      </w:r>
      <w:proofErr w:type="gramStart"/>
      <w:r w:rsidRPr="006432BB">
        <w:rPr>
          <w:sz w:val="24"/>
          <w:szCs w:val="24"/>
        </w:rPr>
        <w:t>qPCR</w:t>
      </w:r>
      <w:proofErr w:type="gramEnd"/>
      <w:r w:rsidRPr="006432BB">
        <w:rPr>
          <w:sz w:val="24"/>
          <w:szCs w:val="24"/>
        </w:rPr>
        <w:t xml:space="preserve"> was performed with primers used for the second round of PCR for integration </w:t>
      </w:r>
      <w:r>
        <w:rPr>
          <w:sz w:val="24"/>
          <w:szCs w:val="24"/>
        </w:rPr>
        <w:t>site</w:t>
      </w:r>
      <w:r w:rsidRPr="006432BB">
        <w:rPr>
          <w:sz w:val="24"/>
          <w:szCs w:val="24"/>
        </w:rPr>
        <w:t xml:space="preserve"> sequencing library preparation.</w:t>
      </w:r>
    </w:p>
    <w:p w:rsidR="00133887" w:rsidRPr="004D38D6" w:rsidRDefault="00133887" w:rsidP="00133887">
      <w:pPr>
        <w:pStyle w:val="ListParagraph"/>
        <w:numPr>
          <w:ilvl w:val="0"/>
          <w:numId w:val="2"/>
        </w:numPr>
        <w:spacing w:line="480" w:lineRule="auto"/>
        <w:rPr>
          <w:sz w:val="24"/>
          <w:szCs w:val="24"/>
        </w:rPr>
      </w:pPr>
      <w:proofErr w:type="spellStart"/>
      <w:r w:rsidRPr="00B52B53">
        <w:rPr>
          <w:sz w:val="24"/>
          <w:szCs w:val="24"/>
        </w:rPr>
        <w:lastRenderedPageBreak/>
        <w:t>Barplot</w:t>
      </w:r>
      <w:proofErr w:type="spellEnd"/>
      <w:r w:rsidRPr="00B52B53">
        <w:rPr>
          <w:sz w:val="24"/>
          <w:szCs w:val="24"/>
        </w:rPr>
        <w:t xml:space="preserve"> representation of the total number of integration events recovered</w:t>
      </w:r>
      <w:r w:rsidRPr="004D38D6">
        <w:rPr>
          <w:sz w:val="24"/>
          <w:szCs w:val="24"/>
        </w:rPr>
        <w:t xml:space="preserve"> from sequencing libraries generated from the serially diluted control samples.</w:t>
      </w:r>
    </w:p>
    <w:p w:rsidR="00133887" w:rsidRPr="004D38D6" w:rsidRDefault="00133887" w:rsidP="00133887">
      <w:pPr>
        <w:pStyle w:val="ListParagraph"/>
        <w:numPr>
          <w:ilvl w:val="0"/>
          <w:numId w:val="2"/>
        </w:numPr>
        <w:spacing w:line="480" w:lineRule="auto"/>
        <w:rPr>
          <w:sz w:val="24"/>
          <w:szCs w:val="24"/>
        </w:rPr>
      </w:pPr>
      <w:r w:rsidRPr="004D38D6">
        <w:rPr>
          <w:sz w:val="24"/>
          <w:szCs w:val="24"/>
        </w:rPr>
        <w:t>Cumulative fraction plots showing the fraction of all mapped sequencing reads accounted for by the 100 most represented sites (due to PCR duplication).</w:t>
      </w:r>
    </w:p>
    <w:p w:rsidR="00133887" w:rsidRDefault="00133887" w:rsidP="00133887">
      <w:pPr>
        <w:pStyle w:val="ListParagraph"/>
        <w:numPr>
          <w:ilvl w:val="0"/>
          <w:numId w:val="2"/>
        </w:numPr>
        <w:spacing w:line="480" w:lineRule="auto"/>
        <w:rPr>
          <w:sz w:val="24"/>
          <w:szCs w:val="24"/>
        </w:rPr>
      </w:pPr>
      <w:r w:rsidRPr="00E63011">
        <w:rPr>
          <w:sz w:val="24"/>
          <w:szCs w:val="24"/>
        </w:rPr>
        <w:t xml:space="preserve">Histogram showing characteristic peak of integration sites near </w:t>
      </w:r>
      <w:r>
        <w:rPr>
          <w:sz w:val="24"/>
          <w:szCs w:val="24"/>
        </w:rPr>
        <w:t>TSSs</w:t>
      </w:r>
      <w:r w:rsidRPr="00E63011">
        <w:rPr>
          <w:sz w:val="24"/>
          <w:szCs w:val="24"/>
        </w:rPr>
        <w:t xml:space="preserve">. For this analysis, sites from the four positive control samples were pooled. </w:t>
      </w:r>
    </w:p>
    <w:p w:rsidR="00133887" w:rsidRPr="00A80349" w:rsidRDefault="00133887" w:rsidP="00133887">
      <w:pPr>
        <w:pStyle w:val="Heading2"/>
      </w:pPr>
      <w:proofErr w:type="gramStart"/>
      <w:r>
        <w:t>Supplementary Fig.</w:t>
      </w:r>
      <w:proofErr w:type="gramEnd"/>
      <w:r>
        <w:t xml:space="preserve"> S4</w:t>
      </w:r>
      <w:r w:rsidRPr="00A80349">
        <w:t>. Barcoded ligation strategy did not perform as expected.</w:t>
      </w:r>
    </w:p>
    <w:p w:rsidR="00133887" w:rsidRPr="008B3F17" w:rsidRDefault="00133887" w:rsidP="00133887">
      <w:pPr>
        <w:pStyle w:val="ListParagraph"/>
        <w:numPr>
          <w:ilvl w:val="0"/>
          <w:numId w:val="4"/>
        </w:numPr>
        <w:spacing w:line="480" w:lineRule="auto"/>
        <w:rPr>
          <w:sz w:val="24"/>
          <w:szCs w:val="24"/>
        </w:rPr>
      </w:pPr>
      <w:r w:rsidRPr="006432BB">
        <w:rPr>
          <w:sz w:val="24"/>
          <w:szCs w:val="24"/>
        </w:rPr>
        <w:t>An example of a single integration site and fragmentation site represented by tens of thousands of sequence reads due to PCR duplication. The x-axis shows the distance of fragmentation site reads from integration site reads.</w:t>
      </w:r>
    </w:p>
    <w:p w:rsidR="00133887" w:rsidRPr="004D38D6" w:rsidRDefault="00133887" w:rsidP="00133887">
      <w:pPr>
        <w:pStyle w:val="ListParagraph"/>
        <w:numPr>
          <w:ilvl w:val="0"/>
          <w:numId w:val="4"/>
        </w:numPr>
        <w:spacing w:line="480" w:lineRule="auto"/>
        <w:rPr>
          <w:sz w:val="24"/>
          <w:szCs w:val="24"/>
        </w:rPr>
      </w:pPr>
      <w:r w:rsidRPr="00B52B53">
        <w:rPr>
          <w:sz w:val="24"/>
          <w:szCs w:val="24"/>
        </w:rPr>
        <w:t xml:space="preserve">Distribution of </w:t>
      </w:r>
      <w:r>
        <w:rPr>
          <w:sz w:val="24"/>
          <w:szCs w:val="24"/>
        </w:rPr>
        <w:t xml:space="preserve">the </w:t>
      </w:r>
      <w:r w:rsidRPr="00B52B53">
        <w:rPr>
          <w:sz w:val="24"/>
          <w:szCs w:val="24"/>
        </w:rPr>
        <w:t>100 top ranking 7mer barcodes from (A). Based on (A)</w:t>
      </w:r>
      <w:r>
        <w:rPr>
          <w:sz w:val="24"/>
          <w:szCs w:val="24"/>
        </w:rPr>
        <w:t>, we</w:t>
      </w:r>
      <w:r w:rsidRPr="00B52B53">
        <w:rPr>
          <w:sz w:val="24"/>
          <w:szCs w:val="24"/>
        </w:rPr>
        <w:t xml:space="preserve"> expect al</w:t>
      </w:r>
      <w:r w:rsidRPr="004D38D6">
        <w:rPr>
          <w:sz w:val="24"/>
          <w:szCs w:val="24"/>
        </w:rPr>
        <w:t xml:space="preserve">l reads </w:t>
      </w:r>
      <w:r>
        <w:rPr>
          <w:sz w:val="24"/>
          <w:szCs w:val="24"/>
        </w:rPr>
        <w:t xml:space="preserve">originate </w:t>
      </w:r>
      <w:r w:rsidRPr="004D38D6">
        <w:rPr>
          <w:sz w:val="24"/>
          <w:szCs w:val="24"/>
        </w:rPr>
        <w:t>from a single ligation event and thus should all share the same 7mer barcode.</w:t>
      </w:r>
    </w:p>
    <w:p w:rsidR="00133887" w:rsidRPr="00E63011" w:rsidRDefault="00133887" w:rsidP="00133887">
      <w:pPr>
        <w:pStyle w:val="ListParagraph"/>
        <w:numPr>
          <w:ilvl w:val="0"/>
          <w:numId w:val="4"/>
        </w:numPr>
        <w:spacing w:line="480" w:lineRule="auto"/>
        <w:rPr>
          <w:sz w:val="24"/>
          <w:szCs w:val="24"/>
        </w:rPr>
      </w:pPr>
      <w:r w:rsidRPr="004D38D6">
        <w:rPr>
          <w:sz w:val="24"/>
          <w:szCs w:val="24"/>
        </w:rPr>
        <w:t>Similar to (A)</w:t>
      </w:r>
      <w:r>
        <w:rPr>
          <w:sz w:val="24"/>
          <w:szCs w:val="24"/>
        </w:rPr>
        <w:t>, except for a different sample</w:t>
      </w:r>
    </w:p>
    <w:p w:rsidR="00133887" w:rsidRPr="00A00529" w:rsidRDefault="00133887" w:rsidP="00133887">
      <w:pPr>
        <w:pStyle w:val="ListParagraph"/>
        <w:numPr>
          <w:ilvl w:val="0"/>
          <w:numId w:val="4"/>
        </w:numPr>
        <w:spacing w:line="480" w:lineRule="auto"/>
        <w:rPr>
          <w:sz w:val="24"/>
          <w:szCs w:val="24"/>
        </w:rPr>
      </w:pPr>
      <w:r w:rsidRPr="00A00529">
        <w:rPr>
          <w:sz w:val="24"/>
          <w:szCs w:val="24"/>
        </w:rPr>
        <w:t>Similar to (B)</w:t>
      </w:r>
      <w:r>
        <w:rPr>
          <w:sz w:val="24"/>
          <w:szCs w:val="24"/>
        </w:rPr>
        <w:t xml:space="preserve"> for sample in (C)</w:t>
      </w:r>
      <w:r w:rsidRPr="00A00529">
        <w:rPr>
          <w:sz w:val="24"/>
          <w:szCs w:val="24"/>
        </w:rPr>
        <w:t>.</w:t>
      </w:r>
    </w:p>
    <w:p w:rsidR="00133887" w:rsidRPr="006C5189" w:rsidRDefault="00133887" w:rsidP="00133887">
      <w:pPr>
        <w:pStyle w:val="ListParagraph"/>
        <w:numPr>
          <w:ilvl w:val="0"/>
          <w:numId w:val="4"/>
        </w:numPr>
        <w:spacing w:line="480" w:lineRule="auto"/>
        <w:rPr>
          <w:sz w:val="24"/>
          <w:szCs w:val="24"/>
        </w:rPr>
      </w:pPr>
      <w:r w:rsidRPr="006C5189">
        <w:rPr>
          <w:sz w:val="24"/>
          <w:szCs w:val="24"/>
        </w:rPr>
        <w:t>Similar to (A)</w:t>
      </w:r>
      <w:r>
        <w:rPr>
          <w:sz w:val="24"/>
          <w:szCs w:val="24"/>
        </w:rPr>
        <w:t>, except</w:t>
      </w:r>
      <w:r w:rsidRPr="0093087D">
        <w:rPr>
          <w:sz w:val="24"/>
          <w:szCs w:val="24"/>
        </w:rPr>
        <w:t xml:space="preserve"> </w:t>
      </w:r>
      <w:r>
        <w:rPr>
          <w:sz w:val="24"/>
          <w:szCs w:val="24"/>
        </w:rPr>
        <w:t>for a different sample.</w:t>
      </w:r>
    </w:p>
    <w:p w:rsidR="00133887" w:rsidRPr="00643025" w:rsidRDefault="00133887" w:rsidP="00133887">
      <w:pPr>
        <w:pStyle w:val="ListParagraph"/>
        <w:numPr>
          <w:ilvl w:val="0"/>
          <w:numId w:val="4"/>
        </w:numPr>
        <w:spacing w:line="480" w:lineRule="auto"/>
        <w:rPr>
          <w:sz w:val="24"/>
          <w:szCs w:val="24"/>
        </w:rPr>
      </w:pPr>
      <w:r w:rsidRPr="00643025">
        <w:rPr>
          <w:sz w:val="24"/>
          <w:szCs w:val="24"/>
        </w:rPr>
        <w:t>Similar to (B)</w:t>
      </w:r>
      <w:r>
        <w:rPr>
          <w:sz w:val="24"/>
          <w:szCs w:val="24"/>
        </w:rPr>
        <w:t xml:space="preserve"> </w:t>
      </w:r>
      <w:r w:rsidRPr="00086C11">
        <w:rPr>
          <w:sz w:val="24"/>
          <w:szCs w:val="24"/>
        </w:rPr>
        <w:t>for sample in (</w:t>
      </w:r>
      <w:r>
        <w:rPr>
          <w:sz w:val="24"/>
          <w:szCs w:val="24"/>
        </w:rPr>
        <w:t>E</w:t>
      </w:r>
      <w:r w:rsidRPr="00086C11">
        <w:rPr>
          <w:sz w:val="24"/>
          <w:szCs w:val="24"/>
        </w:rPr>
        <w:t>).</w:t>
      </w:r>
    </w:p>
    <w:p w:rsidR="00133887" w:rsidRPr="00A80349" w:rsidRDefault="00133887" w:rsidP="00133887">
      <w:pPr>
        <w:pStyle w:val="Heading2"/>
      </w:pPr>
      <w:proofErr w:type="gramStart"/>
      <w:r>
        <w:t>Supplementary Fig.</w:t>
      </w:r>
      <w:proofErr w:type="gramEnd"/>
      <w:r>
        <w:t xml:space="preserve"> S5</w:t>
      </w:r>
      <w:r w:rsidRPr="00A80349">
        <w:t xml:space="preserve">. </w:t>
      </w:r>
      <w:r>
        <w:t xml:space="preserve">Summary of </w:t>
      </w:r>
      <w:proofErr w:type="spellStart"/>
      <w:r w:rsidRPr="00A80349">
        <w:t>Toca</w:t>
      </w:r>
      <w:proofErr w:type="spellEnd"/>
      <w:r w:rsidRPr="00A80349">
        <w:t xml:space="preserve"> 511 integration profile</w:t>
      </w:r>
      <w:r>
        <w:t xml:space="preserve"> results</w:t>
      </w:r>
      <w:r w:rsidRPr="00A80349">
        <w:t xml:space="preserve"> from patient samples.</w:t>
      </w:r>
    </w:p>
    <w:p w:rsidR="00133887" w:rsidRDefault="00133887" w:rsidP="00133887">
      <w:pPr>
        <w:pStyle w:val="ListParagraph"/>
        <w:numPr>
          <w:ilvl w:val="0"/>
          <w:numId w:val="1"/>
        </w:numPr>
        <w:spacing w:line="480" w:lineRule="auto"/>
        <w:rPr>
          <w:sz w:val="24"/>
          <w:szCs w:val="24"/>
        </w:rPr>
      </w:pPr>
      <w:proofErr w:type="spellStart"/>
      <w:r w:rsidRPr="00D10861">
        <w:rPr>
          <w:sz w:val="24"/>
          <w:szCs w:val="24"/>
        </w:rPr>
        <w:t>Barplot</w:t>
      </w:r>
      <w:proofErr w:type="spellEnd"/>
      <w:r w:rsidRPr="00D10861">
        <w:rPr>
          <w:sz w:val="24"/>
          <w:szCs w:val="24"/>
        </w:rPr>
        <w:t xml:space="preserve"> showing the number of integration events identified in each sample. </w:t>
      </w:r>
    </w:p>
    <w:p w:rsidR="00133887" w:rsidRPr="00D10861" w:rsidRDefault="00133887" w:rsidP="00133887">
      <w:pPr>
        <w:pStyle w:val="ListParagraph"/>
        <w:numPr>
          <w:ilvl w:val="0"/>
          <w:numId w:val="1"/>
        </w:numPr>
        <w:spacing w:line="480" w:lineRule="auto"/>
        <w:rPr>
          <w:sz w:val="24"/>
          <w:szCs w:val="24"/>
        </w:rPr>
      </w:pPr>
      <w:r w:rsidRPr="00D10861">
        <w:rPr>
          <w:sz w:val="24"/>
          <w:szCs w:val="24"/>
        </w:rPr>
        <w:t xml:space="preserve">Scatterplot between the total </w:t>
      </w:r>
      <w:proofErr w:type="gramStart"/>
      <w:r w:rsidRPr="00D10861">
        <w:rPr>
          <w:sz w:val="24"/>
          <w:szCs w:val="24"/>
        </w:rPr>
        <w:t>number</w:t>
      </w:r>
      <w:proofErr w:type="gramEnd"/>
      <w:r w:rsidRPr="00D10861">
        <w:rPr>
          <w:sz w:val="24"/>
          <w:szCs w:val="24"/>
        </w:rPr>
        <w:t xml:space="preserve"> of reads that mapped to the human genome </w:t>
      </w:r>
      <w:r>
        <w:rPr>
          <w:sz w:val="24"/>
          <w:szCs w:val="24"/>
        </w:rPr>
        <w:t>(x-axis) versus the</w:t>
      </w:r>
      <w:r w:rsidRPr="00D10861">
        <w:rPr>
          <w:sz w:val="24"/>
          <w:szCs w:val="24"/>
        </w:rPr>
        <w:t xml:space="preserve"> total number of integration events for each sample</w:t>
      </w:r>
      <w:r>
        <w:rPr>
          <w:sz w:val="24"/>
          <w:szCs w:val="24"/>
        </w:rPr>
        <w:t xml:space="preserve"> (y-axis)</w:t>
      </w:r>
      <w:r w:rsidRPr="00D10861">
        <w:rPr>
          <w:sz w:val="24"/>
          <w:szCs w:val="24"/>
        </w:rPr>
        <w:t xml:space="preserve">. </w:t>
      </w:r>
    </w:p>
    <w:p w:rsidR="00133887" w:rsidRPr="00A80349" w:rsidRDefault="00133887" w:rsidP="00133887">
      <w:pPr>
        <w:pStyle w:val="Heading2"/>
      </w:pPr>
      <w:proofErr w:type="gramStart"/>
      <w:r>
        <w:lastRenderedPageBreak/>
        <w:t>Supplementary Fig.</w:t>
      </w:r>
      <w:proofErr w:type="gramEnd"/>
      <w:r>
        <w:t xml:space="preserve"> S6</w:t>
      </w:r>
      <w:r w:rsidRPr="00A80349">
        <w:t xml:space="preserve">. </w:t>
      </w:r>
      <w:proofErr w:type="gramStart"/>
      <w:r w:rsidRPr="00A80349">
        <w:t>Integration site upstream of CAMLG.</w:t>
      </w:r>
      <w:proofErr w:type="gramEnd"/>
    </w:p>
    <w:p w:rsidR="00133887" w:rsidRPr="004D38D6" w:rsidRDefault="00133887" w:rsidP="00133887">
      <w:pPr>
        <w:pStyle w:val="ListParagraph"/>
        <w:numPr>
          <w:ilvl w:val="0"/>
          <w:numId w:val="3"/>
        </w:numPr>
        <w:spacing w:line="480" w:lineRule="auto"/>
        <w:rPr>
          <w:sz w:val="24"/>
          <w:szCs w:val="24"/>
        </w:rPr>
      </w:pPr>
      <w:r>
        <w:rPr>
          <w:sz w:val="24"/>
          <w:szCs w:val="24"/>
        </w:rPr>
        <w:t>Follow-up analyses on patient 11_33 blood samples show there</w:t>
      </w:r>
      <w:r w:rsidRPr="008B3F17">
        <w:rPr>
          <w:sz w:val="24"/>
          <w:szCs w:val="24"/>
        </w:rPr>
        <w:t xml:space="preserve"> is no overlap in integration sites </w:t>
      </w:r>
      <w:r>
        <w:rPr>
          <w:sz w:val="24"/>
          <w:szCs w:val="24"/>
        </w:rPr>
        <w:t>identified from</w:t>
      </w:r>
      <w:r w:rsidRPr="008B3F17">
        <w:rPr>
          <w:sz w:val="24"/>
          <w:szCs w:val="24"/>
        </w:rPr>
        <w:t xml:space="preserve"> technical </w:t>
      </w:r>
      <w:r>
        <w:rPr>
          <w:sz w:val="24"/>
          <w:szCs w:val="24"/>
        </w:rPr>
        <w:t xml:space="preserve">replicates </w:t>
      </w:r>
      <w:r w:rsidRPr="008B3F17">
        <w:rPr>
          <w:sz w:val="24"/>
          <w:szCs w:val="24"/>
        </w:rPr>
        <w:t xml:space="preserve">and </w:t>
      </w:r>
      <w:r>
        <w:rPr>
          <w:sz w:val="24"/>
          <w:szCs w:val="24"/>
        </w:rPr>
        <w:t>different time points</w:t>
      </w:r>
      <w:r w:rsidRPr="00B52B53">
        <w:rPr>
          <w:sz w:val="24"/>
          <w:szCs w:val="24"/>
        </w:rPr>
        <w:t xml:space="preserve">, suggesting </w:t>
      </w:r>
      <w:r>
        <w:rPr>
          <w:sz w:val="24"/>
          <w:szCs w:val="24"/>
        </w:rPr>
        <w:t xml:space="preserve">that the </w:t>
      </w:r>
      <w:r w:rsidRPr="004D38D6">
        <w:rPr>
          <w:sz w:val="24"/>
          <w:szCs w:val="24"/>
        </w:rPr>
        <w:t>apparent multiple sites obtain</w:t>
      </w:r>
      <w:r>
        <w:rPr>
          <w:sz w:val="24"/>
          <w:szCs w:val="24"/>
        </w:rPr>
        <w:t>ed</w:t>
      </w:r>
      <w:r w:rsidRPr="004D38D6">
        <w:rPr>
          <w:sz w:val="24"/>
          <w:szCs w:val="24"/>
        </w:rPr>
        <w:t xml:space="preserve"> from sample 4A are artefactual.</w:t>
      </w:r>
    </w:p>
    <w:p w:rsidR="00133887" w:rsidRPr="008B3F17" w:rsidRDefault="00133887" w:rsidP="00133887">
      <w:pPr>
        <w:pStyle w:val="ListParagraph"/>
        <w:numPr>
          <w:ilvl w:val="0"/>
          <w:numId w:val="3"/>
        </w:numPr>
        <w:spacing w:line="480" w:lineRule="auto"/>
        <w:rPr>
          <w:sz w:val="24"/>
          <w:szCs w:val="24"/>
        </w:rPr>
      </w:pPr>
      <w:r w:rsidRPr="006432BB">
        <w:rPr>
          <w:sz w:val="24"/>
          <w:szCs w:val="24"/>
        </w:rPr>
        <w:t xml:space="preserve">Genome browser view of read pairs that mapped to a region immediately upstream of CAMLG from blood sample 4A from patient </w:t>
      </w:r>
      <w:r>
        <w:rPr>
          <w:sz w:val="24"/>
          <w:szCs w:val="24"/>
        </w:rPr>
        <w:t>11_</w:t>
      </w:r>
      <w:r w:rsidRPr="006432BB">
        <w:rPr>
          <w:sz w:val="24"/>
          <w:szCs w:val="24"/>
        </w:rPr>
        <w:t>33. The paired reads map to an ALU element adjacent to the integration site and most contain multiple mismatches</w:t>
      </w:r>
      <w:r>
        <w:rPr>
          <w:sz w:val="24"/>
          <w:szCs w:val="24"/>
        </w:rPr>
        <w:t xml:space="preserve"> with the reference genome sequence</w:t>
      </w:r>
      <w:r w:rsidRPr="006432BB">
        <w:rPr>
          <w:sz w:val="24"/>
          <w:szCs w:val="24"/>
        </w:rPr>
        <w:t xml:space="preserve"> (color coded).</w:t>
      </w:r>
    </w:p>
    <w:p w:rsidR="00133887" w:rsidRPr="004D38D6" w:rsidRDefault="00133887" w:rsidP="00133887">
      <w:pPr>
        <w:pStyle w:val="ListParagraph"/>
        <w:numPr>
          <w:ilvl w:val="0"/>
          <w:numId w:val="3"/>
        </w:numPr>
        <w:spacing w:line="480" w:lineRule="auto"/>
        <w:rPr>
          <w:sz w:val="24"/>
          <w:szCs w:val="24"/>
        </w:rPr>
      </w:pPr>
      <w:r w:rsidRPr="00B52B53">
        <w:rPr>
          <w:sz w:val="24"/>
          <w:szCs w:val="24"/>
        </w:rPr>
        <w:t>Simulation showing that bas</w:t>
      </w:r>
      <w:r w:rsidRPr="004D38D6">
        <w:rPr>
          <w:sz w:val="24"/>
          <w:szCs w:val="24"/>
        </w:rPr>
        <w:t xml:space="preserve">ed on replicate experiment in which 60 unique sites were obtained from blood sample visit 4A from patient </w:t>
      </w:r>
      <w:r>
        <w:rPr>
          <w:sz w:val="24"/>
          <w:szCs w:val="24"/>
        </w:rPr>
        <w:t>11_</w:t>
      </w:r>
      <w:r w:rsidRPr="004D38D6">
        <w:rPr>
          <w:sz w:val="24"/>
          <w:szCs w:val="24"/>
        </w:rPr>
        <w:t>33 the likelihood that one site is actually present at various percentages (x-axis) given 100,</w:t>
      </w:r>
      <w:r>
        <w:rPr>
          <w:sz w:val="24"/>
          <w:szCs w:val="24"/>
        </w:rPr>
        <w:t xml:space="preserve"> </w:t>
      </w:r>
      <w:r w:rsidRPr="004D38D6">
        <w:rPr>
          <w:sz w:val="24"/>
          <w:szCs w:val="24"/>
        </w:rPr>
        <w:t>1000 or 10000 actual sites in total.</w:t>
      </w:r>
    </w:p>
    <w:p w:rsidR="00133887" w:rsidRPr="00A80349" w:rsidRDefault="00133887" w:rsidP="00133887">
      <w:pPr>
        <w:pStyle w:val="Heading2"/>
      </w:pPr>
      <w:proofErr w:type="gramStart"/>
      <w:r>
        <w:t>Supplementary Fig.</w:t>
      </w:r>
      <w:proofErr w:type="gramEnd"/>
      <w:r>
        <w:t xml:space="preserve"> S7</w:t>
      </w:r>
      <w:r w:rsidRPr="00A80349">
        <w:t xml:space="preserve">. </w:t>
      </w:r>
      <w:proofErr w:type="gramStart"/>
      <w:r>
        <w:t xml:space="preserve">PCR amplification of </w:t>
      </w:r>
      <w:proofErr w:type="spellStart"/>
      <w:r>
        <w:t>Toca</w:t>
      </w:r>
      <w:proofErr w:type="spellEnd"/>
      <w:r>
        <w:t xml:space="preserve"> 511 genomes</w:t>
      </w:r>
      <w:r w:rsidRPr="00A80349">
        <w:t>.</w:t>
      </w:r>
      <w:proofErr w:type="gramEnd"/>
    </w:p>
    <w:p w:rsidR="00133887" w:rsidRDefault="00133887" w:rsidP="00133887">
      <w:pPr>
        <w:spacing w:line="480" w:lineRule="auto"/>
        <w:rPr>
          <w:sz w:val="24"/>
        </w:rPr>
      </w:pPr>
      <w:r w:rsidRPr="00A978B8">
        <w:rPr>
          <w:sz w:val="24"/>
        </w:rPr>
        <w:t xml:space="preserve">Cartoon showing genome organization of </w:t>
      </w:r>
      <w:proofErr w:type="spellStart"/>
      <w:r w:rsidRPr="00A978B8">
        <w:rPr>
          <w:sz w:val="24"/>
        </w:rPr>
        <w:t>Toca</w:t>
      </w:r>
      <w:proofErr w:type="spellEnd"/>
      <w:r w:rsidRPr="00A978B8">
        <w:rPr>
          <w:sz w:val="24"/>
        </w:rPr>
        <w:t xml:space="preserve"> 511 and PCR amplicons used for </w:t>
      </w:r>
      <w:proofErr w:type="spellStart"/>
      <w:r w:rsidRPr="00A978B8">
        <w:rPr>
          <w:sz w:val="24"/>
        </w:rPr>
        <w:t>Toca</w:t>
      </w:r>
      <w:proofErr w:type="spellEnd"/>
      <w:r w:rsidRPr="00A978B8">
        <w:rPr>
          <w:sz w:val="24"/>
        </w:rPr>
        <w:t xml:space="preserve"> 511 amplification and sequencing.</w:t>
      </w:r>
    </w:p>
    <w:p w:rsidR="00133887" w:rsidRPr="002416AA" w:rsidRDefault="00133887" w:rsidP="00133887">
      <w:pPr>
        <w:pStyle w:val="Heading2"/>
      </w:pPr>
      <w:proofErr w:type="gramStart"/>
      <w:r w:rsidRPr="002416AA">
        <w:t xml:space="preserve">Supplementary </w:t>
      </w:r>
      <w:r>
        <w:t>Fig.</w:t>
      </w:r>
      <w:proofErr w:type="gramEnd"/>
      <w:r>
        <w:t xml:space="preserve"> S8</w:t>
      </w:r>
      <w:r w:rsidRPr="002416AA">
        <w:t xml:space="preserve">. Summary of </w:t>
      </w:r>
      <w:proofErr w:type="spellStart"/>
      <w:r w:rsidRPr="002416AA">
        <w:t>indels</w:t>
      </w:r>
      <w:proofErr w:type="spellEnd"/>
      <w:r w:rsidRPr="002416AA">
        <w:t xml:space="preserve"> identified in </w:t>
      </w:r>
      <w:proofErr w:type="spellStart"/>
      <w:r w:rsidRPr="002416AA">
        <w:t>Toca</w:t>
      </w:r>
      <w:proofErr w:type="spellEnd"/>
      <w:r w:rsidRPr="002416AA">
        <w:t xml:space="preserve"> 511 genomes.</w:t>
      </w:r>
    </w:p>
    <w:p w:rsidR="00133887" w:rsidRPr="002D4D76" w:rsidRDefault="00133887" w:rsidP="00133887">
      <w:pPr>
        <w:pStyle w:val="ListParagraph"/>
        <w:numPr>
          <w:ilvl w:val="0"/>
          <w:numId w:val="9"/>
        </w:numPr>
        <w:spacing w:line="480" w:lineRule="auto"/>
        <w:rPr>
          <w:b/>
          <w:sz w:val="24"/>
          <w:szCs w:val="24"/>
        </w:rPr>
      </w:pPr>
      <w:r w:rsidRPr="002D4D76">
        <w:rPr>
          <w:sz w:val="24"/>
          <w:szCs w:val="24"/>
        </w:rPr>
        <w:t xml:space="preserve">Boxplot showing the total number of </w:t>
      </w:r>
      <w:proofErr w:type="spellStart"/>
      <w:r w:rsidRPr="002D4D76">
        <w:rPr>
          <w:sz w:val="24"/>
          <w:szCs w:val="24"/>
        </w:rPr>
        <w:t>indels</w:t>
      </w:r>
      <w:proofErr w:type="spellEnd"/>
      <w:r w:rsidRPr="002D4D76">
        <w:rPr>
          <w:sz w:val="24"/>
          <w:szCs w:val="24"/>
        </w:rPr>
        <w:t xml:space="preserve"> from different classes of samples at a frequency threshold of 3%: </w:t>
      </w:r>
      <w:proofErr w:type="spellStart"/>
      <w:r w:rsidRPr="002D4D76">
        <w:rPr>
          <w:sz w:val="24"/>
          <w:szCs w:val="24"/>
        </w:rPr>
        <w:t>Toca</w:t>
      </w:r>
      <w:proofErr w:type="spellEnd"/>
      <w:r w:rsidRPr="002D4D76">
        <w:rPr>
          <w:sz w:val="24"/>
          <w:szCs w:val="24"/>
        </w:rPr>
        <w:t xml:space="preserve"> 511 containing plasmid and cell lines (black, n=4)</w:t>
      </w:r>
      <w:r w:rsidRPr="002D4D76">
        <w:rPr>
          <w:b/>
          <w:sz w:val="24"/>
          <w:szCs w:val="24"/>
        </w:rPr>
        <w:t xml:space="preserve">, </w:t>
      </w:r>
      <w:r w:rsidRPr="002D4D76">
        <w:rPr>
          <w:sz w:val="24"/>
          <w:szCs w:val="24"/>
        </w:rPr>
        <w:t xml:space="preserve">blood (red, n=3), brain tumors re-resected after further progression of disease after </w:t>
      </w:r>
      <w:proofErr w:type="spellStart"/>
      <w:r w:rsidRPr="002D4D76">
        <w:rPr>
          <w:sz w:val="24"/>
          <w:szCs w:val="24"/>
        </w:rPr>
        <w:t>Toca</w:t>
      </w:r>
      <w:proofErr w:type="spellEnd"/>
      <w:r w:rsidRPr="002D4D76">
        <w:rPr>
          <w:sz w:val="24"/>
          <w:szCs w:val="24"/>
        </w:rPr>
        <w:t xml:space="preserve"> 511 delivery (magenta, n=4), brain tumors following IV dosing prior to </w:t>
      </w:r>
      <w:proofErr w:type="spellStart"/>
      <w:r w:rsidRPr="002D4D76">
        <w:rPr>
          <w:sz w:val="24"/>
          <w:szCs w:val="24"/>
        </w:rPr>
        <w:t>Toca</w:t>
      </w:r>
      <w:proofErr w:type="spellEnd"/>
      <w:r w:rsidRPr="002D4D76">
        <w:rPr>
          <w:sz w:val="24"/>
          <w:szCs w:val="24"/>
        </w:rPr>
        <w:t xml:space="preserve"> FC treatment (blue, n=6).</w:t>
      </w:r>
    </w:p>
    <w:p w:rsidR="00133887" w:rsidRPr="002D4D76" w:rsidRDefault="00133887" w:rsidP="00133887">
      <w:pPr>
        <w:pStyle w:val="ListParagraph"/>
        <w:numPr>
          <w:ilvl w:val="0"/>
          <w:numId w:val="9"/>
        </w:numPr>
        <w:spacing w:line="480" w:lineRule="auto"/>
        <w:rPr>
          <w:sz w:val="24"/>
          <w:szCs w:val="24"/>
        </w:rPr>
      </w:pPr>
      <w:proofErr w:type="spellStart"/>
      <w:r w:rsidRPr="002D4D76">
        <w:rPr>
          <w:sz w:val="24"/>
          <w:szCs w:val="24"/>
        </w:rPr>
        <w:t>Barplot</w:t>
      </w:r>
      <w:proofErr w:type="spellEnd"/>
      <w:r w:rsidRPr="002D4D76">
        <w:rPr>
          <w:sz w:val="24"/>
          <w:szCs w:val="24"/>
        </w:rPr>
        <w:t xml:space="preserve"> showing the fraction of </w:t>
      </w:r>
      <w:proofErr w:type="spellStart"/>
      <w:r w:rsidRPr="002D4D76">
        <w:rPr>
          <w:sz w:val="24"/>
          <w:szCs w:val="24"/>
        </w:rPr>
        <w:t>indels</w:t>
      </w:r>
      <w:proofErr w:type="spellEnd"/>
      <w:r w:rsidRPr="002D4D76">
        <w:rPr>
          <w:sz w:val="24"/>
          <w:szCs w:val="24"/>
        </w:rPr>
        <w:t xml:space="preserve"> across all patients from whom data could be obtained, with frequency 3-10 % (light green), 10-30% (green) and greater than 30% (dark green). </w:t>
      </w:r>
    </w:p>
    <w:p w:rsidR="00133887" w:rsidRPr="00A80349" w:rsidRDefault="00133887" w:rsidP="00133887">
      <w:pPr>
        <w:pStyle w:val="Heading2"/>
      </w:pPr>
      <w:proofErr w:type="gramStart"/>
      <w:r>
        <w:lastRenderedPageBreak/>
        <w:t>Supplementary Fig.</w:t>
      </w:r>
      <w:proofErr w:type="gramEnd"/>
      <w:r>
        <w:t xml:space="preserve"> S9</w:t>
      </w:r>
      <w:r w:rsidRPr="00A80349">
        <w:t xml:space="preserve">. </w:t>
      </w:r>
      <w:proofErr w:type="gramStart"/>
      <w:r w:rsidRPr="00A80349">
        <w:t xml:space="preserve">Cytosine deaminase multiple </w:t>
      </w:r>
      <w:r>
        <w:t xml:space="preserve">sequence </w:t>
      </w:r>
      <w:r w:rsidRPr="00A80349">
        <w:t>alignment.</w:t>
      </w:r>
      <w:proofErr w:type="gramEnd"/>
    </w:p>
    <w:p w:rsidR="00133887" w:rsidRPr="006432BB" w:rsidRDefault="00133887" w:rsidP="00133887">
      <w:pPr>
        <w:spacing w:line="480" w:lineRule="auto"/>
        <w:rPr>
          <w:sz w:val="24"/>
          <w:szCs w:val="24"/>
        </w:rPr>
      </w:pPr>
      <w:proofErr w:type="gramStart"/>
      <w:r w:rsidRPr="006432BB">
        <w:rPr>
          <w:sz w:val="24"/>
          <w:szCs w:val="24"/>
        </w:rPr>
        <w:t xml:space="preserve">Alignment of yCD2, its </w:t>
      </w:r>
      <w:r w:rsidRPr="006432BB">
        <w:rPr>
          <w:i/>
          <w:sz w:val="24"/>
          <w:szCs w:val="24"/>
        </w:rPr>
        <w:t>S. cerevisiae</w:t>
      </w:r>
      <w:r w:rsidRPr="006432BB">
        <w:rPr>
          <w:sz w:val="24"/>
          <w:szCs w:val="24"/>
        </w:rPr>
        <w:t xml:space="preserve"> parent and representative </w:t>
      </w:r>
      <w:proofErr w:type="spellStart"/>
      <w:r w:rsidRPr="006432BB">
        <w:rPr>
          <w:sz w:val="24"/>
          <w:szCs w:val="24"/>
        </w:rPr>
        <w:t>orthologs</w:t>
      </w:r>
      <w:proofErr w:type="spellEnd"/>
      <w:r w:rsidRPr="006432BB">
        <w:rPr>
          <w:sz w:val="24"/>
          <w:szCs w:val="24"/>
        </w:rPr>
        <w:t xml:space="preserve"> from other fungal species.</w:t>
      </w:r>
      <w:proofErr w:type="gramEnd"/>
      <w:r w:rsidRPr="006432BB">
        <w:rPr>
          <w:sz w:val="24"/>
          <w:szCs w:val="24"/>
        </w:rPr>
        <w:t xml:space="preserve"> Conservation is indicated on a white to grey scale and also show</w:t>
      </w:r>
      <w:r>
        <w:rPr>
          <w:sz w:val="24"/>
          <w:szCs w:val="24"/>
        </w:rPr>
        <w:t>n</w:t>
      </w:r>
      <w:r w:rsidRPr="006432BB">
        <w:rPr>
          <w:sz w:val="24"/>
          <w:szCs w:val="24"/>
        </w:rPr>
        <w:t xml:space="preserve"> below </w:t>
      </w:r>
      <w:r>
        <w:rPr>
          <w:sz w:val="24"/>
          <w:szCs w:val="24"/>
        </w:rPr>
        <w:t xml:space="preserve">the alignment </w:t>
      </w:r>
      <w:r w:rsidRPr="006432BB">
        <w:rPr>
          <w:sz w:val="24"/>
          <w:szCs w:val="24"/>
        </w:rPr>
        <w:t xml:space="preserve">as a </w:t>
      </w:r>
      <w:proofErr w:type="spellStart"/>
      <w:r w:rsidRPr="006432BB">
        <w:rPr>
          <w:sz w:val="24"/>
          <w:szCs w:val="24"/>
        </w:rPr>
        <w:t>barplot</w:t>
      </w:r>
      <w:proofErr w:type="spellEnd"/>
      <w:r>
        <w:rPr>
          <w:sz w:val="24"/>
          <w:szCs w:val="24"/>
        </w:rPr>
        <w:t xml:space="preserve">, where the color code and numbers indicate sequence identity/conservation. </w:t>
      </w:r>
      <w:r w:rsidRPr="006432BB">
        <w:rPr>
          <w:sz w:val="24"/>
          <w:szCs w:val="24"/>
        </w:rPr>
        <w:t>W10 in yCD2 is at position 10, enclosed in a green box.</w:t>
      </w:r>
    </w:p>
    <w:p w:rsidR="00133887" w:rsidRPr="00A80349" w:rsidRDefault="00133887" w:rsidP="00133887">
      <w:pPr>
        <w:pStyle w:val="Heading2"/>
      </w:pPr>
      <w:r w:rsidRPr="008B38E5">
        <w:t xml:space="preserve"> </w:t>
      </w:r>
      <w:proofErr w:type="gramStart"/>
      <w:r>
        <w:t>Supplementary Fig.</w:t>
      </w:r>
      <w:proofErr w:type="gramEnd"/>
      <w:r>
        <w:t xml:space="preserve"> S10</w:t>
      </w:r>
      <w:r w:rsidRPr="00A80349">
        <w:t xml:space="preserve">. </w:t>
      </w:r>
      <w:proofErr w:type="gramStart"/>
      <w:r w:rsidRPr="00A80349">
        <w:t>Inactivating mutations in yCD2.</w:t>
      </w:r>
      <w:proofErr w:type="gramEnd"/>
    </w:p>
    <w:p w:rsidR="00133887" w:rsidRPr="008B3F17" w:rsidRDefault="00133887" w:rsidP="00133887">
      <w:pPr>
        <w:pStyle w:val="ListParagraph"/>
        <w:numPr>
          <w:ilvl w:val="0"/>
          <w:numId w:val="5"/>
        </w:numPr>
        <w:spacing w:line="480" w:lineRule="auto"/>
        <w:rPr>
          <w:sz w:val="24"/>
          <w:szCs w:val="24"/>
        </w:rPr>
      </w:pPr>
      <w:r w:rsidRPr="006432BB">
        <w:rPr>
          <w:sz w:val="24"/>
          <w:szCs w:val="24"/>
        </w:rPr>
        <w:t xml:space="preserve">Table showing the </w:t>
      </w:r>
      <w:r>
        <w:rPr>
          <w:sz w:val="24"/>
          <w:szCs w:val="24"/>
        </w:rPr>
        <w:t>percentage frequencies</w:t>
      </w:r>
      <w:r w:rsidRPr="006432BB">
        <w:rPr>
          <w:sz w:val="24"/>
          <w:szCs w:val="24"/>
        </w:rPr>
        <w:t xml:space="preserve"> of three mutations that are expected to inactivate yCD2. The first set of columns corresponds to values obtained from targeted yCD2 sequencing and the second set of columns corresponds to values obtain from </w:t>
      </w:r>
      <w:proofErr w:type="spellStart"/>
      <w:r w:rsidRPr="006432BB">
        <w:rPr>
          <w:sz w:val="24"/>
          <w:szCs w:val="24"/>
        </w:rPr>
        <w:t>Toca</w:t>
      </w:r>
      <w:proofErr w:type="spellEnd"/>
      <w:r w:rsidRPr="006432BB">
        <w:rPr>
          <w:sz w:val="24"/>
          <w:szCs w:val="24"/>
        </w:rPr>
        <w:t xml:space="preserve"> 511 sequencing. The “functional” column is 100 minus the maximum of the three mutations and does not take into account that mutations may occur </w:t>
      </w:r>
      <w:r>
        <w:rPr>
          <w:sz w:val="24"/>
          <w:szCs w:val="24"/>
        </w:rPr>
        <w:t>independently</w:t>
      </w:r>
      <w:r w:rsidRPr="006432BB">
        <w:rPr>
          <w:sz w:val="24"/>
          <w:szCs w:val="24"/>
        </w:rPr>
        <w:t>.</w:t>
      </w:r>
    </w:p>
    <w:p w:rsidR="00133887" w:rsidRPr="004D38D6" w:rsidRDefault="00133887" w:rsidP="00133887">
      <w:pPr>
        <w:pStyle w:val="ListParagraph"/>
        <w:numPr>
          <w:ilvl w:val="0"/>
          <w:numId w:val="5"/>
        </w:numPr>
        <w:spacing w:line="480" w:lineRule="auto"/>
        <w:rPr>
          <w:sz w:val="24"/>
          <w:szCs w:val="24"/>
        </w:rPr>
      </w:pPr>
      <w:r w:rsidRPr="00B52B53">
        <w:rPr>
          <w:sz w:val="24"/>
          <w:szCs w:val="24"/>
        </w:rPr>
        <w:t xml:space="preserve">Scatterplot comparing mutation </w:t>
      </w:r>
      <w:r>
        <w:rPr>
          <w:sz w:val="24"/>
          <w:szCs w:val="24"/>
        </w:rPr>
        <w:t>percentage</w:t>
      </w:r>
      <w:r w:rsidRPr="00B52B53">
        <w:rPr>
          <w:sz w:val="24"/>
          <w:szCs w:val="24"/>
        </w:rPr>
        <w:t xml:space="preserve"> of the three inactivating mutations according t</w:t>
      </w:r>
      <w:r w:rsidRPr="004D38D6">
        <w:rPr>
          <w:sz w:val="24"/>
          <w:szCs w:val="24"/>
        </w:rPr>
        <w:t xml:space="preserve">o yCD2 sequencing (x-axis) </w:t>
      </w:r>
      <w:r>
        <w:rPr>
          <w:sz w:val="24"/>
          <w:szCs w:val="24"/>
        </w:rPr>
        <w:t>versus</w:t>
      </w:r>
      <w:r w:rsidRPr="004D38D6">
        <w:rPr>
          <w:sz w:val="24"/>
          <w:szCs w:val="24"/>
        </w:rPr>
        <w:t xml:space="preserve"> </w:t>
      </w:r>
      <w:proofErr w:type="spellStart"/>
      <w:r w:rsidRPr="004D38D6">
        <w:rPr>
          <w:sz w:val="24"/>
          <w:szCs w:val="24"/>
        </w:rPr>
        <w:t>Toca</w:t>
      </w:r>
      <w:proofErr w:type="spellEnd"/>
      <w:r w:rsidRPr="004D38D6">
        <w:rPr>
          <w:sz w:val="24"/>
          <w:szCs w:val="24"/>
        </w:rPr>
        <w:t xml:space="preserve"> 511 sequencing (y-axis).</w:t>
      </w:r>
    </w:p>
    <w:p w:rsidR="00133887" w:rsidRPr="00A80349" w:rsidRDefault="00133887" w:rsidP="00133887">
      <w:pPr>
        <w:pStyle w:val="Heading2"/>
      </w:pPr>
      <w:proofErr w:type="gramStart"/>
      <w:r>
        <w:t>Supplementary Fig.</w:t>
      </w:r>
      <w:proofErr w:type="gramEnd"/>
      <w:r>
        <w:t xml:space="preserve"> S11</w:t>
      </w:r>
      <w:r w:rsidRPr="00A80349">
        <w:t xml:space="preserve">. </w:t>
      </w:r>
      <w:proofErr w:type="gramStart"/>
      <w:r w:rsidRPr="00A80349">
        <w:t>yCD2</w:t>
      </w:r>
      <w:proofErr w:type="gramEnd"/>
      <w:r w:rsidRPr="00A80349">
        <w:t xml:space="preserve"> sequencing technical replicates match.</w:t>
      </w:r>
    </w:p>
    <w:p w:rsidR="00133887" w:rsidRPr="006432BB" w:rsidRDefault="00133887" w:rsidP="00133887">
      <w:pPr>
        <w:pStyle w:val="ListParagraph"/>
        <w:numPr>
          <w:ilvl w:val="0"/>
          <w:numId w:val="6"/>
        </w:numPr>
        <w:spacing w:line="480" w:lineRule="auto"/>
        <w:rPr>
          <w:sz w:val="24"/>
          <w:szCs w:val="24"/>
        </w:rPr>
      </w:pPr>
      <w:r w:rsidRPr="006432BB">
        <w:rPr>
          <w:sz w:val="24"/>
          <w:szCs w:val="24"/>
        </w:rPr>
        <w:t xml:space="preserve">Scatterplot comparing mutation frequencies across yCD2 for two technical replicates of 11_06 visit 5 </w:t>
      </w:r>
      <w:proofErr w:type="gramStart"/>
      <w:r w:rsidRPr="006432BB">
        <w:rPr>
          <w:sz w:val="24"/>
          <w:szCs w:val="24"/>
        </w:rPr>
        <w:t>blood</w:t>
      </w:r>
      <w:proofErr w:type="gramEnd"/>
      <w:r w:rsidRPr="006432BB">
        <w:rPr>
          <w:sz w:val="24"/>
          <w:szCs w:val="24"/>
        </w:rPr>
        <w:t>.</w:t>
      </w:r>
    </w:p>
    <w:p w:rsidR="00133887" w:rsidRPr="008B3F17" w:rsidRDefault="00133887" w:rsidP="00133887">
      <w:pPr>
        <w:pStyle w:val="ListParagraph"/>
        <w:numPr>
          <w:ilvl w:val="0"/>
          <w:numId w:val="6"/>
        </w:numPr>
        <w:spacing w:line="480" w:lineRule="auto"/>
        <w:rPr>
          <w:sz w:val="24"/>
          <w:szCs w:val="24"/>
        </w:rPr>
      </w:pPr>
      <w:r w:rsidRPr="008B3F17">
        <w:rPr>
          <w:sz w:val="24"/>
          <w:szCs w:val="24"/>
        </w:rPr>
        <w:t xml:space="preserve">Same as (A) except for 11_33 visit 4 </w:t>
      </w:r>
      <w:proofErr w:type="gramStart"/>
      <w:r w:rsidRPr="008B3F17">
        <w:rPr>
          <w:sz w:val="24"/>
          <w:szCs w:val="24"/>
        </w:rPr>
        <w:t>blood</w:t>
      </w:r>
      <w:proofErr w:type="gramEnd"/>
      <w:r w:rsidRPr="008B3F17">
        <w:rPr>
          <w:sz w:val="24"/>
          <w:szCs w:val="24"/>
        </w:rPr>
        <w:t>.</w:t>
      </w:r>
    </w:p>
    <w:p w:rsidR="00133887" w:rsidRPr="00B52B53" w:rsidRDefault="00133887" w:rsidP="00133887">
      <w:pPr>
        <w:pStyle w:val="ListParagraph"/>
        <w:numPr>
          <w:ilvl w:val="0"/>
          <w:numId w:val="6"/>
        </w:numPr>
        <w:spacing w:line="480" w:lineRule="auto"/>
        <w:rPr>
          <w:sz w:val="24"/>
          <w:szCs w:val="24"/>
        </w:rPr>
      </w:pPr>
      <w:r w:rsidRPr="00B52B53">
        <w:rPr>
          <w:sz w:val="24"/>
          <w:szCs w:val="24"/>
        </w:rPr>
        <w:t xml:space="preserve">Same as (A) except for 11_33 visit 7 </w:t>
      </w:r>
      <w:proofErr w:type="gramStart"/>
      <w:r w:rsidRPr="00B52B53">
        <w:rPr>
          <w:sz w:val="24"/>
          <w:szCs w:val="24"/>
        </w:rPr>
        <w:t>blood</w:t>
      </w:r>
      <w:proofErr w:type="gramEnd"/>
      <w:r w:rsidRPr="00B52B53">
        <w:rPr>
          <w:sz w:val="24"/>
          <w:szCs w:val="24"/>
        </w:rPr>
        <w:t>.</w:t>
      </w:r>
    </w:p>
    <w:p w:rsidR="00133887" w:rsidRDefault="00133887" w:rsidP="00133887">
      <w:pPr>
        <w:pStyle w:val="ListParagraph"/>
        <w:numPr>
          <w:ilvl w:val="0"/>
          <w:numId w:val="6"/>
        </w:numPr>
        <w:spacing w:line="480" w:lineRule="auto"/>
        <w:rPr>
          <w:sz w:val="24"/>
          <w:szCs w:val="24"/>
        </w:rPr>
      </w:pPr>
      <w:r w:rsidRPr="004D38D6">
        <w:rPr>
          <w:sz w:val="24"/>
          <w:szCs w:val="24"/>
        </w:rPr>
        <w:t xml:space="preserve">Same as (A) except for 13_08 piece 14 </w:t>
      </w:r>
      <w:proofErr w:type="gramStart"/>
      <w:r w:rsidRPr="004D38D6">
        <w:rPr>
          <w:sz w:val="24"/>
          <w:szCs w:val="24"/>
        </w:rPr>
        <w:t>tumor</w:t>
      </w:r>
      <w:proofErr w:type="gramEnd"/>
      <w:r w:rsidRPr="004D38D6">
        <w:rPr>
          <w:sz w:val="24"/>
          <w:szCs w:val="24"/>
        </w:rPr>
        <w:t>.</w:t>
      </w:r>
    </w:p>
    <w:p w:rsidR="00133887" w:rsidRPr="00A80349" w:rsidRDefault="00133887" w:rsidP="00133887">
      <w:pPr>
        <w:pStyle w:val="Heading2"/>
      </w:pPr>
      <w:proofErr w:type="gramStart"/>
      <w:r>
        <w:t>Supplementary Fig.</w:t>
      </w:r>
      <w:proofErr w:type="gramEnd"/>
      <w:r>
        <w:t xml:space="preserve"> S12</w:t>
      </w:r>
      <w:r w:rsidRPr="00A80349">
        <w:t xml:space="preserve">. </w:t>
      </w:r>
      <w:proofErr w:type="gramStart"/>
      <w:r w:rsidRPr="00A80349">
        <w:t xml:space="preserve">Cytosine deaminase expression in tumor samples measured by </w:t>
      </w:r>
      <w:r>
        <w:t>IHC</w:t>
      </w:r>
      <w:r w:rsidRPr="00A80349">
        <w:t>.</w:t>
      </w:r>
      <w:proofErr w:type="gramEnd"/>
    </w:p>
    <w:p w:rsidR="00133887" w:rsidRPr="00387326" w:rsidRDefault="00133887" w:rsidP="00133887">
      <w:pPr>
        <w:pStyle w:val="ListParagraph"/>
        <w:numPr>
          <w:ilvl w:val="0"/>
          <w:numId w:val="8"/>
        </w:numPr>
        <w:spacing w:line="480" w:lineRule="auto"/>
        <w:rPr>
          <w:sz w:val="24"/>
          <w:szCs w:val="24"/>
        </w:rPr>
      </w:pPr>
      <w:r w:rsidRPr="00387326">
        <w:rPr>
          <w:sz w:val="24"/>
          <w:szCs w:val="24"/>
        </w:rPr>
        <w:t xml:space="preserve">IHC staining with anti-CD antibody on resected tumor sections after </w:t>
      </w:r>
      <w:proofErr w:type="spellStart"/>
      <w:r w:rsidRPr="00387326">
        <w:rPr>
          <w:sz w:val="24"/>
          <w:szCs w:val="24"/>
        </w:rPr>
        <w:t>Toca</w:t>
      </w:r>
      <w:proofErr w:type="spellEnd"/>
      <w:r w:rsidRPr="00387326">
        <w:rPr>
          <w:sz w:val="24"/>
          <w:szCs w:val="24"/>
        </w:rPr>
        <w:t xml:space="preserve"> 511 delivery and multiple cycles of </w:t>
      </w:r>
      <w:proofErr w:type="spellStart"/>
      <w:r w:rsidRPr="00387326">
        <w:rPr>
          <w:sz w:val="24"/>
          <w:szCs w:val="24"/>
        </w:rPr>
        <w:t>Toca</w:t>
      </w:r>
      <w:proofErr w:type="spellEnd"/>
      <w:r w:rsidRPr="00387326">
        <w:rPr>
          <w:sz w:val="24"/>
          <w:szCs w:val="24"/>
        </w:rPr>
        <w:t xml:space="preserve"> FC. Positive staining of CD protein in a patient 11_02 tumor section </w:t>
      </w:r>
      <w:r w:rsidRPr="00387326">
        <w:rPr>
          <w:sz w:val="24"/>
          <w:szCs w:val="24"/>
        </w:rPr>
        <w:lastRenderedPageBreak/>
        <w:t xml:space="preserve">after </w:t>
      </w:r>
      <w:proofErr w:type="spellStart"/>
      <w:r w:rsidRPr="00387326">
        <w:rPr>
          <w:sz w:val="24"/>
          <w:szCs w:val="24"/>
        </w:rPr>
        <w:t>Toca</w:t>
      </w:r>
      <w:proofErr w:type="spellEnd"/>
      <w:r w:rsidRPr="00387326">
        <w:rPr>
          <w:sz w:val="24"/>
          <w:szCs w:val="24"/>
        </w:rPr>
        <w:t xml:space="preserve"> 511 treatment and multiple cycles to </w:t>
      </w:r>
      <w:proofErr w:type="spellStart"/>
      <w:r w:rsidRPr="00387326">
        <w:rPr>
          <w:sz w:val="24"/>
          <w:szCs w:val="24"/>
        </w:rPr>
        <w:t>Toca</w:t>
      </w:r>
      <w:proofErr w:type="spellEnd"/>
      <w:r w:rsidRPr="00387326">
        <w:rPr>
          <w:sz w:val="24"/>
          <w:szCs w:val="24"/>
        </w:rPr>
        <w:t xml:space="preserve"> FC. CD protein is stained brown; nuclei are in blue. </w:t>
      </w:r>
    </w:p>
    <w:p w:rsidR="00133887" w:rsidRDefault="00133887" w:rsidP="00133887">
      <w:pPr>
        <w:pStyle w:val="ListParagraph"/>
        <w:numPr>
          <w:ilvl w:val="0"/>
          <w:numId w:val="8"/>
        </w:numPr>
        <w:spacing w:line="480" w:lineRule="auto"/>
        <w:rPr>
          <w:sz w:val="24"/>
          <w:szCs w:val="24"/>
        </w:rPr>
      </w:pPr>
      <w:r w:rsidRPr="00387326">
        <w:rPr>
          <w:sz w:val="24"/>
          <w:szCs w:val="24"/>
        </w:rPr>
        <w:t xml:space="preserve">Positive staining of CD protein in a patient 11_31 tumor section after </w:t>
      </w:r>
      <w:proofErr w:type="spellStart"/>
      <w:r w:rsidRPr="00387326">
        <w:rPr>
          <w:sz w:val="24"/>
          <w:szCs w:val="24"/>
        </w:rPr>
        <w:t>Toca</w:t>
      </w:r>
      <w:proofErr w:type="spellEnd"/>
      <w:r w:rsidRPr="00387326">
        <w:rPr>
          <w:sz w:val="24"/>
          <w:szCs w:val="24"/>
        </w:rPr>
        <w:t xml:space="preserve"> 511 treatment and a single cycle to </w:t>
      </w:r>
      <w:proofErr w:type="spellStart"/>
      <w:r w:rsidRPr="00387326">
        <w:rPr>
          <w:sz w:val="24"/>
          <w:szCs w:val="24"/>
        </w:rPr>
        <w:t>Toca</w:t>
      </w:r>
      <w:proofErr w:type="spellEnd"/>
      <w:r w:rsidRPr="00387326">
        <w:rPr>
          <w:sz w:val="24"/>
          <w:szCs w:val="24"/>
        </w:rPr>
        <w:t xml:space="preserve"> FC. CD protein is stained brown; nuclei are in blue.</w:t>
      </w:r>
    </w:p>
    <w:p w:rsidR="00564A50" w:rsidRDefault="00564A50" w:rsidP="00564A50">
      <w:pPr>
        <w:pStyle w:val="Heading2"/>
        <w:spacing w:line="480" w:lineRule="auto"/>
      </w:pPr>
      <w:proofErr w:type="gramStart"/>
      <w:r w:rsidRPr="00745576">
        <w:t xml:space="preserve">Supplementary Table </w:t>
      </w:r>
      <w:r>
        <w:t>S1</w:t>
      </w:r>
      <w:r w:rsidRPr="00745576">
        <w:t>.</w:t>
      </w:r>
      <w:proofErr w:type="gramEnd"/>
      <w:r w:rsidRPr="00745576">
        <w:t xml:space="preserve"> </w:t>
      </w:r>
      <w:proofErr w:type="spellStart"/>
      <w:r w:rsidRPr="00745576">
        <w:t>Tg</w:t>
      </w:r>
      <w:proofErr w:type="spellEnd"/>
      <w:r w:rsidRPr="00745576">
        <w:t xml:space="preserve"> 511-1</w:t>
      </w:r>
      <w:r>
        <w:t>1</w:t>
      </w:r>
      <w:r w:rsidRPr="00745576">
        <w:t>-01 (</w:t>
      </w:r>
      <w:r w:rsidR="00DB0E2B">
        <w:t>S</w:t>
      </w:r>
      <w:bookmarkStart w:id="0" w:name="_GoBack"/>
      <w:bookmarkEnd w:id="0"/>
      <w:r w:rsidRPr="00745576">
        <w:t>tudy 1</w:t>
      </w:r>
      <w:r>
        <w:t>1</w:t>
      </w:r>
      <w:r w:rsidRPr="00745576">
        <w:t>) dosing table.</w:t>
      </w:r>
    </w:p>
    <w:p w:rsidR="00564A50" w:rsidRDefault="00564A50" w:rsidP="00564A50">
      <w:pPr>
        <w:pStyle w:val="Heading2"/>
      </w:pPr>
      <w:proofErr w:type="gramStart"/>
      <w:r w:rsidRPr="00745576">
        <w:t xml:space="preserve">Supplementary Table </w:t>
      </w:r>
      <w:r>
        <w:t>S2</w:t>
      </w:r>
      <w:r w:rsidRPr="00745576">
        <w:t>.</w:t>
      </w:r>
      <w:proofErr w:type="gramEnd"/>
      <w:r w:rsidRPr="00745576">
        <w:t xml:space="preserve"> </w:t>
      </w:r>
      <w:proofErr w:type="spellStart"/>
      <w:proofErr w:type="gramStart"/>
      <w:r w:rsidRPr="00745576">
        <w:t>Tg</w:t>
      </w:r>
      <w:proofErr w:type="spellEnd"/>
      <w:proofErr w:type="gramEnd"/>
      <w:r w:rsidRPr="00745576">
        <w:t xml:space="preserve"> 511-13-01 (</w:t>
      </w:r>
      <w:r>
        <w:t>S</w:t>
      </w:r>
      <w:r w:rsidRPr="00745576">
        <w:t xml:space="preserve">tudy </w:t>
      </w:r>
      <w:r w:rsidRPr="00745576">
        <w:t>13) dosing table.</w:t>
      </w:r>
    </w:p>
    <w:p w:rsidR="00564A50" w:rsidRDefault="00564A50" w:rsidP="00564A50">
      <w:pPr>
        <w:pStyle w:val="Heading2"/>
      </w:pPr>
      <w:proofErr w:type="gramStart"/>
      <w:r w:rsidRPr="002D4D76">
        <w:t>Supplementary Table S3.</w:t>
      </w:r>
      <w:proofErr w:type="gramEnd"/>
      <w:r w:rsidRPr="002D4D76">
        <w:t xml:space="preserve"> </w:t>
      </w:r>
      <w:proofErr w:type="spellStart"/>
      <w:r w:rsidRPr="002D4D76">
        <w:t>Toca</w:t>
      </w:r>
      <w:proofErr w:type="spellEnd"/>
      <w:r w:rsidRPr="002D4D76">
        <w:t xml:space="preserve"> 511 signal in tumor and </w:t>
      </w:r>
      <w:proofErr w:type="spellStart"/>
      <w:r w:rsidRPr="002D4D76">
        <w:t>nonneoplastic</w:t>
      </w:r>
      <w:proofErr w:type="spellEnd"/>
      <w:r w:rsidRPr="002D4D76">
        <w:t xml:space="preserve"> brain samples taken at time of autopsy from a Study 8 patient.</w:t>
      </w:r>
    </w:p>
    <w:p w:rsidR="00564A50" w:rsidRPr="00A80349" w:rsidRDefault="00564A50" w:rsidP="00564A50">
      <w:pPr>
        <w:pStyle w:val="Heading2"/>
      </w:pPr>
      <w:r w:rsidRPr="00A80349">
        <w:t xml:space="preserve">Dataset S1. </w:t>
      </w:r>
      <w:proofErr w:type="spellStart"/>
      <w:proofErr w:type="gramStart"/>
      <w:r>
        <w:t>Toca</w:t>
      </w:r>
      <w:proofErr w:type="spellEnd"/>
      <w:r>
        <w:t xml:space="preserve"> 511 </w:t>
      </w:r>
      <w:r w:rsidRPr="00A80349">
        <w:t>qPCR data.</w:t>
      </w:r>
      <w:proofErr w:type="gramEnd"/>
    </w:p>
    <w:p w:rsidR="00564A50" w:rsidRDefault="00564A50" w:rsidP="00564A50"/>
    <w:p w:rsidR="00564A50" w:rsidRPr="00F74498" w:rsidRDefault="00564A50" w:rsidP="00564A50">
      <w:pPr>
        <w:pStyle w:val="Heading2"/>
      </w:pPr>
      <w:r>
        <w:t xml:space="preserve">Dataset S2. </w:t>
      </w:r>
      <w:proofErr w:type="gramStart"/>
      <w:r>
        <w:t xml:space="preserve">Locations of </w:t>
      </w:r>
      <w:proofErr w:type="spellStart"/>
      <w:r>
        <w:t>Toca</w:t>
      </w:r>
      <w:proofErr w:type="spellEnd"/>
      <w:r>
        <w:t xml:space="preserve"> 511 Integration Sites.</w:t>
      </w:r>
      <w:proofErr w:type="gramEnd"/>
    </w:p>
    <w:p w:rsidR="00564A50" w:rsidRPr="00564A50" w:rsidRDefault="00564A50" w:rsidP="00564A50"/>
    <w:p w:rsidR="007A6E92" w:rsidRDefault="007A6E92"/>
    <w:p w:rsidR="00564A50" w:rsidRDefault="00564A50"/>
    <w:sectPr w:rsidR="00564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447"/>
    <w:multiLevelType w:val="hybridMultilevel"/>
    <w:tmpl w:val="0D4A4F8A"/>
    <w:lvl w:ilvl="0" w:tplc="C350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66FC1"/>
    <w:multiLevelType w:val="hybridMultilevel"/>
    <w:tmpl w:val="36F8204E"/>
    <w:lvl w:ilvl="0" w:tplc="EAF68B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6F1496"/>
    <w:multiLevelType w:val="hybridMultilevel"/>
    <w:tmpl w:val="A7D4E234"/>
    <w:lvl w:ilvl="0" w:tplc="D390F7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372757"/>
    <w:multiLevelType w:val="hybridMultilevel"/>
    <w:tmpl w:val="638C51D0"/>
    <w:lvl w:ilvl="0" w:tplc="F30CB3E4">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5D6A38"/>
    <w:multiLevelType w:val="hybridMultilevel"/>
    <w:tmpl w:val="A8D8F500"/>
    <w:lvl w:ilvl="0" w:tplc="7F321E6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1211BC"/>
    <w:multiLevelType w:val="hybridMultilevel"/>
    <w:tmpl w:val="8D28C558"/>
    <w:lvl w:ilvl="0" w:tplc="817298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3A1D0E"/>
    <w:multiLevelType w:val="hybridMultilevel"/>
    <w:tmpl w:val="0FE2A27C"/>
    <w:lvl w:ilvl="0" w:tplc="BEE8736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1E6A9F"/>
    <w:multiLevelType w:val="hybridMultilevel"/>
    <w:tmpl w:val="36001604"/>
    <w:lvl w:ilvl="0" w:tplc="51E639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C03DE8"/>
    <w:multiLevelType w:val="hybridMultilevel"/>
    <w:tmpl w:val="931E805A"/>
    <w:lvl w:ilvl="0" w:tplc="2A8C9E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0"/>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87"/>
    <w:rsid w:val="00133887"/>
    <w:rsid w:val="00564A50"/>
    <w:rsid w:val="007A6E92"/>
    <w:rsid w:val="00DB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87"/>
  </w:style>
  <w:style w:type="paragraph" w:styleId="Heading2">
    <w:name w:val="heading 2"/>
    <w:basedOn w:val="Normal"/>
    <w:next w:val="Normal"/>
    <w:link w:val="Heading2Char"/>
    <w:uiPriority w:val="9"/>
    <w:unhideWhenUsed/>
    <w:qFormat/>
    <w:rsid w:val="00133887"/>
    <w:pPr>
      <w:keepNext/>
      <w:keepLines/>
      <w:spacing w:before="200" w:after="0"/>
      <w:outlineLvl w:val="1"/>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887"/>
    <w:rPr>
      <w:rFonts w:ascii="Calibri" w:eastAsiaTheme="majorEastAsia" w:hAnsi="Calibri" w:cstheme="majorBidi"/>
      <w:b/>
      <w:bCs/>
      <w:sz w:val="26"/>
      <w:szCs w:val="26"/>
    </w:rPr>
  </w:style>
  <w:style w:type="paragraph" w:styleId="ListParagraph">
    <w:name w:val="List Paragraph"/>
    <w:basedOn w:val="Normal"/>
    <w:uiPriority w:val="34"/>
    <w:qFormat/>
    <w:rsid w:val="0013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87"/>
  </w:style>
  <w:style w:type="paragraph" w:styleId="Heading2">
    <w:name w:val="heading 2"/>
    <w:basedOn w:val="Normal"/>
    <w:next w:val="Normal"/>
    <w:link w:val="Heading2Char"/>
    <w:uiPriority w:val="9"/>
    <w:unhideWhenUsed/>
    <w:qFormat/>
    <w:rsid w:val="00133887"/>
    <w:pPr>
      <w:keepNext/>
      <w:keepLines/>
      <w:spacing w:before="200" w:after="0"/>
      <w:outlineLvl w:val="1"/>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887"/>
    <w:rPr>
      <w:rFonts w:ascii="Calibri" w:eastAsiaTheme="majorEastAsia" w:hAnsi="Calibri" w:cstheme="majorBidi"/>
      <w:b/>
      <w:bCs/>
      <w:sz w:val="26"/>
      <w:szCs w:val="26"/>
    </w:rPr>
  </w:style>
  <w:style w:type="paragraph" w:styleId="ListParagraph">
    <w:name w:val="List Paragraph"/>
    <w:basedOn w:val="Normal"/>
    <w:uiPriority w:val="34"/>
    <w:qFormat/>
    <w:rsid w:val="0013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Hogan</dc:creator>
  <cp:lastModifiedBy>Daniel Hogan</cp:lastModifiedBy>
  <cp:revision>3</cp:revision>
  <dcterms:created xsi:type="dcterms:W3CDTF">2018-06-05T16:54:00Z</dcterms:created>
  <dcterms:modified xsi:type="dcterms:W3CDTF">2018-06-05T17:00:00Z</dcterms:modified>
</cp:coreProperties>
</file>