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3C512" w14:textId="77777777" w:rsidR="0045541F" w:rsidRPr="00833816" w:rsidRDefault="0045541F" w:rsidP="00B51EB3">
      <w:proofErr w:type="gramStart"/>
      <w:r w:rsidRPr="00833816">
        <w:rPr>
          <w:b/>
        </w:rPr>
        <w:t>Supplemental Figure 1.</w:t>
      </w:r>
      <w:proofErr w:type="gramEnd"/>
      <w:r w:rsidRPr="00833816">
        <w:rPr>
          <w:b/>
        </w:rPr>
        <w:t xml:space="preserve"> </w:t>
      </w:r>
      <w:proofErr w:type="gramStart"/>
      <w:r w:rsidRPr="00833816">
        <w:t xml:space="preserve">Assessment of the binding characteristics and </w:t>
      </w:r>
      <w:r w:rsidR="002B60DD">
        <w:t>c</w:t>
      </w:r>
      <w:r w:rsidRPr="00833816">
        <w:t>ynomolgus monkey cross-reactivity of CD20-TCB.</w:t>
      </w:r>
      <w:proofErr w:type="gramEnd"/>
      <w:r w:rsidRPr="00833816">
        <w:t xml:space="preserve"> </w:t>
      </w:r>
      <w:bookmarkStart w:id="0" w:name="_GoBack"/>
      <w:bookmarkEnd w:id="0"/>
    </w:p>
    <w:p w14:paraId="253BFD9C" w14:textId="77777777" w:rsidR="0045541F" w:rsidRPr="00833816" w:rsidRDefault="002D7C39" w:rsidP="00B51EB3">
      <w:r>
        <w:rPr>
          <w:noProof/>
          <w:lang w:eastAsia="zh-TW"/>
        </w:rPr>
        <w:drawing>
          <wp:inline distT="0" distB="0" distL="0" distR="0" wp14:anchorId="2350ED3F" wp14:editId="72AA3D82">
            <wp:extent cx="5819775" cy="34798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1 final.tif"/>
                    <pic:cNvPicPr/>
                  </pic:nvPicPr>
                  <pic:blipFill rotWithShape="1">
                    <a:blip r:embed="rId8" cstate="print">
                      <a:extLst>
                        <a:ext uri="{28A0092B-C50C-407E-A947-70E740481C1C}">
                          <a14:useLocalDpi xmlns:a14="http://schemas.microsoft.com/office/drawing/2010/main" val="0"/>
                        </a:ext>
                      </a:extLst>
                    </a:blip>
                    <a:srcRect b="57716"/>
                    <a:stretch/>
                  </pic:blipFill>
                  <pic:spPr bwMode="auto">
                    <a:xfrm>
                      <a:off x="0" y="0"/>
                      <a:ext cx="5819775" cy="3479800"/>
                    </a:xfrm>
                    <a:prstGeom prst="rect">
                      <a:avLst/>
                    </a:prstGeom>
                    <a:ln>
                      <a:noFill/>
                    </a:ln>
                    <a:extLst>
                      <a:ext uri="{53640926-AAD7-44D8-BBD7-CCE9431645EC}">
                        <a14:shadowObscured xmlns:a14="http://schemas.microsoft.com/office/drawing/2010/main"/>
                      </a:ext>
                    </a:extLst>
                  </pic:spPr>
                </pic:pic>
              </a:graphicData>
            </a:graphic>
          </wp:inline>
        </w:drawing>
      </w:r>
    </w:p>
    <w:p w14:paraId="097D1ABF" w14:textId="77777777" w:rsidR="0045541F" w:rsidRPr="00833816" w:rsidRDefault="0045541F" w:rsidP="00497514">
      <w:pPr>
        <w:pStyle w:val="JASuppfootnote"/>
      </w:pPr>
      <w:r w:rsidRPr="00833816">
        <w:t>Median fluorescence intensities (MFI) for binding of CD20-TCB to (</w:t>
      </w:r>
      <w:r w:rsidR="002D7C39">
        <w:t>A</w:t>
      </w:r>
      <w:r w:rsidRPr="00833816">
        <w:t>) B cells, (</w:t>
      </w:r>
      <w:r w:rsidR="002D7C39">
        <w:t>B</w:t>
      </w:r>
      <w:r w:rsidRPr="00833816">
        <w:t>) primary CD4+ and (</w:t>
      </w:r>
      <w:r w:rsidR="002D7C39">
        <w:t>C</w:t>
      </w:r>
      <w:r w:rsidRPr="00833816">
        <w:t xml:space="preserve">) CD8+ </w:t>
      </w:r>
      <w:r w:rsidR="00D35E9B">
        <w:t>T-cell</w:t>
      </w:r>
      <w:r w:rsidRPr="00833816">
        <w:t>s freshly isolated from human PBMCs, human (black squares) and cynomolgus monkey (open squares); binding of CD20-TCB to (</w:t>
      </w:r>
      <w:r w:rsidR="00C92E2A">
        <w:t>D</w:t>
      </w:r>
      <w:r w:rsidRPr="00833816">
        <w:t xml:space="preserve">) human Jurkat </w:t>
      </w:r>
      <w:r w:rsidR="00D35E9B">
        <w:t>T-cell</w:t>
      </w:r>
      <w:r w:rsidRPr="00833816">
        <w:t>s, (</w:t>
      </w:r>
      <w:r w:rsidR="00C92E2A">
        <w:t>E</w:t>
      </w:r>
      <w:r w:rsidRPr="00833816">
        <w:t xml:space="preserve">) cynomolgus monkey HSC-F </w:t>
      </w:r>
      <w:r w:rsidR="00D35E9B">
        <w:t>T-cell</w:t>
      </w:r>
      <w:r w:rsidRPr="00833816">
        <w:t>s, and (</w:t>
      </w:r>
      <w:r w:rsidR="00C92E2A">
        <w:t>F</w:t>
      </w:r>
      <w:r w:rsidRPr="00833816">
        <w:t>) human mantle cell lymphoma tumor line Z-138, as measured by flow cytometry.</w:t>
      </w:r>
    </w:p>
    <w:p w14:paraId="1F77D965" w14:textId="3DC12629" w:rsidR="0045541F" w:rsidRDefault="0045541F" w:rsidP="00B51EB3">
      <w:pPr>
        <w:spacing w:after="0" w:line="240" w:lineRule="auto"/>
        <w:rPr>
          <w:rFonts w:cs="Arial"/>
        </w:rPr>
      </w:pPr>
      <w:r w:rsidRPr="00833816">
        <w:br w:type="page"/>
      </w:r>
      <w:proofErr w:type="gramStart"/>
      <w:r w:rsidRPr="00833816">
        <w:rPr>
          <w:b/>
        </w:rPr>
        <w:lastRenderedPageBreak/>
        <w:t>Supplemental Figure 2.</w:t>
      </w:r>
      <w:proofErr w:type="gramEnd"/>
      <w:r w:rsidRPr="00833816">
        <w:rPr>
          <w:rFonts w:cs="Arial"/>
        </w:rPr>
        <w:t xml:space="preserve"> Tumor cell lysis mediated by different CD20-targeting </w:t>
      </w:r>
      <w:r w:rsidR="00C92E2A">
        <w:rPr>
          <w:rFonts w:cs="Arial"/>
        </w:rPr>
        <w:t>TCB</w:t>
      </w:r>
      <w:r w:rsidRPr="00833816">
        <w:rPr>
          <w:rFonts w:cs="Arial"/>
        </w:rPr>
        <w:t xml:space="preserve"> antibodies. </w:t>
      </w:r>
    </w:p>
    <w:p w14:paraId="2592BB5B" w14:textId="47E12BA7" w:rsidR="008E323C" w:rsidRPr="00833816" w:rsidRDefault="008E323C" w:rsidP="00B51EB3">
      <w:pPr>
        <w:spacing w:after="0" w:line="240" w:lineRule="auto"/>
      </w:pPr>
      <w:r>
        <w:rPr>
          <w:noProof/>
          <w:lang w:eastAsia="zh-TW"/>
        </w:rPr>
        <w:drawing>
          <wp:inline distT="0" distB="0" distL="0" distR="0" wp14:anchorId="24548E6B" wp14:editId="191898B0">
            <wp:extent cx="5942965" cy="6665843"/>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gure 2 fina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481" cy="6669787"/>
                    </a:xfrm>
                    <a:prstGeom prst="rect">
                      <a:avLst/>
                    </a:prstGeom>
                  </pic:spPr>
                </pic:pic>
              </a:graphicData>
            </a:graphic>
          </wp:inline>
        </w:drawing>
      </w:r>
    </w:p>
    <w:p w14:paraId="30759D70" w14:textId="3215FED1" w:rsidR="00C92E2A" w:rsidRDefault="0045541F" w:rsidP="00497514">
      <w:pPr>
        <w:pStyle w:val="JASuppfootnote"/>
        <w:rPr>
          <w:b/>
        </w:rPr>
      </w:pPr>
      <w:r w:rsidRPr="00833816">
        <w:t>Tumor cell lysis mediated by (</w:t>
      </w:r>
      <w:r w:rsidR="00C92E2A">
        <w:t>A</w:t>
      </w:r>
      <w:r w:rsidRPr="00833816">
        <w:t>) three different formats of CD20-TCB based on obinutuzumab (CD20 binder), and (</w:t>
      </w:r>
      <w:r w:rsidR="00C92E2A">
        <w:t>B</w:t>
      </w:r>
      <w:r w:rsidRPr="00833816">
        <w:t xml:space="preserve">) CD20-TCB (2:1 format, </w:t>
      </w:r>
      <w:proofErr w:type="spellStart"/>
      <w:r w:rsidRPr="00833816">
        <w:t>bordeaux</w:t>
      </w:r>
      <w:proofErr w:type="spellEnd"/>
      <w:r w:rsidRPr="00833816">
        <w:t xml:space="preserve"> curve) compared to other CD20-targeting </w:t>
      </w:r>
      <w:r w:rsidR="00D35E9B">
        <w:t>T-cell</w:t>
      </w:r>
      <w:r w:rsidRPr="00833816">
        <w:t xml:space="preserve"> bispecific re-synthesized in house using the available patent sequence (</w:t>
      </w:r>
      <w:r w:rsidR="00C92E2A">
        <w:t>VH-A-1242-1250;</w:t>
      </w:r>
      <w:r w:rsidR="00C92E2A" w:rsidRPr="00C92E2A">
        <w:t xml:space="preserve"> </w:t>
      </w:r>
      <w:r w:rsidR="00C92E2A">
        <w:t>WO2014/047231 A1</w:t>
      </w:r>
      <w:r w:rsidRPr="00833816">
        <w:t>), (black curve). Tumor lysis was assessed by measuring LDH release after 20–24 h of incubation of human PBMCs with tumor targets and indicated CD20-TCBs (E</w:t>
      </w:r>
      <w:proofErr w:type="gramStart"/>
      <w:r w:rsidRPr="00833816">
        <w:t>:T</w:t>
      </w:r>
      <w:proofErr w:type="gramEnd"/>
      <w:r w:rsidRPr="00833816">
        <w:t xml:space="preserve"> = 5:1). Upper and lower panel set correspond to two different donors (</w:t>
      </w:r>
      <w:r w:rsidR="007801BB">
        <w:t xml:space="preserve">Do2 and Do 3; </w:t>
      </w:r>
      <w:r w:rsidRPr="00833816">
        <w:t>the results using the third donor are displayed in Fig</w:t>
      </w:r>
      <w:r w:rsidR="00C92E2A">
        <w:t>ure</w:t>
      </w:r>
      <w:r w:rsidRPr="00833816">
        <w:t xml:space="preserve"> 1</w:t>
      </w:r>
      <w:r w:rsidR="00C92E2A">
        <w:t>A &amp; B</w:t>
      </w:r>
      <w:r w:rsidRPr="00833816">
        <w:t xml:space="preserve">). </w:t>
      </w:r>
      <w:r w:rsidR="00C92E2A">
        <w:rPr>
          <w:b/>
        </w:rPr>
        <w:br w:type="page"/>
      </w:r>
    </w:p>
    <w:p w14:paraId="2B25937A" w14:textId="77777777" w:rsidR="0045541F" w:rsidRPr="00833816" w:rsidRDefault="0045541F" w:rsidP="00B51EB3">
      <w:proofErr w:type="gramStart"/>
      <w:r w:rsidRPr="00833816">
        <w:rPr>
          <w:b/>
        </w:rPr>
        <w:lastRenderedPageBreak/>
        <w:t>Supplemental Figure 3.</w:t>
      </w:r>
      <w:proofErr w:type="gramEnd"/>
      <w:r w:rsidRPr="00833816">
        <w:rPr>
          <w:b/>
        </w:rPr>
        <w:t xml:space="preserve"> </w:t>
      </w:r>
      <w:r w:rsidR="00D35E9B">
        <w:t>T-cell</w:t>
      </w:r>
      <w:r w:rsidR="00C92E2A">
        <w:t xml:space="preserve"> and B-</w:t>
      </w:r>
      <w:r w:rsidRPr="00833816">
        <w:t>cell counts along with E</w:t>
      </w:r>
      <w:proofErr w:type="gramStart"/>
      <w:r w:rsidRPr="00833816">
        <w:t>:T</w:t>
      </w:r>
      <w:proofErr w:type="gramEnd"/>
      <w:r w:rsidRPr="00833816">
        <w:t xml:space="preserve"> ratio upon CD20-TCB treatment of primary bone marrow aspirates from patients with lymphoma and leukemia.</w:t>
      </w:r>
    </w:p>
    <w:p w14:paraId="5B97753A" w14:textId="38C6C149" w:rsidR="00C92E2A" w:rsidRDefault="0045031B" w:rsidP="00B51EB3">
      <w:pPr>
        <w:ind w:left="720" w:hanging="720"/>
      </w:pPr>
      <w:r>
        <w:rPr>
          <w:noProof/>
          <w:lang w:eastAsia="zh-TW"/>
        </w:rPr>
        <w:drawing>
          <wp:inline distT="0" distB="0" distL="0" distR="0" wp14:anchorId="3BF1D6E0" wp14:editId="66DD35C2">
            <wp:extent cx="5943600" cy="5658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gure 3 fina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58485"/>
                    </a:xfrm>
                    <a:prstGeom prst="rect">
                      <a:avLst/>
                    </a:prstGeom>
                  </pic:spPr>
                </pic:pic>
              </a:graphicData>
            </a:graphic>
          </wp:inline>
        </w:drawing>
      </w:r>
    </w:p>
    <w:p w14:paraId="5C791DF7" w14:textId="77777777" w:rsidR="0045541F" w:rsidRPr="00833816" w:rsidRDefault="0045541F" w:rsidP="00497514">
      <w:pPr>
        <w:pStyle w:val="JASuppfootnote"/>
        <w:rPr>
          <w:b/>
        </w:rPr>
      </w:pPr>
      <w:r w:rsidRPr="00833816">
        <w:t>(</w:t>
      </w:r>
      <w:r w:rsidR="00C92E2A">
        <w:t>A</w:t>
      </w:r>
      <w:r w:rsidRPr="00833816">
        <w:t>) E</w:t>
      </w:r>
      <w:proofErr w:type="gramStart"/>
      <w:r w:rsidRPr="00833816">
        <w:t>:T</w:t>
      </w:r>
      <w:proofErr w:type="gramEnd"/>
      <w:r w:rsidRPr="00833816">
        <w:t xml:space="preserve"> ratio, CD3+ </w:t>
      </w:r>
      <w:r w:rsidR="00D35E9B">
        <w:t>T-cell</w:t>
      </w:r>
      <w:r w:rsidRPr="00833816">
        <w:t xml:space="preserve">  and CD20+ B cell counts determined by flow cytometry after incubation of human bone marrow aspirates from lymphoma and leukemia patients with CD20-TCB. The average of 3-10 patients of a total of 17 patients/time point is shown. (</w:t>
      </w:r>
      <w:r w:rsidR="00C92E2A">
        <w:t>B</w:t>
      </w:r>
      <w:r w:rsidRPr="00833816">
        <w:t xml:space="preserve">) Mean fluorescence intensity (MFI) of CD25 or PD-1 expression on </w:t>
      </w:r>
      <w:r w:rsidR="00D35E9B">
        <w:t>T-cell</w:t>
      </w:r>
      <w:r w:rsidRPr="00833816">
        <w:t>s upon incubation of human bone marrow aspirates from lymphoma and leukemia patient samples with CD20-TCB.</w:t>
      </w:r>
      <w:r w:rsidRPr="00833816">
        <w:rPr>
          <w:b/>
        </w:rPr>
        <w:br w:type="page"/>
      </w:r>
    </w:p>
    <w:p w14:paraId="2D7F7C26" w14:textId="75A2D19D" w:rsidR="0045541F" w:rsidRDefault="0045541F" w:rsidP="00B51EB3">
      <w:proofErr w:type="gramStart"/>
      <w:r w:rsidRPr="00833816">
        <w:rPr>
          <w:b/>
        </w:rPr>
        <w:lastRenderedPageBreak/>
        <w:t>Supplemental Figure 4.</w:t>
      </w:r>
      <w:proofErr w:type="gramEnd"/>
      <w:r w:rsidRPr="00833816">
        <w:rPr>
          <w:b/>
        </w:rPr>
        <w:t xml:space="preserve"> </w:t>
      </w:r>
      <w:proofErr w:type="gramStart"/>
      <w:r w:rsidRPr="00833816">
        <w:t xml:space="preserve">Quantification of interactions between </w:t>
      </w:r>
      <w:r w:rsidR="00D35E9B">
        <w:t>T-cell</w:t>
      </w:r>
      <w:r w:rsidRPr="00833816">
        <w:t xml:space="preserve">s and tumor cells from live imaging experiments and kinetic analysis of </w:t>
      </w:r>
      <w:r w:rsidR="00D35E9B">
        <w:t>T-cell</w:t>
      </w:r>
      <w:r w:rsidRPr="00833816">
        <w:t xml:space="preserve"> activation and exhaustion marker expression.</w:t>
      </w:r>
      <w:proofErr w:type="gramEnd"/>
    </w:p>
    <w:p w14:paraId="025073F1" w14:textId="471C08EE" w:rsidR="00894416" w:rsidRPr="00833816" w:rsidRDefault="00894416" w:rsidP="00B51EB3">
      <w:r>
        <w:rPr>
          <w:noProof/>
          <w:lang w:eastAsia="zh-TW"/>
        </w:rPr>
        <w:drawing>
          <wp:inline distT="0" distB="0" distL="0" distR="0" wp14:anchorId="198F705A" wp14:editId="1EDC7AA5">
            <wp:extent cx="4859560" cy="6019800"/>
            <wp:effectExtent l="0" t="0" r="0" b="0"/>
            <wp:docPr id="8" name="Picture 8"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 Figure 4 final 20Dec-17.tif"/>
                    <pic:cNvPicPr/>
                  </pic:nvPicPr>
                  <pic:blipFill rotWithShape="1">
                    <a:blip r:embed="rId11" cstate="print">
                      <a:extLst>
                        <a:ext uri="{28A0092B-C50C-407E-A947-70E740481C1C}">
                          <a14:useLocalDpi xmlns:a14="http://schemas.microsoft.com/office/drawing/2010/main" val="0"/>
                        </a:ext>
                      </a:extLst>
                    </a:blip>
                    <a:srcRect l="2037" t="3806" b="7099"/>
                    <a:stretch/>
                  </pic:blipFill>
                  <pic:spPr bwMode="auto">
                    <a:xfrm>
                      <a:off x="0" y="0"/>
                      <a:ext cx="4862248" cy="6023130"/>
                    </a:xfrm>
                    <a:prstGeom prst="rect">
                      <a:avLst/>
                    </a:prstGeom>
                    <a:ln>
                      <a:noFill/>
                    </a:ln>
                    <a:extLst>
                      <a:ext uri="{53640926-AAD7-44D8-BBD7-CCE9431645EC}">
                        <a14:shadowObscured xmlns:a14="http://schemas.microsoft.com/office/drawing/2010/main"/>
                      </a:ext>
                    </a:extLst>
                  </pic:spPr>
                </pic:pic>
              </a:graphicData>
            </a:graphic>
          </wp:inline>
        </w:drawing>
      </w:r>
    </w:p>
    <w:p w14:paraId="59FC86D9" w14:textId="3E333C0E" w:rsidR="0045541F" w:rsidRPr="00833816" w:rsidRDefault="0045541F" w:rsidP="00894416">
      <w:pPr>
        <w:pStyle w:val="JASuppfootnote"/>
      </w:pPr>
      <w:r w:rsidRPr="00833816">
        <w:t>(</w:t>
      </w:r>
      <w:r w:rsidR="00C92E2A">
        <w:t>A</w:t>
      </w:r>
      <w:r w:rsidRPr="00833816">
        <w:t xml:space="preserve">) Quantification of interaction between </w:t>
      </w:r>
      <w:r w:rsidR="00D35E9B">
        <w:t>T-cell</w:t>
      </w:r>
      <w:r w:rsidRPr="00833816">
        <w:t xml:space="preserve">s and tumor cells in terms of </w:t>
      </w:r>
      <w:r w:rsidR="00D35E9B">
        <w:t>T-cell</w:t>
      </w:r>
      <w:r w:rsidRPr="00833816">
        <w:t xml:space="preserve"> speed, Tumor/</w:t>
      </w:r>
      <w:r w:rsidR="00D35E9B">
        <w:t>T-cell</w:t>
      </w:r>
      <w:r w:rsidRPr="00833816">
        <w:t xml:space="preserve"> Synapse area, and CD20-TCB fluorescence intensity at synapse between tumor cell</w:t>
      </w:r>
      <w:r w:rsidR="0004172F">
        <w:t>s</w:t>
      </w:r>
      <w:r w:rsidRPr="00833816">
        <w:t xml:space="preserve"> and </w:t>
      </w:r>
      <w:r w:rsidR="00D35E9B">
        <w:t>T-cell</w:t>
      </w:r>
      <w:r w:rsidRPr="00833816">
        <w:t xml:space="preserve">s, normalized over the untargeted TCB control compared over a period of time of 9 hours. </w:t>
      </w:r>
      <w:proofErr w:type="gramStart"/>
      <w:r w:rsidRPr="00833816">
        <w:t>Student T statistical test.</w:t>
      </w:r>
      <w:proofErr w:type="gramEnd"/>
      <w:r w:rsidRPr="00833816">
        <w:t xml:space="preserve"> </w:t>
      </w:r>
      <w:proofErr w:type="gramStart"/>
      <w:r w:rsidRPr="00833816">
        <w:t>**** p&lt;0.0001.</w:t>
      </w:r>
      <w:proofErr w:type="gramEnd"/>
      <w:r w:rsidRPr="00833816">
        <w:t xml:space="preserve"> (</w:t>
      </w:r>
      <w:r w:rsidR="00C92E2A">
        <w:t>B</w:t>
      </w:r>
      <w:r w:rsidRPr="00833816">
        <w:t xml:space="preserve">) Kinetic analysis </w:t>
      </w:r>
      <w:r w:rsidR="00D35E9B">
        <w:t>T-cell</w:t>
      </w:r>
      <w:r w:rsidRPr="00833816">
        <w:t xml:space="preserve"> activation (ICOS, Ox40) and exhaustion (PD-1 and Lag-3) marker expression on CD4 and CD8 </w:t>
      </w:r>
      <w:r w:rsidR="00D35E9B">
        <w:t>T-cell</w:t>
      </w:r>
      <w:r w:rsidRPr="00833816">
        <w:t xml:space="preserve"> subsets as detected by flow cytometry after incubation of human PBMC with tumor targets cells Z-138, (E:T = 5:1) and CD20-TCB (1 </w:t>
      </w:r>
      <w:proofErr w:type="spellStart"/>
      <w:r w:rsidRPr="00833816">
        <w:t>nM</w:t>
      </w:r>
      <w:proofErr w:type="spellEnd"/>
      <w:r w:rsidRPr="00833816">
        <w:t>) for the indicated time points. Graphs represent the % fold increase in MFI of selected markers over time as compared to controls. Averages of 3 donors are shown.</w:t>
      </w:r>
      <w:r w:rsidRPr="00833816">
        <w:br w:type="page"/>
      </w:r>
    </w:p>
    <w:p w14:paraId="47CE142A" w14:textId="77777777" w:rsidR="0045541F" w:rsidRDefault="0045541F" w:rsidP="00B51EB3">
      <w:proofErr w:type="gramStart"/>
      <w:r w:rsidRPr="00833816">
        <w:rPr>
          <w:b/>
        </w:rPr>
        <w:lastRenderedPageBreak/>
        <w:t>Supplemental Figure 5.</w:t>
      </w:r>
      <w:proofErr w:type="gramEnd"/>
      <w:r w:rsidRPr="00833816">
        <w:rPr>
          <w:b/>
        </w:rPr>
        <w:t xml:space="preserve"> </w:t>
      </w:r>
      <w:proofErr w:type="gramStart"/>
      <w:r w:rsidRPr="00833816">
        <w:t xml:space="preserve">Secretion of cytokines, cytotoxic granules and </w:t>
      </w:r>
      <w:r w:rsidR="00D35E9B">
        <w:t>T-cell</w:t>
      </w:r>
      <w:r w:rsidRPr="00833816">
        <w:t xml:space="preserve"> proliferation upon tumor lysis.</w:t>
      </w:r>
      <w:proofErr w:type="gramEnd"/>
      <w:r w:rsidRPr="00833816">
        <w:t xml:space="preserve"> </w:t>
      </w:r>
    </w:p>
    <w:p w14:paraId="47E86739" w14:textId="65DB9354" w:rsidR="00C92E2A" w:rsidRPr="00833816" w:rsidRDefault="0045031B" w:rsidP="00B51EB3">
      <w:r>
        <w:rPr>
          <w:noProof/>
          <w:lang w:eastAsia="zh-TW"/>
        </w:rPr>
        <w:drawing>
          <wp:inline distT="0" distB="0" distL="0" distR="0" wp14:anchorId="33AFE85D" wp14:editId="06D75BE3">
            <wp:extent cx="5943600" cy="7357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5 fina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357110"/>
                    </a:xfrm>
                    <a:prstGeom prst="rect">
                      <a:avLst/>
                    </a:prstGeom>
                  </pic:spPr>
                </pic:pic>
              </a:graphicData>
            </a:graphic>
          </wp:inline>
        </w:drawing>
      </w:r>
    </w:p>
    <w:p w14:paraId="39CCD8FD" w14:textId="614F8707" w:rsidR="0045541F" w:rsidRPr="00833816" w:rsidRDefault="0045541F" w:rsidP="00497514">
      <w:pPr>
        <w:pStyle w:val="JASuppfootnote"/>
      </w:pPr>
      <w:r w:rsidRPr="00833816">
        <w:lastRenderedPageBreak/>
        <w:t>(</w:t>
      </w:r>
      <w:r w:rsidR="00C92E2A">
        <w:t>A</w:t>
      </w:r>
      <w:r w:rsidRPr="00833816">
        <w:t>) Analysis of cytotoxic granule</w:t>
      </w:r>
      <w:r w:rsidR="0004172F">
        <w:t>s</w:t>
      </w:r>
      <w:r w:rsidRPr="00833816">
        <w:t xml:space="preserve"> (</w:t>
      </w:r>
      <w:proofErr w:type="spellStart"/>
      <w:r w:rsidRPr="00833816">
        <w:t>GzB</w:t>
      </w:r>
      <w:proofErr w:type="spellEnd"/>
      <w:r w:rsidRPr="00833816">
        <w:t xml:space="preserve">) and cytokines released by activated </w:t>
      </w:r>
      <w:r w:rsidR="00D35E9B">
        <w:t>T-cell</w:t>
      </w:r>
      <w:r w:rsidRPr="00833816">
        <w:t xml:space="preserve"> following tumor lysis as assessed by CBA (Cytokine Bead Array) after 20–23 h incubation of human PBMC with tumor targe</w:t>
      </w:r>
      <w:r w:rsidR="0004172F">
        <w:t>t</w:t>
      </w:r>
      <w:r w:rsidR="00D35E9B">
        <w:t>-cell</w:t>
      </w:r>
      <w:r w:rsidRPr="00833816">
        <w:t>s Z-138 (E</w:t>
      </w:r>
      <w:proofErr w:type="gramStart"/>
      <w:r w:rsidRPr="00833816">
        <w:t>:T</w:t>
      </w:r>
      <w:proofErr w:type="gramEnd"/>
      <w:r w:rsidRPr="00833816">
        <w:t xml:space="preserve"> 5:1 or 6:1) and increasing concentrations of CD20-TCB. Triplicates of three donors are shown. (</w:t>
      </w:r>
      <w:r w:rsidR="00C92E2A">
        <w:t>B</w:t>
      </w:r>
      <w:r w:rsidRPr="00833816">
        <w:t xml:space="preserve">) Analysis of CD4+ and CD8+ </w:t>
      </w:r>
      <w:r w:rsidR="00D35E9B">
        <w:t>T-cell</w:t>
      </w:r>
      <w:r w:rsidRPr="00833816">
        <w:t xml:space="preserve"> proliferation following tumor killing as determined by flow cytometry (CFSE dye dilution) after 6 days incubation of human PBMC with different tumor targets expressing high, medium and low CD20 levels (740000, 217000, 13000 ABCs as determined by QSC) in the presence of increasing concentrations of CD20-TCB.</w:t>
      </w:r>
      <w:r w:rsidRPr="00833816">
        <w:rPr>
          <w:b/>
        </w:rPr>
        <w:t xml:space="preserve"> </w:t>
      </w:r>
    </w:p>
    <w:p w14:paraId="02AD2F3D" w14:textId="77777777" w:rsidR="002B3CE7" w:rsidRDefault="002B3CE7">
      <w:pPr>
        <w:spacing w:before="0" w:after="200" w:line="276" w:lineRule="auto"/>
        <w:rPr>
          <w:b/>
        </w:rPr>
      </w:pPr>
      <w:r>
        <w:rPr>
          <w:b/>
        </w:rPr>
        <w:br w:type="page"/>
      </w:r>
    </w:p>
    <w:p w14:paraId="48F9FC05" w14:textId="77777777" w:rsidR="0045541F" w:rsidRPr="00833816" w:rsidRDefault="0045541F" w:rsidP="00B51EB3">
      <w:proofErr w:type="gramStart"/>
      <w:r w:rsidRPr="00833816">
        <w:rPr>
          <w:b/>
        </w:rPr>
        <w:lastRenderedPageBreak/>
        <w:t>Supplemental Figure 6.</w:t>
      </w:r>
      <w:proofErr w:type="gramEnd"/>
      <w:r w:rsidRPr="00833816" w:rsidDel="001339E1">
        <w:rPr>
          <w:b/>
        </w:rPr>
        <w:t xml:space="preserve"> </w:t>
      </w:r>
      <w:proofErr w:type="gramStart"/>
      <w:r w:rsidRPr="00833816">
        <w:t>Assessment of the cytokine-mediated</w:t>
      </w:r>
      <w:r w:rsidRPr="00833816">
        <w:rPr>
          <w:b/>
        </w:rPr>
        <w:t xml:space="preserve"> </w:t>
      </w:r>
      <w:r w:rsidRPr="00833816">
        <w:t>endothelial cell activation.</w:t>
      </w:r>
      <w:proofErr w:type="gramEnd"/>
    </w:p>
    <w:p w14:paraId="394622E3" w14:textId="5804088E" w:rsidR="0045541F" w:rsidRPr="00833816" w:rsidRDefault="0045031B" w:rsidP="00B51EB3">
      <w:pPr>
        <w:tabs>
          <w:tab w:val="right" w:pos="720"/>
          <w:tab w:val="left" w:pos="900"/>
        </w:tabs>
        <w:spacing w:after="0"/>
        <w:ind w:left="900" w:hanging="900"/>
      </w:pPr>
      <w:r>
        <w:rPr>
          <w:noProof/>
          <w:lang w:eastAsia="zh-TW"/>
        </w:rPr>
        <w:drawing>
          <wp:inline distT="0" distB="0" distL="0" distR="0" wp14:anchorId="2DC90408" wp14:editId="228E8363">
            <wp:extent cx="5942669" cy="737483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 Figure 6 final.tif"/>
                    <pic:cNvPicPr/>
                  </pic:nvPicPr>
                  <pic:blipFill rotWithShape="1">
                    <a:blip r:embed="rId13" cstate="print">
                      <a:extLst>
                        <a:ext uri="{28A0092B-C50C-407E-A947-70E740481C1C}">
                          <a14:useLocalDpi xmlns:a14="http://schemas.microsoft.com/office/drawing/2010/main" val="0"/>
                        </a:ext>
                      </a:extLst>
                    </a:blip>
                    <a:srcRect t="6034"/>
                    <a:stretch/>
                  </pic:blipFill>
                  <pic:spPr bwMode="auto">
                    <a:xfrm>
                      <a:off x="0" y="0"/>
                      <a:ext cx="5947089" cy="7380320"/>
                    </a:xfrm>
                    <a:prstGeom prst="rect">
                      <a:avLst/>
                    </a:prstGeom>
                    <a:ln>
                      <a:noFill/>
                    </a:ln>
                    <a:extLst>
                      <a:ext uri="{53640926-AAD7-44D8-BBD7-CCE9431645EC}">
                        <a14:shadowObscured xmlns:a14="http://schemas.microsoft.com/office/drawing/2010/main"/>
                      </a:ext>
                    </a:extLst>
                  </pic:spPr>
                </pic:pic>
              </a:graphicData>
            </a:graphic>
          </wp:inline>
        </w:drawing>
      </w:r>
    </w:p>
    <w:p w14:paraId="52B52B7E" w14:textId="1797F727" w:rsidR="0045541F" w:rsidRPr="00833816" w:rsidRDefault="0045541F" w:rsidP="00497514">
      <w:pPr>
        <w:pStyle w:val="JASuppfootnote"/>
      </w:pPr>
      <w:r w:rsidRPr="00833816">
        <w:lastRenderedPageBreak/>
        <w:t>(</w:t>
      </w:r>
      <w:r w:rsidR="002B3CE7">
        <w:t>A</w:t>
      </w:r>
      <w:r w:rsidRPr="00833816">
        <w:t>) Upregulation of E-selectin, ICAM, VCAM on human endothelial cells (HUVEC) in presence of sera derived from CD20-TCB- or obinutuzumab (Gazyva)-treated mice. HUVEC were stimulated for 6 h with pooled sera from mice treated for 24 h with CD20-TCB (0.5mg/kg), obinutuzumab (10 mg/mL) or vehicle, diluted 1:1 with endothelial basal media and adhesion molecules were measured by flow cytometry. Sera from CD20-TCB treated mice upregulated ICAM and VCAM on endothelial cells, whereas the one from obinutuzumab-treated mice did not. Data are representative of 2 independent experiments. (</w:t>
      </w:r>
      <w:r w:rsidR="002B3CE7">
        <w:t>B</w:t>
      </w:r>
      <w:r w:rsidRPr="00833816">
        <w:t xml:space="preserve">) High constitutive expression of VLA-4 on </w:t>
      </w:r>
      <w:r w:rsidR="00D35E9B">
        <w:t>T-cell</w:t>
      </w:r>
      <w:r w:rsidRPr="00833816">
        <w:t>s upon CD20-TCB-mediated tumor cell lysis explaining the absence of further VLA-4 upregulation following CD20-TCB treatment. Triplicates of three (VLA-4) donors are shown. (</w:t>
      </w:r>
      <w:r w:rsidR="002B3CE7">
        <w:t>C</w:t>
      </w:r>
      <w:r w:rsidRPr="00833816">
        <w:t>) Upregulation of ICAM, VCAM, E-selectin on human endothelial cells (HUVEC) treated with conditioned media (CM) from tumor lysis experiments in presence or absence of cytokine-blocking antibodies or corresponding control antibodies identifies TNF</w:t>
      </w:r>
      <w:r w:rsidRPr="00833816">
        <w:rPr>
          <w:rFonts w:cs="Arial"/>
        </w:rPr>
        <w:t>α</w:t>
      </w:r>
      <w:r w:rsidRPr="00833816">
        <w:t xml:space="preserve"> as an important mediator of endothelial activation. Data are representative of 2 independent experiments. Statistical analysis: One-way ANOVA.</w:t>
      </w:r>
    </w:p>
    <w:p w14:paraId="0B525020" w14:textId="77777777" w:rsidR="0045541F" w:rsidRPr="002A66BF" w:rsidRDefault="0045541F" w:rsidP="00B51EB3">
      <w:pPr>
        <w:rPr>
          <w:b/>
        </w:rPr>
      </w:pPr>
    </w:p>
    <w:p w14:paraId="5CE5D04A" w14:textId="055DE4B8" w:rsidR="00A00042" w:rsidRPr="002A66BF" w:rsidRDefault="00A00042" w:rsidP="00B51EB3">
      <w:r w:rsidRPr="002A66BF">
        <w:rPr>
          <w:b/>
          <w:noProof/>
          <w:lang w:eastAsia="zh-TW"/>
        </w:rPr>
        <mc:AlternateContent>
          <mc:Choice Requires="wps">
            <w:drawing>
              <wp:anchor distT="0" distB="0" distL="114300" distR="114300" simplePos="0" relativeHeight="251662336" behindDoc="0" locked="0" layoutInCell="1" allowOverlap="1" wp14:anchorId="6DA5AF30" wp14:editId="5CDF1D72">
                <wp:simplePos x="0" y="0"/>
                <wp:positionH relativeFrom="column">
                  <wp:posOffset>74930</wp:posOffset>
                </wp:positionH>
                <wp:positionV relativeFrom="paragraph">
                  <wp:posOffset>578180</wp:posOffset>
                </wp:positionV>
                <wp:extent cx="394970" cy="3435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43535"/>
                        </a:xfrm>
                        <a:prstGeom prst="rect">
                          <a:avLst/>
                        </a:prstGeom>
                        <a:noFill/>
                        <a:ln w="9525">
                          <a:noFill/>
                          <a:miter lim="800000"/>
                          <a:headEnd/>
                          <a:tailEnd/>
                        </a:ln>
                      </wps:spPr>
                      <wps:txbx>
                        <w:txbxContent>
                          <w:p w14:paraId="68C09175" w14:textId="08EDB6A0" w:rsidR="00A00042" w:rsidRDefault="00A0004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45.55pt;width:31.1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" filled="f" stroked="f">
                <v:textbox>
                  <w:txbxContent>
                    <w:p w14:paraId="68C09175" w14:textId="08EDB6A0" w:rsidR="00A00042" w:rsidRDefault="00A00042">
                      <w:r>
                        <w:t>A</w:t>
                      </w:r>
                    </w:p>
                  </w:txbxContent>
                </v:textbox>
              </v:shape>
            </w:pict>
          </mc:Fallback>
        </mc:AlternateContent>
      </w:r>
      <w:r w:rsidRPr="002A66BF">
        <w:rPr>
          <w:b/>
          <w:noProof/>
          <w:lang w:eastAsia="zh-TW"/>
        </w:rPr>
        <mc:AlternateContent>
          <mc:Choice Requires="wps">
            <w:drawing>
              <wp:anchor distT="0" distB="0" distL="114300" distR="114300" simplePos="0" relativeHeight="251664384" behindDoc="0" locked="0" layoutInCell="1" allowOverlap="1" wp14:anchorId="2B197F92" wp14:editId="7E1C12D3">
                <wp:simplePos x="0" y="0"/>
                <wp:positionH relativeFrom="column">
                  <wp:posOffset>4016604</wp:posOffset>
                </wp:positionH>
                <wp:positionV relativeFrom="paragraph">
                  <wp:posOffset>572694</wp:posOffset>
                </wp:positionV>
                <wp:extent cx="39497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43535"/>
                        </a:xfrm>
                        <a:prstGeom prst="rect">
                          <a:avLst/>
                        </a:prstGeom>
                        <a:noFill/>
                        <a:ln w="9525">
                          <a:noFill/>
                          <a:miter lim="800000"/>
                          <a:headEnd/>
                          <a:tailEnd/>
                        </a:ln>
                      </wps:spPr>
                      <wps:txbx>
                        <w:txbxContent>
                          <w:p w14:paraId="1AA73C8F" w14:textId="7A35D880" w:rsidR="00A00042" w:rsidRPr="00A00042" w:rsidRDefault="00A00042" w:rsidP="00A00042">
                            <w:pPr>
                              <w:rPr>
                                <w:lang w:val="de-CH"/>
                              </w:rPr>
                            </w:pPr>
                            <w:r>
                              <w:rPr>
                                <w:lang w:val="de-CH"/>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6.25pt;margin-top:45.1pt;width:31.1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" filled="f" stroked="f">
                <v:textbox>
                  <w:txbxContent>
                    <w:p w14:paraId="1AA73C8F" w14:textId="7A35D880" w:rsidR="00A00042" w:rsidRPr="00A00042" w:rsidRDefault="00A00042" w:rsidP="00A00042">
                      <w:pPr>
                        <w:rPr>
                          <w:lang w:val="de-CH"/>
                        </w:rPr>
                      </w:pPr>
                      <w:r>
                        <w:rPr>
                          <w:lang w:val="de-CH"/>
                        </w:rPr>
                        <w:t>B</w:t>
                      </w:r>
                    </w:p>
                  </w:txbxContent>
                </v:textbox>
              </v:shape>
            </w:pict>
          </mc:Fallback>
        </mc:AlternateContent>
      </w:r>
      <w:proofErr w:type="gramStart"/>
      <w:r w:rsidR="00574E7C" w:rsidRPr="002A66BF">
        <w:rPr>
          <w:b/>
        </w:rPr>
        <w:t>Supplemental Figure 7.</w:t>
      </w:r>
      <w:proofErr w:type="gramEnd"/>
      <w:r w:rsidR="00574E7C" w:rsidRPr="002A66BF" w:rsidDel="001339E1">
        <w:rPr>
          <w:b/>
        </w:rPr>
        <w:t xml:space="preserve"> </w:t>
      </w:r>
      <w:r w:rsidRPr="002A66BF">
        <w:t>Characterization of stem cell humanized mice (HSC-NSG) generated in house.</w:t>
      </w:r>
    </w:p>
    <w:p w14:paraId="01D166D6" w14:textId="581EA989" w:rsidR="00574E7C" w:rsidRDefault="00574E7C" w:rsidP="00B51EB3">
      <w:pPr>
        <w:rPr>
          <w:b/>
        </w:rPr>
      </w:pPr>
      <w:r w:rsidRPr="00574E7C">
        <w:rPr>
          <w:b/>
          <w:noProof/>
          <w:lang w:eastAsia="zh-TW"/>
        </w:rPr>
        <w:drawing>
          <wp:anchor distT="0" distB="0" distL="114300" distR="114300" simplePos="0" relativeHeight="251659264" behindDoc="0" locked="0" layoutInCell="1" allowOverlap="1" wp14:anchorId="3ADE68F5" wp14:editId="3C6512E4">
            <wp:simplePos x="0" y="0"/>
            <wp:positionH relativeFrom="column">
              <wp:posOffset>10160</wp:posOffset>
            </wp:positionH>
            <wp:positionV relativeFrom="paragraph">
              <wp:posOffset>13970</wp:posOffset>
            </wp:positionV>
            <wp:extent cx="5549265" cy="1514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9265" cy="1514475"/>
                    </a:xfrm>
                    <a:prstGeom prst="rect">
                      <a:avLst/>
                    </a:prstGeom>
                    <a:noFill/>
                  </pic:spPr>
                </pic:pic>
              </a:graphicData>
            </a:graphic>
            <wp14:sizeRelH relativeFrom="page">
              <wp14:pctWidth>0</wp14:pctWidth>
            </wp14:sizeRelH>
            <wp14:sizeRelV relativeFrom="page">
              <wp14:pctHeight>0</wp14:pctHeight>
            </wp14:sizeRelV>
          </wp:anchor>
        </w:drawing>
      </w:r>
    </w:p>
    <w:p w14:paraId="5962D324" w14:textId="48C360DA" w:rsidR="00574E7C" w:rsidRDefault="00574E7C" w:rsidP="00B51EB3">
      <w:pPr>
        <w:rPr>
          <w:b/>
        </w:rPr>
      </w:pPr>
      <w:r w:rsidRPr="00574E7C">
        <w:rPr>
          <w:b/>
          <w:noProof/>
          <w:lang w:eastAsia="zh-TW"/>
        </w:rPr>
        <w:drawing>
          <wp:anchor distT="0" distB="0" distL="114300" distR="114300" simplePos="0" relativeHeight="251660288" behindDoc="0" locked="0" layoutInCell="1" allowOverlap="1" wp14:anchorId="57CE6C7B" wp14:editId="6A6A2AF8">
            <wp:simplePos x="0" y="0"/>
            <wp:positionH relativeFrom="column">
              <wp:posOffset>1620520</wp:posOffset>
            </wp:positionH>
            <wp:positionV relativeFrom="paragraph">
              <wp:posOffset>972947</wp:posOffset>
            </wp:positionV>
            <wp:extent cx="1968500" cy="1669415"/>
            <wp:effectExtent l="0" t="0" r="0" b="6985"/>
            <wp:wrapNone/>
            <wp:docPr id="21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8500" cy="16694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6D8BCEF" w14:textId="77777777" w:rsidR="00574E7C" w:rsidRDefault="00574E7C" w:rsidP="00B51EB3">
      <w:pPr>
        <w:rPr>
          <w:b/>
        </w:rPr>
      </w:pPr>
    </w:p>
    <w:p w14:paraId="13D4EB5A" w14:textId="2EFA11A3" w:rsidR="00574E7C" w:rsidRDefault="00A00042" w:rsidP="00B51EB3">
      <w:pPr>
        <w:rPr>
          <w:b/>
        </w:rPr>
      </w:pPr>
      <w:r w:rsidRPr="00A00042">
        <w:rPr>
          <w:b/>
          <w:noProof/>
          <w:lang w:eastAsia="zh-TW"/>
        </w:rPr>
        <mc:AlternateContent>
          <mc:Choice Requires="wps">
            <w:drawing>
              <wp:anchor distT="0" distB="0" distL="114300" distR="114300" simplePos="0" relativeHeight="251666432" behindDoc="0" locked="0" layoutInCell="1" allowOverlap="1" wp14:anchorId="3C7FC49D" wp14:editId="4A836EA9">
                <wp:simplePos x="0" y="0"/>
                <wp:positionH relativeFrom="column">
                  <wp:posOffset>1163320</wp:posOffset>
                </wp:positionH>
                <wp:positionV relativeFrom="paragraph">
                  <wp:posOffset>15875</wp:posOffset>
                </wp:positionV>
                <wp:extent cx="394970" cy="3435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43535"/>
                        </a:xfrm>
                        <a:prstGeom prst="rect">
                          <a:avLst/>
                        </a:prstGeom>
                        <a:noFill/>
                        <a:ln w="9525">
                          <a:noFill/>
                          <a:miter lim="800000"/>
                          <a:headEnd/>
                          <a:tailEnd/>
                        </a:ln>
                      </wps:spPr>
                      <wps:txbx>
                        <w:txbxContent>
                          <w:p w14:paraId="767986F0" w14:textId="3C5D39BD" w:rsidR="00A00042" w:rsidRPr="00A00042" w:rsidRDefault="00A00042" w:rsidP="00A00042">
                            <w:pPr>
                              <w:rPr>
                                <w:lang w:val="de-CH"/>
                              </w:rPr>
                            </w:pPr>
                            <w:r>
                              <w:rPr>
                                <w:lang w:val="de-CH"/>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1.6pt;margin-top:1.25pt;width:31.1pt;height:2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" filled="f" stroked="f">
                <v:textbox>
                  <w:txbxContent>
                    <w:p w14:paraId="767986F0" w14:textId="3C5D39BD" w:rsidR="00A00042" w:rsidRPr="00A00042" w:rsidRDefault="00A00042" w:rsidP="00A00042">
                      <w:pPr>
                        <w:rPr>
                          <w:lang w:val="de-CH"/>
                        </w:rPr>
                      </w:pPr>
                      <w:r>
                        <w:rPr>
                          <w:lang w:val="de-CH"/>
                        </w:rPr>
                        <w:t>C</w:t>
                      </w:r>
                    </w:p>
                  </w:txbxContent>
                </v:textbox>
              </v:shape>
            </w:pict>
          </mc:Fallback>
        </mc:AlternateContent>
      </w:r>
    </w:p>
    <w:p w14:paraId="6A559CF5" w14:textId="1E8D54C7" w:rsidR="00574E7C" w:rsidRDefault="00574E7C" w:rsidP="00B51EB3">
      <w:pPr>
        <w:rPr>
          <w:b/>
        </w:rPr>
      </w:pPr>
    </w:p>
    <w:p w14:paraId="717344DC" w14:textId="77777777" w:rsidR="00574E7C" w:rsidRDefault="00574E7C" w:rsidP="00B51EB3">
      <w:pPr>
        <w:rPr>
          <w:b/>
        </w:rPr>
      </w:pPr>
    </w:p>
    <w:p w14:paraId="6E258E4D" w14:textId="77777777" w:rsidR="00574E7C" w:rsidRDefault="00574E7C" w:rsidP="00B51EB3">
      <w:pPr>
        <w:rPr>
          <w:b/>
        </w:rPr>
      </w:pPr>
    </w:p>
    <w:p w14:paraId="31D10CD8" w14:textId="77777777" w:rsidR="00574E7C" w:rsidRPr="002A66BF" w:rsidRDefault="00574E7C" w:rsidP="00B51EB3">
      <w:pPr>
        <w:rPr>
          <w:b/>
        </w:rPr>
      </w:pPr>
    </w:p>
    <w:p w14:paraId="1767314A" w14:textId="37472A60" w:rsidR="00574E7C" w:rsidRPr="002A66BF" w:rsidRDefault="00574E7C" w:rsidP="001F52C7">
      <w:pPr>
        <w:shd w:val="clear" w:color="auto" w:fill="FFFFFF"/>
        <w:spacing w:after="100" w:line="240" w:lineRule="auto"/>
        <w:rPr>
          <w:rFonts w:eastAsia="Times New Roman" w:cs="Arial"/>
          <w:i/>
          <w:sz w:val="20"/>
          <w:szCs w:val="20"/>
        </w:rPr>
      </w:pPr>
      <w:r w:rsidRPr="002A66BF">
        <w:rPr>
          <w:rFonts w:eastAsia="Times New Roman" w:cs="Arial"/>
          <w:i/>
          <w:sz w:val="20"/>
          <w:szCs w:val="20"/>
        </w:rPr>
        <w:t>A) Flow Cytometry gating strategy</w:t>
      </w:r>
      <w:r w:rsidR="001F52C7" w:rsidRPr="002A66BF">
        <w:rPr>
          <w:rFonts w:eastAsia="Times New Roman" w:cs="Arial"/>
          <w:i/>
          <w:sz w:val="20"/>
          <w:szCs w:val="20"/>
        </w:rPr>
        <w:t xml:space="preserve"> for the characterization of human T and B cells in stem cell humanized mice (HSC-NSG) generated in house</w:t>
      </w:r>
      <w:r w:rsidRPr="002A66BF">
        <w:rPr>
          <w:rFonts w:eastAsia="Times New Roman" w:cs="Arial"/>
          <w:i/>
          <w:sz w:val="20"/>
          <w:szCs w:val="20"/>
        </w:rPr>
        <w:t>. B) Engraftment rate defined as human CD45 (huCD45) percentage of total leucocytes, human T cell (huCD3+) counts/</w:t>
      </w:r>
      <w:proofErr w:type="spellStart"/>
      <w:r w:rsidRPr="002A66BF">
        <w:rPr>
          <w:rFonts w:eastAsia="Times New Roman" w:cs="Arial"/>
          <w:i/>
          <w:sz w:val="20"/>
          <w:szCs w:val="20"/>
        </w:rPr>
        <w:t>ul</w:t>
      </w:r>
      <w:proofErr w:type="spellEnd"/>
      <w:r w:rsidRPr="002A66BF">
        <w:rPr>
          <w:rFonts w:eastAsia="Times New Roman" w:cs="Arial"/>
          <w:i/>
          <w:sz w:val="20"/>
          <w:szCs w:val="20"/>
        </w:rPr>
        <w:t xml:space="preserve"> and human B cell (huCD19+) counts/</w:t>
      </w:r>
      <w:proofErr w:type="spellStart"/>
      <w:r w:rsidRPr="002A66BF">
        <w:rPr>
          <w:rFonts w:eastAsia="Times New Roman" w:cs="Arial"/>
          <w:i/>
          <w:sz w:val="20"/>
          <w:szCs w:val="20"/>
        </w:rPr>
        <w:t>ul</w:t>
      </w:r>
      <w:proofErr w:type="spellEnd"/>
      <w:r w:rsidRPr="002A66BF">
        <w:rPr>
          <w:rFonts w:eastAsia="Times New Roman" w:cs="Arial"/>
          <w:i/>
          <w:sz w:val="20"/>
          <w:szCs w:val="20"/>
        </w:rPr>
        <w:t xml:space="preserve"> at 15 weeks post HSC injection. C) Characterization of human immune cell subsets in blood by flow cytometry. The percentage of NK cells, T cells, B cells and </w:t>
      </w:r>
      <w:proofErr w:type="gramStart"/>
      <w:r w:rsidRPr="002A66BF">
        <w:rPr>
          <w:rFonts w:eastAsia="Times New Roman" w:cs="Arial"/>
          <w:i/>
          <w:sz w:val="20"/>
          <w:szCs w:val="20"/>
        </w:rPr>
        <w:t>Myeloid</w:t>
      </w:r>
      <w:proofErr w:type="gramEnd"/>
      <w:r w:rsidRPr="002A66BF">
        <w:rPr>
          <w:rFonts w:eastAsia="Times New Roman" w:cs="Arial"/>
          <w:i/>
          <w:sz w:val="20"/>
          <w:szCs w:val="20"/>
        </w:rPr>
        <w:t xml:space="preserve"> cells among the huCD45+ population was analyzed at week 15 after stem cell injection in Blood of humanized mice and compared to the human blood as a reference. As shown in the graph, mainly human adaptive immune cells (T and B cells) develop in </w:t>
      </w:r>
      <w:r w:rsidR="00A00042" w:rsidRPr="002A66BF">
        <w:rPr>
          <w:rFonts w:eastAsia="Times New Roman" w:cs="Arial"/>
          <w:i/>
          <w:sz w:val="20"/>
          <w:szCs w:val="20"/>
        </w:rPr>
        <w:t xml:space="preserve">HSC-NSG </w:t>
      </w:r>
      <w:r w:rsidRPr="002A66BF">
        <w:rPr>
          <w:rFonts w:eastAsia="Times New Roman" w:cs="Arial"/>
          <w:i/>
          <w:sz w:val="20"/>
          <w:szCs w:val="20"/>
        </w:rPr>
        <w:t>mice</w:t>
      </w:r>
      <w:r w:rsidR="00A00042" w:rsidRPr="002A66BF">
        <w:rPr>
          <w:rFonts w:eastAsia="Times New Roman" w:cs="Arial"/>
          <w:i/>
          <w:sz w:val="20"/>
          <w:szCs w:val="20"/>
        </w:rPr>
        <w:t xml:space="preserve"> whereas h</w:t>
      </w:r>
      <w:r w:rsidRPr="002A66BF">
        <w:rPr>
          <w:rFonts w:eastAsia="Times New Roman" w:cs="Arial"/>
          <w:i/>
          <w:sz w:val="20"/>
          <w:szCs w:val="20"/>
        </w:rPr>
        <w:t>uman myeloid and NK cells are very low in frequency.</w:t>
      </w:r>
    </w:p>
    <w:p w14:paraId="3BE69176" w14:textId="77777777" w:rsidR="00574E7C" w:rsidRPr="00833816" w:rsidRDefault="00574E7C" w:rsidP="00B51EB3">
      <w:pPr>
        <w:rPr>
          <w:b/>
        </w:rPr>
      </w:pPr>
    </w:p>
    <w:sectPr w:rsidR="00574E7C" w:rsidRPr="00833816" w:rsidSect="00314121">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DE68E" w14:textId="77777777" w:rsidR="00585F5C" w:rsidRDefault="00585F5C" w:rsidP="00D35E9B">
      <w:pPr>
        <w:spacing w:before="0" w:after="0" w:line="240" w:lineRule="auto"/>
      </w:pPr>
      <w:r>
        <w:separator/>
      </w:r>
    </w:p>
  </w:endnote>
  <w:endnote w:type="continuationSeparator" w:id="0">
    <w:p w14:paraId="2125517E" w14:textId="77777777" w:rsidR="00585F5C" w:rsidRDefault="00585F5C" w:rsidP="00D35E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09616"/>
      <w:docPartObj>
        <w:docPartGallery w:val="Page Numbers (Bottom of Page)"/>
        <w:docPartUnique/>
      </w:docPartObj>
    </w:sdtPr>
    <w:sdtEndPr>
      <w:rPr>
        <w:noProof/>
      </w:rPr>
    </w:sdtEndPr>
    <w:sdtContent>
      <w:p w14:paraId="17FC229B" w14:textId="3439BD5E" w:rsidR="007337D0" w:rsidRDefault="007337D0">
        <w:pPr>
          <w:pStyle w:val="Footer"/>
          <w:jc w:val="center"/>
        </w:pPr>
        <w:r>
          <w:fldChar w:fldCharType="begin"/>
        </w:r>
        <w:r>
          <w:instrText xml:space="preserve"> PAGE   \* MERGEFORMAT </w:instrText>
        </w:r>
        <w:r>
          <w:fldChar w:fldCharType="separate"/>
        </w:r>
        <w:r w:rsidR="002A66BF">
          <w:rPr>
            <w:noProof/>
          </w:rPr>
          <w:t>2</w:t>
        </w:r>
        <w:r>
          <w:rPr>
            <w:noProof/>
          </w:rPr>
          <w:fldChar w:fldCharType="end"/>
        </w:r>
      </w:p>
    </w:sdtContent>
  </w:sdt>
  <w:p w14:paraId="3EC863F5" w14:textId="77777777" w:rsidR="007337D0" w:rsidRDefault="007337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8CA8B" w14:textId="77777777" w:rsidR="00585F5C" w:rsidRDefault="00585F5C" w:rsidP="00D35E9B">
      <w:pPr>
        <w:spacing w:before="0" w:after="0" w:line="240" w:lineRule="auto"/>
      </w:pPr>
      <w:r>
        <w:separator/>
      </w:r>
    </w:p>
  </w:footnote>
  <w:footnote w:type="continuationSeparator" w:id="0">
    <w:p w14:paraId="157D7D9E" w14:textId="77777777" w:rsidR="00585F5C" w:rsidRDefault="00585F5C" w:rsidP="00D35E9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E4440"/>
    <w:multiLevelType w:val="hybridMultilevel"/>
    <w:tmpl w:val="068A572A"/>
    <w:lvl w:ilvl="0" w:tplc="53BA69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1F"/>
    <w:rsid w:val="00001FB7"/>
    <w:rsid w:val="0004172F"/>
    <w:rsid w:val="00085614"/>
    <w:rsid w:val="0012340C"/>
    <w:rsid w:val="001F52C7"/>
    <w:rsid w:val="00221873"/>
    <w:rsid w:val="002771D3"/>
    <w:rsid w:val="00277592"/>
    <w:rsid w:val="002A66BF"/>
    <w:rsid w:val="002B3CE7"/>
    <w:rsid w:val="002B60DD"/>
    <w:rsid w:val="002D7C39"/>
    <w:rsid w:val="00314121"/>
    <w:rsid w:val="00361DF6"/>
    <w:rsid w:val="00381E5F"/>
    <w:rsid w:val="0045031B"/>
    <w:rsid w:val="0045541F"/>
    <w:rsid w:val="00497514"/>
    <w:rsid w:val="004C69BB"/>
    <w:rsid w:val="0054554D"/>
    <w:rsid w:val="00574E7C"/>
    <w:rsid w:val="00585F5C"/>
    <w:rsid w:val="00611256"/>
    <w:rsid w:val="00663419"/>
    <w:rsid w:val="00664191"/>
    <w:rsid w:val="00673785"/>
    <w:rsid w:val="006F79EC"/>
    <w:rsid w:val="007337D0"/>
    <w:rsid w:val="007801BB"/>
    <w:rsid w:val="00833816"/>
    <w:rsid w:val="00894416"/>
    <w:rsid w:val="008E323C"/>
    <w:rsid w:val="008F1B90"/>
    <w:rsid w:val="008F2EF8"/>
    <w:rsid w:val="00900E63"/>
    <w:rsid w:val="009165DB"/>
    <w:rsid w:val="00924B28"/>
    <w:rsid w:val="00960456"/>
    <w:rsid w:val="00997D51"/>
    <w:rsid w:val="00A00042"/>
    <w:rsid w:val="00B02EC1"/>
    <w:rsid w:val="00B24765"/>
    <w:rsid w:val="00B32941"/>
    <w:rsid w:val="00B51EB3"/>
    <w:rsid w:val="00B65636"/>
    <w:rsid w:val="00C771AD"/>
    <w:rsid w:val="00C92E2A"/>
    <w:rsid w:val="00CC5794"/>
    <w:rsid w:val="00CF3A54"/>
    <w:rsid w:val="00D35E9B"/>
    <w:rsid w:val="00D75E14"/>
    <w:rsid w:val="00D9324A"/>
    <w:rsid w:val="00DC64E7"/>
    <w:rsid w:val="00DF43EA"/>
    <w:rsid w:val="00EA08F7"/>
    <w:rsid w:val="00EC56FB"/>
    <w:rsid w:val="00F03D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41F"/>
    <w:pPr>
      <w:spacing w:before="60" w:after="180" w:line="480" w:lineRule="auto"/>
    </w:pPr>
    <w:rPr>
      <w:rFonts w:ascii="Arial" w:eastAsiaTheme="minorEastAsia" w:hAnsi="Arial" w:cs="Times New Roman"/>
    </w:rPr>
  </w:style>
  <w:style w:type="paragraph" w:styleId="Heading1">
    <w:name w:val="heading 1"/>
    <w:aliases w:val="Heading 11,Titol 1,Titre 11,titre 1"/>
    <w:basedOn w:val="Normal"/>
    <w:next w:val="Normal"/>
    <w:link w:val="Heading1Char"/>
    <w:qFormat/>
    <w:rsid w:val="0045541F"/>
    <w:pPr>
      <w:keepNext/>
      <w:keepLines/>
      <w:spacing w:before="240" w:after="120"/>
      <w:outlineLvl w:val="0"/>
    </w:pPr>
    <w:rPr>
      <w:rFonts w:cs="Arial"/>
      <w:b/>
      <w:bCs/>
      <w:sz w:val="28"/>
      <w:szCs w:val="28"/>
    </w:rPr>
  </w:style>
  <w:style w:type="paragraph" w:styleId="Heading2">
    <w:name w:val="heading 2"/>
    <w:basedOn w:val="Normal"/>
    <w:next w:val="Normal"/>
    <w:link w:val="Heading2Char"/>
    <w:uiPriority w:val="9"/>
    <w:unhideWhenUsed/>
    <w:qFormat/>
    <w:rsid w:val="00924B28"/>
    <w:pPr>
      <w:keepNext/>
      <w:spacing w:before="0" w:after="120"/>
      <w:outlineLvl w:val="1"/>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Titol 1 Char,Titre 11 Char,titre 1 Char"/>
    <w:basedOn w:val="DefaultParagraphFont"/>
    <w:link w:val="Heading1"/>
    <w:rsid w:val="0045541F"/>
    <w:rPr>
      <w:rFonts w:ascii="Arial" w:eastAsiaTheme="minorEastAsia" w:hAnsi="Arial" w:cs="Arial"/>
      <w:b/>
      <w:bCs/>
      <w:sz w:val="28"/>
      <w:szCs w:val="28"/>
    </w:rPr>
  </w:style>
  <w:style w:type="character" w:styleId="CommentReference">
    <w:name w:val="annotation reference"/>
    <w:basedOn w:val="DefaultParagraphFont"/>
    <w:unhideWhenUsed/>
    <w:rsid w:val="0045541F"/>
    <w:rPr>
      <w:sz w:val="16"/>
      <w:szCs w:val="16"/>
    </w:rPr>
  </w:style>
  <w:style w:type="paragraph" w:styleId="CommentText">
    <w:name w:val="annotation text"/>
    <w:basedOn w:val="Normal"/>
    <w:link w:val="CommentTextChar"/>
    <w:unhideWhenUsed/>
    <w:rsid w:val="0045541F"/>
    <w:pPr>
      <w:spacing w:after="60" w:line="240" w:lineRule="auto"/>
    </w:pPr>
    <w:rPr>
      <w:sz w:val="20"/>
      <w:szCs w:val="20"/>
    </w:rPr>
  </w:style>
  <w:style w:type="character" w:customStyle="1" w:styleId="CommentTextChar">
    <w:name w:val="Comment Text Char"/>
    <w:basedOn w:val="DefaultParagraphFont"/>
    <w:link w:val="CommentText"/>
    <w:rsid w:val="0045541F"/>
    <w:rPr>
      <w:rFonts w:ascii="Arial" w:eastAsiaTheme="minorEastAsia" w:hAnsi="Arial" w:cs="Times New Roman"/>
      <w:sz w:val="20"/>
      <w:szCs w:val="20"/>
    </w:rPr>
  </w:style>
  <w:style w:type="table" w:styleId="TableGrid">
    <w:name w:val="Table Grid"/>
    <w:basedOn w:val="TableNormal"/>
    <w:uiPriority w:val="59"/>
    <w:rsid w:val="0045541F"/>
    <w:pPr>
      <w:spacing w:after="0" w:line="240" w:lineRule="auto"/>
    </w:pPr>
    <w:rPr>
      <w:rFonts w:ascii="Calibri" w:eastAsiaTheme="minorEastAs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41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41F"/>
    <w:rPr>
      <w:rFonts w:ascii="Tahoma" w:eastAsiaTheme="minorEastAsia" w:hAnsi="Tahoma" w:cs="Tahoma"/>
      <w:sz w:val="16"/>
      <w:szCs w:val="16"/>
    </w:rPr>
  </w:style>
  <w:style w:type="paragraph" w:styleId="Header">
    <w:name w:val="header"/>
    <w:basedOn w:val="Normal"/>
    <w:link w:val="HeaderChar"/>
    <w:uiPriority w:val="99"/>
    <w:unhideWhenUsed/>
    <w:rsid w:val="00D35E9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35E9B"/>
    <w:rPr>
      <w:rFonts w:ascii="Arial" w:eastAsiaTheme="minorEastAsia" w:hAnsi="Arial" w:cs="Times New Roman"/>
    </w:rPr>
  </w:style>
  <w:style w:type="paragraph" w:styleId="Footer">
    <w:name w:val="footer"/>
    <w:basedOn w:val="Normal"/>
    <w:link w:val="FooterChar"/>
    <w:uiPriority w:val="99"/>
    <w:unhideWhenUsed/>
    <w:rsid w:val="00D35E9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35E9B"/>
    <w:rPr>
      <w:rFonts w:ascii="Arial" w:eastAsiaTheme="minorEastAsia" w:hAnsi="Arial" w:cs="Times New Roman"/>
    </w:rPr>
  </w:style>
  <w:style w:type="paragraph" w:styleId="CommentSubject">
    <w:name w:val="annotation subject"/>
    <w:basedOn w:val="CommentText"/>
    <w:next w:val="CommentText"/>
    <w:link w:val="CommentSubjectChar"/>
    <w:uiPriority w:val="99"/>
    <w:semiHidden/>
    <w:unhideWhenUsed/>
    <w:rsid w:val="00EA08F7"/>
    <w:pPr>
      <w:spacing w:after="180"/>
    </w:pPr>
    <w:rPr>
      <w:b/>
      <w:bCs/>
    </w:rPr>
  </w:style>
  <w:style w:type="character" w:customStyle="1" w:styleId="CommentSubjectChar">
    <w:name w:val="Comment Subject Char"/>
    <w:basedOn w:val="CommentTextChar"/>
    <w:link w:val="CommentSubject"/>
    <w:uiPriority w:val="99"/>
    <w:semiHidden/>
    <w:rsid w:val="00EA08F7"/>
    <w:rPr>
      <w:rFonts w:ascii="Arial" w:eastAsiaTheme="minorEastAsia" w:hAnsi="Arial" w:cs="Times New Roman"/>
      <w:b/>
      <w:bCs/>
      <w:sz w:val="20"/>
      <w:szCs w:val="20"/>
    </w:rPr>
  </w:style>
  <w:style w:type="character" w:customStyle="1" w:styleId="Heading2Char">
    <w:name w:val="Heading 2 Char"/>
    <w:basedOn w:val="DefaultParagraphFont"/>
    <w:link w:val="Heading2"/>
    <w:uiPriority w:val="9"/>
    <w:rsid w:val="00924B28"/>
    <w:rPr>
      <w:rFonts w:ascii="Arial" w:eastAsiaTheme="minorEastAsia" w:hAnsi="Arial" w:cs="Arial"/>
      <w:b/>
    </w:rPr>
  </w:style>
  <w:style w:type="paragraph" w:customStyle="1" w:styleId="JASuppfootnote">
    <w:name w:val="JA Supp footnote"/>
    <w:basedOn w:val="Normal"/>
    <w:qFormat/>
    <w:rsid w:val="00497514"/>
    <w:pPr>
      <w:spacing w:before="120" w:after="240" w:line="240" w:lineRule="auto"/>
    </w:pPr>
    <w:rPr>
      <w:i/>
      <w:sz w:val="20"/>
      <w:szCs w:val="20"/>
    </w:rPr>
  </w:style>
  <w:style w:type="paragraph" w:styleId="ListParagraph">
    <w:name w:val="List Paragraph"/>
    <w:basedOn w:val="Normal"/>
    <w:uiPriority w:val="34"/>
    <w:qFormat/>
    <w:rsid w:val="00574E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41F"/>
    <w:pPr>
      <w:spacing w:before="60" w:after="180" w:line="480" w:lineRule="auto"/>
    </w:pPr>
    <w:rPr>
      <w:rFonts w:ascii="Arial" w:eastAsiaTheme="minorEastAsia" w:hAnsi="Arial" w:cs="Times New Roman"/>
    </w:rPr>
  </w:style>
  <w:style w:type="paragraph" w:styleId="Heading1">
    <w:name w:val="heading 1"/>
    <w:aliases w:val="Heading 11,Titol 1,Titre 11,titre 1"/>
    <w:basedOn w:val="Normal"/>
    <w:next w:val="Normal"/>
    <w:link w:val="Heading1Char"/>
    <w:qFormat/>
    <w:rsid w:val="0045541F"/>
    <w:pPr>
      <w:keepNext/>
      <w:keepLines/>
      <w:spacing w:before="240" w:after="120"/>
      <w:outlineLvl w:val="0"/>
    </w:pPr>
    <w:rPr>
      <w:rFonts w:cs="Arial"/>
      <w:b/>
      <w:bCs/>
      <w:sz w:val="28"/>
      <w:szCs w:val="28"/>
    </w:rPr>
  </w:style>
  <w:style w:type="paragraph" w:styleId="Heading2">
    <w:name w:val="heading 2"/>
    <w:basedOn w:val="Normal"/>
    <w:next w:val="Normal"/>
    <w:link w:val="Heading2Char"/>
    <w:uiPriority w:val="9"/>
    <w:unhideWhenUsed/>
    <w:qFormat/>
    <w:rsid w:val="00924B28"/>
    <w:pPr>
      <w:keepNext/>
      <w:spacing w:before="0" w:after="120"/>
      <w:outlineLvl w:val="1"/>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Titol 1 Char,Titre 11 Char,titre 1 Char"/>
    <w:basedOn w:val="DefaultParagraphFont"/>
    <w:link w:val="Heading1"/>
    <w:rsid w:val="0045541F"/>
    <w:rPr>
      <w:rFonts w:ascii="Arial" w:eastAsiaTheme="minorEastAsia" w:hAnsi="Arial" w:cs="Arial"/>
      <w:b/>
      <w:bCs/>
      <w:sz w:val="28"/>
      <w:szCs w:val="28"/>
    </w:rPr>
  </w:style>
  <w:style w:type="character" w:styleId="CommentReference">
    <w:name w:val="annotation reference"/>
    <w:basedOn w:val="DefaultParagraphFont"/>
    <w:unhideWhenUsed/>
    <w:rsid w:val="0045541F"/>
    <w:rPr>
      <w:sz w:val="16"/>
      <w:szCs w:val="16"/>
    </w:rPr>
  </w:style>
  <w:style w:type="paragraph" w:styleId="CommentText">
    <w:name w:val="annotation text"/>
    <w:basedOn w:val="Normal"/>
    <w:link w:val="CommentTextChar"/>
    <w:unhideWhenUsed/>
    <w:rsid w:val="0045541F"/>
    <w:pPr>
      <w:spacing w:after="60" w:line="240" w:lineRule="auto"/>
    </w:pPr>
    <w:rPr>
      <w:sz w:val="20"/>
      <w:szCs w:val="20"/>
    </w:rPr>
  </w:style>
  <w:style w:type="character" w:customStyle="1" w:styleId="CommentTextChar">
    <w:name w:val="Comment Text Char"/>
    <w:basedOn w:val="DefaultParagraphFont"/>
    <w:link w:val="CommentText"/>
    <w:rsid w:val="0045541F"/>
    <w:rPr>
      <w:rFonts w:ascii="Arial" w:eastAsiaTheme="minorEastAsia" w:hAnsi="Arial" w:cs="Times New Roman"/>
      <w:sz w:val="20"/>
      <w:szCs w:val="20"/>
    </w:rPr>
  </w:style>
  <w:style w:type="table" w:styleId="TableGrid">
    <w:name w:val="Table Grid"/>
    <w:basedOn w:val="TableNormal"/>
    <w:uiPriority w:val="59"/>
    <w:rsid w:val="0045541F"/>
    <w:pPr>
      <w:spacing w:after="0" w:line="240" w:lineRule="auto"/>
    </w:pPr>
    <w:rPr>
      <w:rFonts w:ascii="Calibri" w:eastAsiaTheme="minorEastAs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41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41F"/>
    <w:rPr>
      <w:rFonts w:ascii="Tahoma" w:eastAsiaTheme="minorEastAsia" w:hAnsi="Tahoma" w:cs="Tahoma"/>
      <w:sz w:val="16"/>
      <w:szCs w:val="16"/>
    </w:rPr>
  </w:style>
  <w:style w:type="paragraph" w:styleId="Header">
    <w:name w:val="header"/>
    <w:basedOn w:val="Normal"/>
    <w:link w:val="HeaderChar"/>
    <w:uiPriority w:val="99"/>
    <w:unhideWhenUsed/>
    <w:rsid w:val="00D35E9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35E9B"/>
    <w:rPr>
      <w:rFonts w:ascii="Arial" w:eastAsiaTheme="minorEastAsia" w:hAnsi="Arial" w:cs="Times New Roman"/>
    </w:rPr>
  </w:style>
  <w:style w:type="paragraph" w:styleId="Footer">
    <w:name w:val="footer"/>
    <w:basedOn w:val="Normal"/>
    <w:link w:val="FooterChar"/>
    <w:uiPriority w:val="99"/>
    <w:unhideWhenUsed/>
    <w:rsid w:val="00D35E9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35E9B"/>
    <w:rPr>
      <w:rFonts w:ascii="Arial" w:eastAsiaTheme="minorEastAsia" w:hAnsi="Arial" w:cs="Times New Roman"/>
    </w:rPr>
  </w:style>
  <w:style w:type="paragraph" w:styleId="CommentSubject">
    <w:name w:val="annotation subject"/>
    <w:basedOn w:val="CommentText"/>
    <w:next w:val="CommentText"/>
    <w:link w:val="CommentSubjectChar"/>
    <w:uiPriority w:val="99"/>
    <w:semiHidden/>
    <w:unhideWhenUsed/>
    <w:rsid w:val="00EA08F7"/>
    <w:pPr>
      <w:spacing w:after="180"/>
    </w:pPr>
    <w:rPr>
      <w:b/>
      <w:bCs/>
    </w:rPr>
  </w:style>
  <w:style w:type="character" w:customStyle="1" w:styleId="CommentSubjectChar">
    <w:name w:val="Comment Subject Char"/>
    <w:basedOn w:val="CommentTextChar"/>
    <w:link w:val="CommentSubject"/>
    <w:uiPriority w:val="99"/>
    <w:semiHidden/>
    <w:rsid w:val="00EA08F7"/>
    <w:rPr>
      <w:rFonts w:ascii="Arial" w:eastAsiaTheme="minorEastAsia" w:hAnsi="Arial" w:cs="Times New Roman"/>
      <w:b/>
      <w:bCs/>
      <w:sz w:val="20"/>
      <w:szCs w:val="20"/>
    </w:rPr>
  </w:style>
  <w:style w:type="character" w:customStyle="1" w:styleId="Heading2Char">
    <w:name w:val="Heading 2 Char"/>
    <w:basedOn w:val="DefaultParagraphFont"/>
    <w:link w:val="Heading2"/>
    <w:uiPriority w:val="9"/>
    <w:rsid w:val="00924B28"/>
    <w:rPr>
      <w:rFonts w:ascii="Arial" w:eastAsiaTheme="minorEastAsia" w:hAnsi="Arial" w:cs="Arial"/>
      <w:b/>
    </w:rPr>
  </w:style>
  <w:style w:type="paragraph" w:customStyle="1" w:styleId="JASuppfootnote">
    <w:name w:val="JA Supp footnote"/>
    <w:basedOn w:val="Normal"/>
    <w:qFormat/>
    <w:rsid w:val="00497514"/>
    <w:pPr>
      <w:spacing w:before="120" w:after="240" w:line="240" w:lineRule="auto"/>
    </w:pPr>
    <w:rPr>
      <w:i/>
      <w:sz w:val="20"/>
      <w:szCs w:val="20"/>
    </w:rPr>
  </w:style>
  <w:style w:type="paragraph" w:styleId="ListParagraph">
    <w:name w:val="List Paragraph"/>
    <w:basedOn w:val="Normal"/>
    <w:uiPriority w:val="34"/>
    <w:qFormat/>
    <w:rsid w:val="00574E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21356">
      <w:bodyDiv w:val="1"/>
      <w:marLeft w:val="0"/>
      <w:marRight w:val="0"/>
      <w:marTop w:val="0"/>
      <w:marBottom w:val="0"/>
      <w:divBdr>
        <w:top w:val="none" w:sz="0" w:space="0" w:color="auto"/>
        <w:left w:val="none" w:sz="0" w:space="0" w:color="auto"/>
        <w:bottom w:val="none" w:sz="0" w:space="0" w:color="auto"/>
        <w:right w:val="none" w:sz="0" w:space="0" w:color="auto"/>
      </w:divBdr>
    </w:div>
    <w:div w:id="152993101">
      <w:bodyDiv w:val="1"/>
      <w:marLeft w:val="0"/>
      <w:marRight w:val="0"/>
      <w:marTop w:val="0"/>
      <w:marBottom w:val="0"/>
      <w:divBdr>
        <w:top w:val="none" w:sz="0" w:space="0" w:color="auto"/>
        <w:left w:val="none" w:sz="0" w:space="0" w:color="auto"/>
        <w:bottom w:val="none" w:sz="0" w:space="0" w:color="auto"/>
        <w:right w:val="none" w:sz="0" w:space="0" w:color="auto"/>
      </w:divBdr>
    </w:div>
    <w:div w:id="236717409">
      <w:bodyDiv w:val="1"/>
      <w:marLeft w:val="0"/>
      <w:marRight w:val="0"/>
      <w:marTop w:val="0"/>
      <w:marBottom w:val="0"/>
      <w:divBdr>
        <w:top w:val="none" w:sz="0" w:space="0" w:color="auto"/>
        <w:left w:val="none" w:sz="0" w:space="0" w:color="auto"/>
        <w:bottom w:val="none" w:sz="0" w:space="0" w:color="auto"/>
        <w:right w:val="none" w:sz="0" w:space="0" w:color="auto"/>
      </w:divBdr>
    </w:div>
    <w:div w:id="402946533">
      <w:bodyDiv w:val="1"/>
      <w:marLeft w:val="0"/>
      <w:marRight w:val="0"/>
      <w:marTop w:val="0"/>
      <w:marBottom w:val="0"/>
      <w:divBdr>
        <w:top w:val="none" w:sz="0" w:space="0" w:color="auto"/>
        <w:left w:val="none" w:sz="0" w:space="0" w:color="auto"/>
        <w:bottom w:val="none" w:sz="0" w:space="0" w:color="auto"/>
        <w:right w:val="none" w:sz="0" w:space="0" w:color="auto"/>
      </w:divBdr>
    </w:div>
    <w:div w:id="638921142">
      <w:bodyDiv w:val="1"/>
      <w:marLeft w:val="0"/>
      <w:marRight w:val="0"/>
      <w:marTop w:val="0"/>
      <w:marBottom w:val="0"/>
      <w:divBdr>
        <w:top w:val="none" w:sz="0" w:space="0" w:color="auto"/>
        <w:left w:val="none" w:sz="0" w:space="0" w:color="auto"/>
        <w:bottom w:val="none" w:sz="0" w:space="0" w:color="auto"/>
        <w:right w:val="none" w:sz="0" w:space="0" w:color="auto"/>
      </w:divBdr>
    </w:div>
    <w:div w:id="1037239001">
      <w:bodyDiv w:val="1"/>
      <w:marLeft w:val="0"/>
      <w:marRight w:val="0"/>
      <w:marTop w:val="0"/>
      <w:marBottom w:val="0"/>
      <w:divBdr>
        <w:top w:val="none" w:sz="0" w:space="0" w:color="auto"/>
        <w:left w:val="none" w:sz="0" w:space="0" w:color="auto"/>
        <w:bottom w:val="none" w:sz="0" w:space="0" w:color="auto"/>
        <w:right w:val="none" w:sz="0" w:space="0" w:color="auto"/>
      </w:divBdr>
    </w:div>
    <w:div w:id="1118719834">
      <w:bodyDiv w:val="1"/>
      <w:marLeft w:val="0"/>
      <w:marRight w:val="0"/>
      <w:marTop w:val="0"/>
      <w:marBottom w:val="0"/>
      <w:divBdr>
        <w:top w:val="none" w:sz="0" w:space="0" w:color="auto"/>
        <w:left w:val="none" w:sz="0" w:space="0" w:color="auto"/>
        <w:bottom w:val="none" w:sz="0" w:space="0" w:color="auto"/>
        <w:right w:val="none" w:sz="0" w:space="0" w:color="auto"/>
      </w:divBdr>
    </w:div>
    <w:div w:id="1911193118">
      <w:bodyDiv w:val="1"/>
      <w:marLeft w:val="0"/>
      <w:marRight w:val="0"/>
      <w:marTop w:val="0"/>
      <w:marBottom w:val="0"/>
      <w:divBdr>
        <w:top w:val="none" w:sz="0" w:space="0" w:color="auto"/>
        <w:left w:val="none" w:sz="0" w:space="0" w:color="auto"/>
        <w:bottom w:val="none" w:sz="0" w:space="0" w:color="auto"/>
        <w:right w:val="none" w:sz="0" w:space="0" w:color="auto"/>
      </w:divBdr>
    </w:div>
    <w:div w:id="20902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 Hoffmann-La Roche, Ltd.</Company>
  <LinksUpToDate>false</LinksUpToDate>
  <CharactersWithSpaces>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Bacac, Marina {PORS~Schlieren}</cp:lastModifiedBy>
  <cp:revision>4</cp:revision>
  <dcterms:created xsi:type="dcterms:W3CDTF">2018-03-23T16:11:00Z</dcterms:created>
  <dcterms:modified xsi:type="dcterms:W3CDTF">2018-04-12T20:40:00Z</dcterms:modified>
</cp:coreProperties>
</file>