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9121" w14:textId="77777777" w:rsidR="00966637" w:rsidRDefault="00966637" w:rsidP="00966637">
      <w:pPr>
        <w:jc w:val="both"/>
        <w:outlineLvl w:val="0"/>
        <w:rPr>
          <w:rFonts w:ascii="Times" w:hAnsi="Times"/>
          <w:b/>
        </w:rPr>
      </w:pPr>
      <w:r>
        <w:rPr>
          <w:rFonts w:ascii="Times" w:hAnsi="Times"/>
          <w:b/>
        </w:rPr>
        <w:t>Supplementary f</w:t>
      </w:r>
      <w:r w:rsidRPr="00622DE6">
        <w:rPr>
          <w:rFonts w:ascii="Times" w:hAnsi="Times"/>
          <w:b/>
        </w:rPr>
        <w:t>igure legends</w:t>
      </w:r>
    </w:p>
    <w:p w14:paraId="2C455F81" w14:textId="77777777" w:rsidR="00966637" w:rsidRPr="00622DE6" w:rsidRDefault="00966637" w:rsidP="00966637">
      <w:pPr>
        <w:jc w:val="both"/>
        <w:rPr>
          <w:rFonts w:ascii="Times" w:hAnsi="Times"/>
          <w:b/>
        </w:rPr>
      </w:pPr>
    </w:p>
    <w:p w14:paraId="7C6D9A65" w14:textId="77777777" w:rsidR="00966637" w:rsidRDefault="00966637" w:rsidP="00966637">
      <w:pPr>
        <w:jc w:val="both"/>
        <w:outlineLvl w:val="0"/>
        <w:rPr>
          <w:rFonts w:ascii="Times" w:hAnsi="Times"/>
          <w:b/>
        </w:rPr>
      </w:pPr>
      <w:r>
        <w:rPr>
          <w:rFonts w:ascii="Times" w:hAnsi="Times"/>
          <w:b/>
        </w:rPr>
        <w:t>Supplementary f</w:t>
      </w:r>
      <w:r w:rsidRPr="00622DE6">
        <w:rPr>
          <w:rFonts w:ascii="Times" w:hAnsi="Times"/>
          <w:b/>
        </w:rPr>
        <w:t>igure 1</w:t>
      </w:r>
      <w:r>
        <w:rPr>
          <w:rFonts w:ascii="Times" w:hAnsi="Times"/>
          <w:b/>
        </w:rPr>
        <w:t>. Ovarian cancer cell lines used as references.</w:t>
      </w:r>
    </w:p>
    <w:p w14:paraId="13C92049" w14:textId="0C23CDF5" w:rsidR="00966637" w:rsidRDefault="00966637" w:rsidP="00966637">
      <w:pPr>
        <w:jc w:val="both"/>
        <w:rPr>
          <w:rFonts w:ascii="Times" w:hAnsi="Times"/>
        </w:rPr>
      </w:pPr>
      <w:r w:rsidRPr="00DA7E31">
        <w:rPr>
          <w:rFonts w:ascii="Times" w:hAnsi="Times"/>
          <w:b/>
        </w:rPr>
        <w:t>(A</w:t>
      </w:r>
      <w:r w:rsidR="005C4AD9">
        <w:rPr>
          <w:rFonts w:ascii="Times" w:hAnsi="Times"/>
          <w:b/>
        </w:rPr>
        <w:t>-D</w:t>
      </w:r>
      <w:r w:rsidRPr="00DA7E31">
        <w:rPr>
          <w:rFonts w:ascii="Times" w:hAnsi="Times"/>
          <w:b/>
        </w:rPr>
        <w:t>)</w:t>
      </w:r>
      <w:r>
        <w:rPr>
          <w:rFonts w:ascii="Times" w:hAnsi="Times"/>
        </w:rPr>
        <w:t xml:space="preserve"> Examples of immunostaining for DNA damage (visualized by </w:t>
      </w:r>
      <w:r>
        <w:rPr>
          <w:rFonts w:ascii="Times" w:hAnsi="Times"/>
        </w:rPr>
        <w:sym w:font="Symbol" w:char="F067"/>
      </w:r>
      <w:r>
        <w:rPr>
          <w:rFonts w:ascii="Times" w:hAnsi="Times"/>
        </w:rPr>
        <w:t xml:space="preserve">H2Ax, in green) and HR-mediated repair (visualized by RAD51, in magenta) in </w:t>
      </w:r>
      <w:r w:rsidR="00A27FD7">
        <w:rPr>
          <w:rFonts w:ascii="Times" w:hAnsi="Times"/>
        </w:rPr>
        <w:t>the HR-proficient OVCAR-3 (A</w:t>
      </w:r>
      <w:r>
        <w:rPr>
          <w:rFonts w:ascii="Times" w:hAnsi="Times"/>
        </w:rPr>
        <w:t xml:space="preserve">) and </w:t>
      </w:r>
      <w:r w:rsidR="00A74F5D">
        <w:rPr>
          <w:rFonts w:ascii="Times" w:hAnsi="Times"/>
        </w:rPr>
        <w:t xml:space="preserve">COV318 (B), </w:t>
      </w:r>
      <w:r w:rsidR="00A27FD7">
        <w:rPr>
          <w:rFonts w:ascii="Times" w:hAnsi="Times"/>
        </w:rPr>
        <w:t>and HR-deficient OVCAR-8 (C</w:t>
      </w:r>
      <w:r>
        <w:rPr>
          <w:rFonts w:ascii="Times" w:hAnsi="Times"/>
        </w:rPr>
        <w:t xml:space="preserve">) </w:t>
      </w:r>
      <w:r w:rsidR="00A27FD7">
        <w:rPr>
          <w:rFonts w:ascii="Times" w:hAnsi="Times"/>
        </w:rPr>
        <w:t xml:space="preserve">and </w:t>
      </w:r>
      <w:proofErr w:type="spellStart"/>
      <w:r w:rsidR="00A27FD7">
        <w:rPr>
          <w:rFonts w:ascii="Times" w:hAnsi="Times"/>
        </w:rPr>
        <w:t>Kuramochi</w:t>
      </w:r>
      <w:proofErr w:type="spellEnd"/>
      <w:r w:rsidR="00A27FD7">
        <w:rPr>
          <w:rFonts w:ascii="Times" w:hAnsi="Times"/>
        </w:rPr>
        <w:t xml:space="preserve"> (D) </w:t>
      </w:r>
      <w:r>
        <w:rPr>
          <w:rFonts w:ascii="Times" w:hAnsi="Times"/>
        </w:rPr>
        <w:t>cells. RAD51 can be detected only in few ce</w:t>
      </w:r>
      <w:r w:rsidR="00363AD5">
        <w:rPr>
          <w:rFonts w:ascii="Times" w:hAnsi="Times"/>
        </w:rPr>
        <w:t xml:space="preserve">lls in the HR-deficient </w:t>
      </w:r>
      <w:r>
        <w:rPr>
          <w:rFonts w:ascii="Times" w:hAnsi="Times"/>
        </w:rPr>
        <w:t>cell line</w:t>
      </w:r>
      <w:r w:rsidR="00363AD5">
        <w:rPr>
          <w:rFonts w:ascii="Times" w:hAnsi="Times"/>
        </w:rPr>
        <w:t>s</w:t>
      </w:r>
      <w:r>
        <w:rPr>
          <w:rFonts w:ascii="Times" w:hAnsi="Times"/>
        </w:rPr>
        <w:t>.</w:t>
      </w:r>
    </w:p>
    <w:p w14:paraId="25E85348" w14:textId="321049F4" w:rsidR="00966637" w:rsidRDefault="005C4AD9" w:rsidP="00966637">
      <w:pPr>
        <w:jc w:val="both"/>
        <w:rPr>
          <w:rFonts w:ascii="Times" w:hAnsi="Times"/>
        </w:rPr>
      </w:pPr>
      <w:r>
        <w:rPr>
          <w:rFonts w:ascii="Times" w:hAnsi="Times"/>
          <w:b/>
        </w:rPr>
        <w:t>(E-F</w:t>
      </w:r>
      <w:r w:rsidR="00966637" w:rsidRPr="00DA7E31">
        <w:rPr>
          <w:rFonts w:ascii="Times" w:hAnsi="Times"/>
          <w:b/>
        </w:rPr>
        <w:t>)</w:t>
      </w:r>
      <w:r w:rsidR="00966637">
        <w:rPr>
          <w:rFonts w:ascii="Times" w:hAnsi="Times"/>
        </w:rPr>
        <w:t xml:space="preserve"> Co-immunostaining for HR-mediated DNA damage repair (RAD51, in magenta) and the cell cycle markers for G1 (Cyclin E2, in orange) and G2 phase (Cyclin A2, in green). Co-localization CyclinA2-RAD51 indicates that cells are performing HR and therefore HR-pro</w:t>
      </w:r>
      <w:r>
        <w:rPr>
          <w:rFonts w:ascii="Times" w:hAnsi="Times"/>
        </w:rPr>
        <w:t>ficient, as seen for OVCAR-3 (E</w:t>
      </w:r>
      <w:r w:rsidR="00966637">
        <w:rPr>
          <w:rFonts w:ascii="Times" w:hAnsi="Times"/>
        </w:rPr>
        <w:t>). In contrast, CyclinA2-positive OVCAR-8 cells fail to form RAD51 foci, thus demonstrati</w:t>
      </w:r>
      <w:r>
        <w:rPr>
          <w:rFonts w:ascii="Times" w:hAnsi="Times"/>
        </w:rPr>
        <w:t>ng HR-deficiency (F</w:t>
      </w:r>
      <w:r w:rsidR="00966637">
        <w:rPr>
          <w:rFonts w:ascii="Times" w:hAnsi="Times"/>
        </w:rPr>
        <w:t>). Scale bar represents 500 µm.</w:t>
      </w:r>
    </w:p>
    <w:p w14:paraId="5CCFC4ED" w14:textId="77777777" w:rsidR="00966637" w:rsidRDefault="00966637" w:rsidP="00966637">
      <w:pPr>
        <w:jc w:val="both"/>
        <w:rPr>
          <w:rFonts w:ascii="Times" w:hAnsi="Times"/>
        </w:rPr>
      </w:pPr>
    </w:p>
    <w:p w14:paraId="7FF28912" w14:textId="54735155" w:rsidR="007F2279" w:rsidRDefault="007F2279" w:rsidP="007F2279">
      <w:pPr>
        <w:jc w:val="both"/>
        <w:outlineLvl w:val="0"/>
        <w:rPr>
          <w:rFonts w:ascii="Times" w:hAnsi="Times"/>
          <w:b/>
        </w:rPr>
      </w:pPr>
      <w:r>
        <w:rPr>
          <w:rFonts w:ascii="Times" w:hAnsi="Times"/>
          <w:b/>
        </w:rPr>
        <w:t xml:space="preserve">Supplementary figure 2. </w:t>
      </w:r>
      <w:r w:rsidR="00D67A07">
        <w:rPr>
          <w:rFonts w:ascii="Times" w:hAnsi="Times"/>
          <w:b/>
        </w:rPr>
        <w:t>Assessing the i</w:t>
      </w:r>
      <w:r w:rsidR="00000B06">
        <w:rPr>
          <w:rFonts w:ascii="Times" w:hAnsi="Times"/>
          <w:b/>
        </w:rPr>
        <w:t>ntra-sample</w:t>
      </w:r>
      <w:r>
        <w:rPr>
          <w:rFonts w:ascii="Times" w:hAnsi="Times"/>
          <w:b/>
        </w:rPr>
        <w:t xml:space="preserve"> heterogeneity in </w:t>
      </w:r>
      <w:proofErr w:type="spellStart"/>
      <w:r>
        <w:rPr>
          <w:rFonts w:ascii="Times" w:hAnsi="Times"/>
          <w:b/>
        </w:rPr>
        <w:t>tumor</w:t>
      </w:r>
      <w:proofErr w:type="spellEnd"/>
      <w:r>
        <w:rPr>
          <w:rFonts w:ascii="Times" w:hAnsi="Times"/>
          <w:b/>
        </w:rPr>
        <w:t xml:space="preserve"> vs stroma</w:t>
      </w:r>
      <w:r w:rsidR="00371A20">
        <w:rPr>
          <w:rFonts w:ascii="Times" w:hAnsi="Times"/>
          <w:b/>
        </w:rPr>
        <w:t xml:space="preserve"> </w:t>
      </w:r>
      <w:r w:rsidR="00D67A07">
        <w:rPr>
          <w:rFonts w:ascii="Times" w:hAnsi="Times"/>
          <w:b/>
        </w:rPr>
        <w:t xml:space="preserve">is crucial for accurate quantification of </w:t>
      </w:r>
      <w:proofErr w:type="spellStart"/>
      <w:r w:rsidR="00D67A07">
        <w:rPr>
          <w:rFonts w:ascii="Times" w:hAnsi="Times"/>
          <w:b/>
        </w:rPr>
        <w:t>tumor</w:t>
      </w:r>
      <w:proofErr w:type="spellEnd"/>
      <w:r w:rsidR="00D67A07">
        <w:rPr>
          <w:rFonts w:ascii="Times" w:hAnsi="Times"/>
          <w:b/>
        </w:rPr>
        <w:t xml:space="preserve"> functional HRD.</w:t>
      </w:r>
    </w:p>
    <w:p w14:paraId="5FE44D38" w14:textId="4E64A3B8" w:rsidR="00D67A07" w:rsidRPr="00896025" w:rsidRDefault="00896025" w:rsidP="007F2279">
      <w:pPr>
        <w:jc w:val="both"/>
        <w:outlineLvl w:val="0"/>
        <w:rPr>
          <w:rFonts w:ascii="Times" w:hAnsi="Times"/>
        </w:rPr>
      </w:pPr>
      <w:r>
        <w:rPr>
          <w:rFonts w:ascii="Times" w:hAnsi="Times"/>
          <w:b/>
        </w:rPr>
        <w:t xml:space="preserve">(A-D) </w:t>
      </w:r>
      <w:r>
        <w:rPr>
          <w:rFonts w:ascii="Times" w:hAnsi="Times"/>
        </w:rPr>
        <w:t xml:space="preserve">Examples of immunostaining for </w:t>
      </w:r>
      <w:r w:rsidRPr="00896025">
        <w:rPr>
          <w:rFonts w:ascii="Times" w:hAnsi="Times"/>
          <w:i/>
        </w:rPr>
        <w:t>bona fide</w:t>
      </w:r>
      <w:r>
        <w:rPr>
          <w:rFonts w:ascii="Times" w:hAnsi="Times"/>
        </w:rPr>
        <w:t xml:space="preserve"> epithelial cancer cells (visualised by CK7, in green) and stromal cells (visualised by vimentin, in magenta).</w:t>
      </w:r>
      <w:r w:rsidR="00A86CD2">
        <w:rPr>
          <w:rFonts w:ascii="Times" w:hAnsi="Times"/>
        </w:rPr>
        <w:t xml:space="preserve"> Note how epithelial cells </w:t>
      </w:r>
      <w:r w:rsidR="0042037D">
        <w:rPr>
          <w:rFonts w:ascii="Times" w:hAnsi="Times"/>
        </w:rPr>
        <w:t>grow in nests, as opposed to stromal cells.</w:t>
      </w:r>
      <w:r w:rsidR="00465B29">
        <w:rPr>
          <w:rFonts w:ascii="Times" w:hAnsi="Times"/>
        </w:rPr>
        <w:t xml:space="preserve"> </w:t>
      </w:r>
      <w:r w:rsidR="00465B29" w:rsidRPr="0026025C">
        <w:rPr>
          <w:rFonts w:ascii="Times" w:hAnsi="Times"/>
          <w:b/>
        </w:rPr>
        <w:t>(E)</w:t>
      </w:r>
      <w:r w:rsidR="00465B29">
        <w:rPr>
          <w:rFonts w:ascii="Times" w:hAnsi="Times"/>
        </w:rPr>
        <w:t xml:space="preserve"> </w:t>
      </w:r>
      <w:r w:rsidR="00DE7774">
        <w:rPr>
          <w:rFonts w:ascii="Times" w:hAnsi="Times"/>
        </w:rPr>
        <w:t>Quantification of the epithelial (CK7-positive) fraction in all individual samples included in the study.</w:t>
      </w:r>
      <w:r w:rsidR="0029607C">
        <w:rPr>
          <w:rFonts w:ascii="Times" w:hAnsi="Times"/>
        </w:rPr>
        <w:t xml:space="preserve"> </w:t>
      </w:r>
      <w:r w:rsidR="0029607C" w:rsidRPr="00732056">
        <w:rPr>
          <w:rFonts w:ascii="Times" w:hAnsi="Times"/>
          <w:b/>
        </w:rPr>
        <w:t>(F)</w:t>
      </w:r>
      <w:r w:rsidR="0029607C">
        <w:rPr>
          <w:rFonts w:ascii="Times" w:hAnsi="Times"/>
        </w:rPr>
        <w:t xml:space="preserve"> Comparison </w:t>
      </w:r>
      <w:r w:rsidR="00C1507C">
        <w:rPr>
          <w:rFonts w:ascii="Times" w:hAnsi="Times"/>
        </w:rPr>
        <w:t>between</w:t>
      </w:r>
      <w:r w:rsidR="0029607C">
        <w:rPr>
          <w:rFonts w:ascii="Times" w:hAnsi="Times"/>
        </w:rPr>
        <w:t xml:space="preserve"> “global HR”, calculated as percentage of RAD51-positive/total cells (striped </w:t>
      </w:r>
      <w:proofErr w:type="spellStart"/>
      <w:r w:rsidR="0029607C">
        <w:rPr>
          <w:rFonts w:ascii="Times" w:hAnsi="Times"/>
        </w:rPr>
        <w:t>bars</w:t>
      </w:r>
      <w:proofErr w:type="spellEnd"/>
      <w:r w:rsidR="0029607C">
        <w:rPr>
          <w:rFonts w:ascii="Times" w:hAnsi="Times"/>
        </w:rPr>
        <w:t>), and the HR score, calculated as percentage of CK7-CyclinA2-RAD51 triple-positive/epithelial cells (solid bars, HR-deficient=green, HR-low=yellow, HR-proficient=red).</w:t>
      </w:r>
      <w:r w:rsidR="00BE2234">
        <w:rPr>
          <w:rFonts w:ascii="Times" w:hAnsi="Times"/>
        </w:rPr>
        <w:t xml:space="preserve"> Note how different the two HR quantifications can be in some samples, due to </w:t>
      </w:r>
      <w:proofErr w:type="spellStart"/>
      <w:r w:rsidR="00BE2234">
        <w:rPr>
          <w:rFonts w:ascii="Times" w:hAnsi="Times"/>
        </w:rPr>
        <w:t>tumor</w:t>
      </w:r>
      <w:proofErr w:type="spellEnd"/>
      <w:r w:rsidR="00BE2234">
        <w:rPr>
          <w:rFonts w:ascii="Times" w:hAnsi="Times"/>
        </w:rPr>
        <w:t xml:space="preserve"> purities.</w:t>
      </w:r>
    </w:p>
    <w:p w14:paraId="29C294C9" w14:textId="445FAA3F" w:rsidR="00966637" w:rsidRDefault="007F2279" w:rsidP="00966637">
      <w:pPr>
        <w:jc w:val="both"/>
        <w:outlineLvl w:val="0"/>
        <w:rPr>
          <w:rFonts w:ascii="Times" w:hAnsi="Times"/>
          <w:b/>
        </w:rPr>
      </w:pPr>
      <w:r>
        <w:rPr>
          <w:rFonts w:ascii="Times" w:hAnsi="Times"/>
          <w:b/>
        </w:rPr>
        <w:lastRenderedPageBreak/>
        <w:t>Supplementary figure 3</w:t>
      </w:r>
      <w:r w:rsidR="00966637">
        <w:rPr>
          <w:rFonts w:ascii="Times" w:hAnsi="Times"/>
          <w:b/>
        </w:rPr>
        <w:t>. Rationale for exclusion of two patient samples from the study.</w:t>
      </w:r>
    </w:p>
    <w:p w14:paraId="28D2B0F2" w14:textId="77777777" w:rsidR="00966637" w:rsidRDefault="00966637" w:rsidP="00966637">
      <w:pPr>
        <w:jc w:val="both"/>
        <w:rPr>
          <w:rFonts w:ascii="Times" w:hAnsi="Times"/>
        </w:rPr>
      </w:pPr>
      <w:r w:rsidRPr="00B95BEC">
        <w:rPr>
          <w:rFonts w:ascii="Times" w:hAnsi="Times"/>
          <w:b/>
        </w:rPr>
        <w:t>(A)</w:t>
      </w:r>
      <w:r>
        <w:rPr>
          <w:rFonts w:ascii="Times" w:hAnsi="Times"/>
        </w:rPr>
        <w:t xml:space="preserve"> Immunostaining for DNA damage (visualized by </w:t>
      </w:r>
      <w:r>
        <w:rPr>
          <w:rFonts w:ascii="Times" w:hAnsi="Times"/>
        </w:rPr>
        <w:sym w:font="Symbol" w:char="F067"/>
      </w:r>
      <w:r>
        <w:rPr>
          <w:rFonts w:ascii="Times" w:hAnsi="Times"/>
        </w:rPr>
        <w:t xml:space="preserve">H2Ax, in green) and HR-mediated repair (visualized by RAD51, in magenta) in two primary ovarian cancer samples excluded from the study. Without cell cycle or cell-type specific markers, the ascites from patient EOC268 would have been classified as HR-deficient (based on the lack of RAD51 foci, A’), while the ovarian sample from patient EOC116 would be scored as HR-proficient (virtually all cells are RAD51-positive, A”). </w:t>
      </w:r>
      <w:r w:rsidRPr="009538D1">
        <w:rPr>
          <w:rFonts w:ascii="Times" w:hAnsi="Times"/>
          <w:b/>
        </w:rPr>
        <w:t>(B)</w:t>
      </w:r>
      <w:r>
        <w:rPr>
          <w:rFonts w:ascii="Times" w:hAnsi="Times"/>
        </w:rPr>
        <w:t xml:space="preserve"> Immunostaining for cellular proliferation (visualized by Ki67, in magenta) reveals that ascites cells from patient EOC268 stop proliferating after DNA damage (visualized by </w:t>
      </w:r>
      <w:r>
        <w:rPr>
          <w:rFonts w:ascii="Times" w:hAnsi="Times"/>
        </w:rPr>
        <w:sym w:font="Symbol" w:char="F067"/>
      </w:r>
      <w:r>
        <w:rPr>
          <w:rFonts w:ascii="Times" w:hAnsi="Times"/>
        </w:rPr>
        <w:t xml:space="preserve">H2Ax, in green, B’). Non-proliferating cells cannot perform HR-mediated repair. </w:t>
      </w:r>
      <w:r w:rsidRPr="00415521">
        <w:rPr>
          <w:rFonts w:ascii="Times" w:hAnsi="Times"/>
          <w:b/>
        </w:rPr>
        <w:t>(C)</w:t>
      </w:r>
      <w:r>
        <w:rPr>
          <w:rFonts w:ascii="Times" w:hAnsi="Times"/>
        </w:rPr>
        <w:t xml:space="preserve"> Co-immunostaining for epithelial cancer cells (CK7, in green), the G2-phase marker CyclinA2 (in orange) and RAD51 (in magenta) was used to calculate HR scores. Ascites cells from patient EOC268 were CK7-positive, but did not express CyclinA2 and, therefore, could not be scored (C’). In contrast, cells from patient EOC116 co-expressed both CyclinA2 and RAD51, but were CK7-negative (C”). Because we used CK7 as a marker for </w:t>
      </w:r>
      <w:r w:rsidRPr="00745594">
        <w:rPr>
          <w:rFonts w:ascii="Times" w:hAnsi="Times"/>
          <w:i/>
        </w:rPr>
        <w:t>bona fide</w:t>
      </w:r>
      <w:r>
        <w:rPr>
          <w:rFonts w:ascii="Times" w:hAnsi="Times"/>
        </w:rPr>
        <w:t xml:space="preserve"> epithelial ovarian cancer cells, this sample could not be scored and was also excluded from the study. Scale bars, 500 µm.</w:t>
      </w:r>
    </w:p>
    <w:p w14:paraId="35DB0A28" w14:textId="77777777" w:rsidR="00966637" w:rsidRDefault="00966637" w:rsidP="00966637">
      <w:pPr>
        <w:jc w:val="both"/>
        <w:rPr>
          <w:rFonts w:ascii="Times" w:hAnsi="Times"/>
        </w:rPr>
      </w:pPr>
    </w:p>
    <w:p w14:paraId="2F217CFE" w14:textId="3312F94C" w:rsidR="00966637" w:rsidRDefault="00A14115" w:rsidP="00966637">
      <w:pPr>
        <w:jc w:val="both"/>
        <w:outlineLvl w:val="0"/>
        <w:rPr>
          <w:rFonts w:ascii="Times" w:hAnsi="Times"/>
          <w:b/>
        </w:rPr>
      </w:pPr>
      <w:r>
        <w:rPr>
          <w:rFonts w:ascii="Times" w:hAnsi="Times"/>
          <w:b/>
        </w:rPr>
        <w:t>Supplementary figure 4</w:t>
      </w:r>
      <w:r w:rsidR="00966637">
        <w:rPr>
          <w:rFonts w:ascii="Times" w:hAnsi="Times"/>
          <w:b/>
        </w:rPr>
        <w:t>. Low HR scores correlate with longer overall survival.</w:t>
      </w:r>
    </w:p>
    <w:p w14:paraId="32C4FBA9" w14:textId="2D769627" w:rsidR="00966637" w:rsidRDefault="00966637" w:rsidP="00966637">
      <w:pPr>
        <w:jc w:val="both"/>
        <w:rPr>
          <w:rFonts w:ascii="Times" w:hAnsi="Times"/>
        </w:rPr>
      </w:pPr>
      <w:r w:rsidRPr="00B95BEC">
        <w:rPr>
          <w:rFonts w:ascii="Times" w:hAnsi="Times"/>
          <w:b/>
        </w:rPr>
        <w:t>(A</w:t>
      </w:r>
      <w:r>
        <w:rPr>
          <w:rFonts w:ascii="Times" w:hAnsi="Times"/>
          <w:b/>
        </w:rPr>
        <w:t>-D</w:t>
      </w:r>
      <w:r w:rsidRPr="00B95BEC">
        <w:rPr>
          <w:rFonts w:ascii="Times" w:hAnsi="Times"/>
          <w:b/>
        </w:rPr>
        <w:t>)</w:t>
      </w:r>
      <w:r>
        <w:rPr>
          <w:rFonts w:ascii="Times" w:hAnsi="Times"/>
        </w:rPr>
        <w:t xml:space="preserve"> Kaplan-Meier plots showing overall survival for HR category (A), </w:t>
      </w:r>
      <w:r w:rsidR="00A14115">
        <w:rPr>
          <w:rFonts w:ascii="Times" w:hAnsi="Times"/>
        </w:rPr>
        <w:t>surgical</w:t>
      </w:r>
      <w:r>
        <w:rPr>
          <w:rFonts w:ascii="Times" w:hAnsi="Times"/>
        </w:rPr>
        <w:t xml:space="preserve"> strategy (B), FIGO stage (C) and age at diagnosis (D). Of these, only low HR score</w:t>
      </w:r>
      <w:r w:rsidR="00F26D6F">
        <w:rPr>
          <w:rFonts w:ascii="Times" w:hAnsi="Times"/>
        </w:rPr>
        <w:t>s</w:t>
      </w:r>
      <w:r>
        <w:rPr>
          <w:rFonts w:ascii="Times" w:hAnsi="Times"/>
        </w:rPr>
        <w:t xml:space="preserve"> correlate with incr</w:t>
      </w:r>
      <w:r w:rsidR="00F26D6F">
        <w:rPr>
          <w:rFonts w:ascii="Times" w:hAnsi="Times"/>
        </w:rPr>
        <w:t>eased overall survival (p=0.0254</w:t>
      </w:r>
      <w:r>
        <w:rPr>
          <w:rFonts w:ascii="Times" w:hAnsi="Times"/>
        </w:rPr>
        <w:t>). P values were calculated in R using a log-rank (Mantel-Cox) test.</w:t>
      </w:r>
    </w:p>
    <w:p w14:paraId="49F73EA3" w14:textId="77777777" w:rsidR="00966637" w:rsidRDefault="00966637" w:rsidP="00966637">
      <w:pPr>
        <w:jc w:val="both"/>
        <w:rPr>
          <w:rFonts w:ascii="Times" w:hAnsi="Times"/>
        </w:rPr>
      </w:pPr>
    </w:p>
    <w:p w14:paraId="2D2ACE8E" w14:textId="287E975B" w:rsidR="00966637" w:rsidRDefault="00A65629" w:rsidP="00966637">
      <w:pPr>
        <w:jc w:val="both"/>
        <w:rPr>
          <w:rFonts w:ascii="Times" w:hAnsi="Times"/>
          <w:b/>
        </w:rPr>
      </w:pPr>
      <w:r>
        <w:rPr>
          <w:rFonts w:ascii="Times" w:hAnsi="Times"/>
          <w:b/>
        </w:rPr>
        <w:t>Supplementary figure 5</w:t>
      </w:r>
      <w:r w:rsidR="00966637">
        <w:rPr>
          <w:rFonts w:ascii="Times" w:hAnsi="Times"/>
          <w:b/>
        </w:rPr>
        <w:t xml:space="preserve">. HR-deficient/-low </w:t>
      </w:r>
      <w:proofErr w:type="spellStart"/>
      <w:r w:rsidR="00966637">
        <w:rPr>
          <w:rFonts w:ascii="Times" w:hAnsi="Times"/>
          <w:b/>
        </w:rPr>
        <w:t>tumors</w:t>
      </w:r>
      <w:proofErr w:type="spellEnd"/>
      <w:r w:rsidR="00966637">
        <w:rPr>
          <w:rFonts w:ascii="Times" w:hAnsi="Times"/>
          <w:b/>
        </w:rPr>
        <w:t xml:space="preserve"> are characterized by elevated levels of DNA damage and apoptosis, but low proliferation.</w:t>
      </w:r>
    </w:p>
    <w:p w14:paraId="5E42E12B" w14:textId="44F6A8F6" w:rsidR="00966637" w:rsidRDefault="00A65629" w:rsidP="00966637">
      <w:pPr>
        <w:jc w:val="both"/>
        <w:rPr>
          <w:rFonts w:ascii="Times" w:hAnsi="Times"/>
        </w:rPr>
      </w:pPr>
      <w:r w:rsidRPr="00C90617">
        <w:rPr>
          <w:rFonts w:ascii="Times" w:hAnsi="Times"/>
          <w:b/>
        </w:rPr>
        <w:lastRenderedPageBreak/>
        <w:t>(</w:t>
      </w:r>
      <w:r>
        <w:rPr>
          <w:rFonts w:ascii="Times" w:hAnsi="Times"/>
          <w:b/>
        </w:rPr>
        <w:t>A</w:t>
      </w:r>
      <w:r w:rsidRPr="00C90617">
        <w:rPr>
          <w:rFonts w:ascii="Times" w:hAnsi="Times"/>
          <w:b/>
        </w:rPr>
        <w:t>)</w:t>
      </w:r>
      <w:r>
        <w:rPr>
          <w:rFonts w:ascii="Times" w:hAnsi="Times"/>
        </w:rPr>
        <w:t xml:space="preserve"> Basal HR scores </w:t>
      </w:r>
      <w:r w:rsidR="00FD5CED">
        <w:rPr>
          <w:rFonts w:ascii="Times" w:hAnsi="Times"/>
        </w:rPr>
        <w:t xml:space="preserve">(white bars) </w:t>
      </w:r>
      <w:r>
        <w:rPr>
          <w:rFonts w:ascii="Times" w:hAnsi="Times"/>
        </w:rPr>
        <w:t>and HR scores</w:t>
      </w:r>
      <w:r w:rsidR="00FD5CED">
        <w:rPr>
          <w:rFonts w:ascii="Times" w:hAnsi="Times"/>
        </w:rPr>
        <w:t xml:space="preserve"> at 8 and 24 hours post-IR in individual ovarian cancer samples. Note how the score in HR-deficient samples (in green) generally remain constant at both 8 and 24 hours post-IR, while decreases in HR-proficient </w:t>
      </w:r>
      <w:r w:rsidR="00FD5CED" w:rsidRPr="00F11A1E">
        <w:rPr>
          <w:rFonts w:ascii="Times" w:hAnsi="Times"/>
        </w:rPr>
        <w:t>samples</w:t>
      </w:r>
      <w:r w:rsidR="00FD5CED">
        <w:rPr>
          <w:rFonts w:ascii="Times" w:hAnsi="Times"/>
        </w:rPr>
        <w:t xml:space="preserve">. </w:t>
      </w:r>
      <w:r>
        <w:rPr>
          <w:rFonts w:ascii="Times" w:hAnsi="Times"/>
          <w:b/>
        </w:rPr>
        <w:t>(</w:t>
      </w:r>
      <w:r w:rsidR="00966637">
        <w:rPr>
          <w:rFonts w:ascii="Times" w:hAnsi="Times"/>
          <w:b/>
        </w:rPr>
        <w:t>B</w:t>
      </w:r>
      <w:r>
        <w:rPr>
          <w:rFonts w:ascii="Times" w:hAnsi="Times"/>
          <w:b/>
        </w:rPr>
        <w:t>-C</w:t>
      </w:r>
      <w:r w:rsidR="00966637" w:rsidRPr="00B95BEC">
        <w:rPr>
          <w:rFonts w:ascii="Times" w:hAnsi="Times"/>
          <w:b/>
        </w:rPr>
        <w:t>)</w:t>
      </w:r>
      <w:r w:rsidR="00966637">
        <w:rPr>
          <w:rFonts w:ascii="Times" w:hAnsi="Times"/>
        </w:rPr>
        <w:t xml:space="preserve"> IR-induced DNA damage (</w:t>
      </w:r>
      <w:r>
        <w:rPr>
          <w:rFonts w:ascii="Times" w:hAnsi="Times"/>
        </w:rPr>
        <w:t>B</w:t>
      </w:r>
      <w:r w:rsidR="00966637">
        <w:rPr>
          <w:rFonts w:ascii="Times" w:hAnsi="Times"/>
        </w:rPr>
        <w:t>) and apoptosis (</w:t>
      </w:r>
      <w:r>
        <w:rPr>
          <w:rFonts w:ascii="Times" w:hAnsi="Times"/>
        </w:rPr>
        <w:t>C</w:t>
      </w:r>
      <w:r w:rsidR="00966637">
        <w:rPr>
          <w:rFonts w:ascii="Times" w:hAnsi="Times"/>
        </w:rPr>
        <w:t xml:space="preserve">) in individual ovarian cancer samples, 8 and 24 hours post-IR. </w:t>
      </w:r>
      <w:r w:rsidR="00966637" w:rsidRPr="00C006F4">
        <w:rPr>
          <w:rFonts w:ascii="Times" w:hAnsi="Times"/>
          <w:b/>
        </w:rPr>
        <w:t>(</w:t>
      </w:r>
      <w:r>
        <w:rPr>
          <w:rFonts w:ascii="Times" w:hAnsi="Times"/>
          <w:b/>
        </w:rPr>
        <w:t>D</w:t>
      </w:r>
      <w:r w:rsidR="00966637" w:rsidRPr="00C006F4">
        <w:rPr>
          <w:rFonts w:ascii="Times" w:hAnsi="Times"/>
          <w:b/>
        </w:rPr>
        <w:t>)</w:t>
      </w:r>
      <w:r w:rsidR="00966637">
        <w:rPr>
          <w:rFonts w:ascii="Times" w:hAnsi="Times"/>
        </w:rPr>
        <w:t xml:space="preserve"> Cellular proliferation, detected as Ki67 positivity, in individual ovarian cancer samples, before and 8 hours after IR. Bars with a striped pattern show values for HR-deficient OVCAR-8 (striped, green) and HR-proficient OVCAR-3 (striped, red). </w:t>
      </w:r>
      <w:proofErr w:type="spellStart"/>
      <w:r w:rsidR="00966637">
        <w:rPr>
          <w:rFonts w:ascii="Times" w:hAnsi="Times"/>
        </w:rPr>
        <w:t>n.a</w:t>
      </w:r>
      <w:proofErr w:type="spellEnd"/>
      <w:r w:rsidR="00966637">
        <w:rPr>
          <w:rFonts w:ascii="Times" w:hAnsi="Times"/>
        </w:rPr>
        <w:t>. not available.</w:t>
      </w:r>
    </w:p>
    <w:p w14:paraId="46C528AE" w14:textId="77777777" w:rsidR="00966637" w:rsidRDefault="00966637" w:rsidP="00966637">
      <w:pPr>
        <w:jc w:val="both"/>
        <w:rPr>
          <w:rFonts w:ascii="Times" w:hAnsi="Times"/>
        </w:rPr>
      </w:pPr>
    </w:p>
    <w:p w14:paraId="14B670EF" w14:textId="570B4478" w:rsidR="00966637" w:rsidRPr="008C33AE" w:rsidRDefault="003B0456" w:rsidP="00966637">
      <w:pPr>
        <w:jc w:val="both"/>
        <w:outlineLvl w:val="0"/>
        <w:rPr>
          <w:rFonts w:ascii="Times" w:hAnsi="Times"/>
          <w:b/>
        </w:rPr>
      </w:pPr>
      <w:r>
        <w:rPr>
          <w:rFonts w:ascii="Times" w:hAnsi="Times"/>
          <w:b/>
        </w:rPr>
        <w:t>Supplementary figure 6</w:t>
      </w:r>
      <w:r w:rsidR="00966637" w:rsidRPr="008C33AE">
        <w:rPr>
          <w:rFonts w:ascii="Times" w:hAnsi="Times"/>
          <w:b/>
        </w:rPr>
        <w:t xml:space="preserve">. </w:t>
      </w:r>
      <w:r w:rsidR="00966637">
        <w:rPr>
          <w:rFonts w:ascii="Times" w:hAnsi="Times"/>
          <w:b/>
        </w:rPr>
        <w:t>Intra-patient variation in the DNA damage and apoptotic responses to IR</w:t>
      </w:r>
      <w:r w:rsidR="00966637" w:rsidRPr="008C33AE">
        <w:rPr>
          <w:rFonts w:ascii="Times" w:hAnsi="Times"/>
          <w:b/>
        </w:rPr>
        <w:t>.</w:t>
      </w:r>
    </w:p>
    <w:p w14:paraId="36172C82" w14:textId="77777777" w:rsidR="00966637" w:rsidRDefault="00966637" w:rsidP="00966637">
      <w:pPr>
        <w:jc w:val="both"/>
        <w:rPr>
          <w:rFonts w:ascii="Times" w:hAnsi="Times"/>
        </w:rPr>
      </w:pPr>
      <w:r w:rsidRPr="00DA7E31">
        <w:rPr>
          <w:rFonts w:ascii="Times" w:hAnsi="Times"/>
          <w:b/>
        </w:rPr>
        <w:t>(A)</w:t>
      </w:r>
      <w:r>
        <w:rPr>
          <w:rFonts w:ascii="Times" w:hAnsi="Times"/>
        </w:rPr>
        <w:t xml:space="preserve"> DNA damage and proliferation for five individual samples from patient EOC415. </w:t>
      </w:r>
      <w:r>
        <w:rPr>
          <w:rFonts w:ascii="Times" w:hAnsi="Times"/>
          <w:b/>
        </w:rPr>
        <w:t>(B</w:t>
      </w:r>
      <w:r w:rsidRPr="00DA7E31">
        <w:rPr>
          <w:rFonts w:ascii="Times" w:hAnsi="Times"/>
          <w:b/>
        </w:rPr>
        <w:t>)</w:t>
      </w:r>
      <w:r>
        <w:rPr>
          <w:rFonts w:ascii="Times" w:hAnsi="Times"/>
        </w:rPr>
        <w:t xml:space="preserve"> Apoptosis for five individual samples from patient EOC415. Patient overall values are shown as average (striped </w:t>
      </w:r>
      <w:proofErr w:type="spellStart"/>
      <w:r>
        <w:rPr>
          <w:rFonts w:ascii="Times" w:hAnsi="Times"/>
        </w:rPr>
        <w:t>bars</w:t>
      </w:r>
      <w:proofErr w:type="spellEnd"/>
      <w:r>
        <w:rPr>
          <w:rFonts w:ascii="Times" w:hAnsi="Times"/>
        </w:rPr>
        <w:t>). Scale bars, 500 µm.</w:t>
      </w:r>
    </w:p>
    <w:p w14:paraId="516278E9" w14:textId="77777777" w:rsidR="003B0456" w:rsidRDefault="003B0456" w:rsidP="00966637">
      <w:pPr>
        <w:jc w:val="both"/>
        <w:rPr>
          <w:rFonts w:ascii="Times" w:hAnsi="Times"/>
        </w:rPr>
      </w:pPr>
    </w:p>
    <w:p w14:paraId="364A3034" w14:textId="77777777" w:rsidR="00EC12B7" w:rsidRDefault="00EC12B7" w:rsidP="00EC12B7">
      <w:pPr>
        <w:jc w:val="both"/>
        <w:outlineLvl w:val="0"/>
        <w:rPr>
          <w:rFonts w:ascii="Times" w:hAnsi="Times"/>
          <w:b/>
        </w:rPr>
      </w:pPr>
      <w:r>
        <w:rPr>
          <w:rFonts w:ascii="Times" w:hAnsi="Times"/>
          <w:b/>
        </w:rPr>
        <w:t>Supplementary figure 7</w:t>
      </w:r>
      <w:r w:rsidRPr="008C33AE">
        <w:rPr>
          <w:rFonts w:ascii="Times" w:hAnsi="Times"/>
          <w:b/>
        </w:rPr>
        <w:t xml:space="preserve">. </w:t>
      </w:r>
      <w:r>
        <w:rPr>
          <w:rFonts w:ascii="Times" w:hAnsi="Times"/>
          <w:b/>
        </w:rPr>
        <w:t>Mutational signatures in individual ovarian cancer samples</w:t>
      </w:r>
      <w:r w:rsidRPr="008C33AE">
        <w:rPr>
          <w:rFonts w:ascii="Times" w:hAnsi="Times"/>
          <w:b/>
        </w:rPr>
        <w:t>.</w:t>
      </w:r>
    </w:p>
    <w:p w14:paraId="5727F88E" w14:textId="77777777" w:rsidR="00EC12B7" w:rsidRPr="001B37FC" w:rsidRDefault="00EC12B7" w:rsidP="00EC12B7">
      <w:pPr>
        <w:jc w:val="both"/>
        <w:outlineLvl w:val="0"/>
        <w:rPr>
          <w:rFonts w:ascii="Times" w:hAnsi="Times"/>
        </w:rPr>
      </w:pPr>
      <w:r>
        <w:rPr>
          <w:rFonts w:ascii="Times" w:hAnsi="Times"/>
          <w:b/>
        </w:rPr>
        <w:t xml:space="preserve">(A) </w:t>
      </w:r>
      <w:r>
        <w:rPr>
          <w:rFonts w:ascii="Times" w:hAnsi="Times"/>
        </w:rPr>
        <w:t xml:space="preserve">Overview of the contribution of different mutational signatures in primary ovarian cancer samples. </w:t>
      </w:r>
      <w:r w:rsidRPr="003732A3">
        <w:rPr>
          <w:rFonts w:ascii="Times" w:hAnsi="Times"/>
          <w:b/>
        </w:rPr>
        <w:t>(B)</w:t>
      </w:r>
      <w:r>
        <w:rPr>
          <w:rFonts w:ascii="Times" w:hAnsi="Times"/>
        </w:rPr>
        <w:t xml:space="preserve"> Detailed visualization of the mutational signatures contribution in individual samples. Asterisks denote </w:t>
      </w:r>
      <w:proofErr w:type="spellStart"/>
      <w:r>
        <w:rPr>
          <w:rFonts w:ascii="Times" w:hAnsi="Times"/>
        </w:rPr>
        <w:t>tumors</w:t>
      </w:r>
      <w:proofErr w:type="spellEnd"/>
      <w:r>
        <w:rPr>
          <w:rFonts w:ascii="Times" w:hAnsi="Times"/>
        </w:rPr>
        <w:t xml:space="preserve"> for which a sample from a different anatomical location was used for sequencing.</w:t>
      </w:r>
    </w:p>
    <w:p w14:paraId="6E1FAE0C" w14:textId="77777777" w:rsidR="00EC12B7" w:rsidRDefault="00EC12B7" w:rsidP="00966637">
      <w:pPr>
        <w:jc w:val="both"/>
        <w:rPr>
          <w:rFonts w:ascii="Times" w:hAnsi="Times"/>
        </w:rPr>
      </w:pPr>
      <w:bookmarkStart w:id="0" w:name="_GoBack"/>
      <w:bookmarkEnd w:id="0"/>
    </w:p>
    <w:p w14:paraId="32134D18" w14:textId="273E07BB" w:rsidR="00966637" w:rsidRPr="008C33AE" w:rsidRDefault="00EC12B7" w:rsidP="00966637">
      <w:pPr>
        <w:jc w:val="both"/>
        <w:outlineLvl w:val="0"/>
        <w:rPr>
          <w:rFonts w:ascii="Times" w:hAnsi="Times"/>
          <w:b/>
        </w:rPr>
      </w:pPr>
      <w:r>
        <w:rPr>
          <w:rFonts w:ascii="Times" w:hAnsi="Times"/>
          <w:b/>
        </w:rPr>
        <w:t>Supplementary figure 8</w:t>
      </w:r>
      <w:r w:rsidR="00966637" w:rsidRPr="008C33AE">
        <w:rPr>
          <w:rFonts w:ascii="Times" w:hAnsi="Times"/>
          <w:b/>
        </w:rPr>
        <w:t xml:space="preserve">. </w:t>
      </w:r>
      <w:r w:rsidR="00966637" w:rsidRPr="00441579">
        <w:rPr>
          <w:rFonts w:ascii="Times" w:hAnsi="Times"/>
          <w:b/>
          <w:i/>
        </w:rPr>
        <w:t>Ex vivo</w:t>
      </w:r>
      <w:r w:rsidR="00966637">
        <w:rPr>
          <w:rFonts w:ascii="Times" w:hAnsi="Times"/>
          <w:b/>
        </w:rPr>
        <w:t xml:space="preserve"> functional HR testing can be performed on solid biopsies</w:t>
      </w:r>
      <w:r w:rsidR="00966637" w:rsidRPr="008C33AE">
        <w:rPr>
          <w:rFonts w:ascii="Times" w:hAnsi="Times"/>
          <w:b/>
        </w:rPr>
        <w:t>.</w:t>
      </w:r>
    </w:p>
    <w:p w14:paraId="4FDD7351" w14:textId="048AF660" w:rsidR="003B0456" w:rsidRPr="00966637" w:rsidRDefault="00966637" w:rsidP="00966637">
      <w:pPr>
        <w:jc w:val="both"/>
        <w:rPr>
          <w:rFonts w:ascii="Times" w:hAnsi="Times"/>
        </w:rPr>
      </w:pPr>
      <w:r>
        <w:rPr>
          <w:rFonts w:ascii="Times" w:hAnsi="Times"/>
        </w:rPr>
        <w:t xml:space="preserve">Comparison of HR detection in FFPE-embedded HR-deficient (B-D) and HR-proficient (F-H) ovarian </w:t>
      </w:r>
      <w:proofErr w:type="spellStart"/>
      <w:r>
        <w:rPr>
          <w:rFonts w:ascii="Times" w:hAnsi="Times"/>
        </w:rPr>
        <w:t>tumors</w:t>
      </w:r>
      <w:proofErr w:type="spellEnd"/>
      <w:r>
        <w:rPr>
          <w:rFonts w:ascii="Times" w:hAnsi="Times"/>
        </w:rPr>
        <w:t xml:space="preserve">, and in primary cells derived from the same samples (A and E, respectively). </w:t>
      </w:r>
      <w:r>
        <w:rPr>
          <w:rFonts w:ascii="Times" w:hAnsi="Times"/>
        </w:rPr>
        <w:lastRenderedPageBreak/>
        <w:t xml:space="preserve">Irradiated biopsies were allowed to recover for 16 hours, prior to routine formaldehyde fixation, paraffin embedding and sectioning. </w:t>
      </w:r>
      <w:r w:rsidRPr="00D8647F">
        <w:rPr>
          <w:rFonts w:ascii="Times" w:hAnsi="Times"/>
          <w:b/>
        </w:rPr>
        <w:t xml:space="preserve">(B, F) </w:t>
      </w:r>
      <w:r>
        <w:rPr>
          <w:rFonts w:ascii="Times" w:hAnsi="Times"/>
        </w:rPr>
        <w:t xml:space="preserve">CK7 and Vimentin were used to identify nests of epithelial cancer cells and stroma, respectively. Dashed lines highlight the </w:t>
      </w:r>
      <w:proofErr w:type="spellStart"/>
      <w:r>
        <w:rPr>
          <w:rFonts w:ascii="Times" w:hAnsi="Times"/>
        </w:rPr>
        <w:t>tumor</w:t>
      </w:r>
      <w:proofErr w:type="spellEnd"/>
      <w:r>
        <w:rPr>
          <w:rFonts w:ascii="Times" w:hAnsi="Times"/>
        </w:rPr>
        <w:t xml:space="preserve"> borders. Tum, </w:t>
      </w:r>
      <w:proofErr w:type="spellStart"/>
      <w:r>
        <w:rPr>
          <w:rFonts w:ascii="Times" w:hAnsi="Times"/>
        </w:rPr>
        <w:t>tumor</w:t>
      </w:r>
      <w:proofErr w:type="spellEnd"/>
      <w:r>
        <w:rPr>
          <w:rFonts w:ascii="Times" w:hAnsi="Times"/>
        </w:rPr>
        <w:t xml:space="preserve">. </w:t>
      </w:r>
      <w:proofErr w:type="spellStart"/>
      <w:r>
        <w:rPr>
          <w:rFonts w:ascii="Times" w:hAnsi="Times"/>
        </w:rPr>
        <w:t>Str</w:t>
      </w:r>
      <w:proofErr w:type="spellEnd"/>
      <w:r>
        <w:rPr>
          <w:rFonts w:ascii="Times" w:hAnsi="Times"/>
        </w:rPr>
        <w:t xml:space="preserve">, stroma. </w:t>
      </w:r>
      <w:r w:rsidRPr="00D8647F">
        <w:rPr>
          <w:rFonts w:ascii="Times" w:hAnsi="Times"/>
          <w:b/>
        </w:rPr>
        <w:t>(C, G)</w:t>
      </w:r>
      <w:r>
        <w:rPr>
          <w:rFonts w:ascii="Times" w:hAnsi="Times"/>
        </w:rPr>
        <w:t xml:space="preserve"> Immunostaining for RAD51 confirms that epithelial cancer cells are HR-deficient in C, and HR-proficient in G, in agreement with what was measured in their derived primary cultures (A and E). DNA damage is higher in epithelial (cancer) than in stromal (normal) cells. Notice the intra-</w:t>
      </w:r>
      <w:proofErr w:type="spellStart"/>
      <w:r>
        <w:rPr>
          <w:rFonts w:ascii="Times" w:hAnsi="Times"/>
        </w:rPr>
        <w:t>tumoral</w:t>
      </w:r>
      <w:proofErr w:type="spellEnd"/>
      <w:r>
        <w:rPr>
          <w:rFonts w:ascii="Times" w:hAnsi="Times"/>
        </w:rPr>
        <w:t xml:space="preserve"> RAD51 heterogeneity in G. </w:t>
      </w:r>
      <w:r w:rsidRPr="00575291">
        <w:rPr>
          <w:rFonts w:ascii="Times" w:hAnsi="Times"/>
          <w:b/>
        </w:rPr>
        <w:t>(D, H)</w:t>
      </w:r>
      <w:r>
        <w:rPr>
          <w:rFonts w:ascii="Times" w:hAnsi="Times"/>
        </w:rPr>
        <w:t xml:space="preserve"> Immunostaining for cleaved caspase 3 (cCasp3) revealed that epithelial cells are more prone to apoptosis, compared to stromal cells. Scale bars, 200 µm. </w:t>
      </w:r>
    </w:p>
    <w:sectPr w:rsidR="003B0456" w:rsidRPr="00966637" w:rsidSect="00CF7304">
      <w:footerReference w:type="even" r:id="rId6"/>
      <w:footerReference w:type="default" r:id="rId7"/>
      <w:pgSz w:w="11900" w:h="16840"/>
      <w:pgMar w:top="1418" w:right="1134" w:bottom="1418"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8679" w14:textId="77777777" w:rsidR="00704147" w:rsidRDefault="00704147" w:rsidP="00C50E73">
      <w:pPr>
        <w:spacing w:after="0" w:line="240" w:lineRule="auto"/>
      </w:pPr>
      <w:r>
        <w:separator/>
      </w:r>
    </w:p>
  </w:endnote>
  <w:endnote w:type="continuationSeparator" w:id="0">
    <w:p w14:paraId="078E20D7" w14:textId="77777777" w:rsidR="00704147" w:rsidRDefault="00704147" w:rsidP="00C5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974809"/>
      <w:docPartObj>
        <w:docPartGallery w:val="Page Numbers (Bottom of Page)"/>
        <w:docPartUnique/>
      </w:docPartObj>
    </w:sdtPr>
    <w:sdtEndPr>
      <w:rPr>
        <w:rStyle w:val="PageNumber"/>
      </w:rPr>
    </w:sdtEndPr>
    <w:sdtContent>
      <w:p w14:paraId="4F1161D8" w14:textId="7937C7F2" w:rsidR="00C50E73" w:rsidRDefault="00C50E73" w:rsidP="005B0F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8F5FB" w14:textId="77777777" w:rsidR="00C50E73" w:rsidRDefault="00C5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264519"/>
      <w:docPartObj>
        <w:docPartGallery w:val="Page Numbers (Bottom of Page)"/>
        <w:docPartUnique/>
      </w:docPartObj>
    </w:sdtPr>
    <w:sdtEndPr>
      <w:rPr>
        <w:rStyle w:val="PageNumber"/>
      </w:rPr>
    </w:sdtEndPr>
    <w:sdtContent>
      <w:p w14:paraId="41811CC1" w14:textId="20B418BD" w:rsidR="00C50E73" w:rsidRDefault="00C50E73" w:rsidP="005B0F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E648BB" w14:textId="77777777" w:rsidR="00C50E73" w:rsidRDefault="00C5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4F95" w14:textId="77777777" w:rsidR="00704147" w:rsidRDefault="00704147" w:rsidP="00C50E73">
      <w:pPr>
        <w:spacing w:after="0" w:line="240" w:lineRule="auto"/>
      </w:pPr>
      <w:r>
        <w:separator/>
      </w:r>
    </w:p>
  </w:footnote>
  <w:footnote w:type="continuationSeparator" w:id="0">
    <w:p w14:paraId="2F69568A" w14:textId="77777777" w:rsidR="00704147" w:rsidRDefault="00704147" w:rsidP="00C5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37"/>
    <w:rsid w:val="00000B06"/>
    <w:rsid w:val="0000367D"/>
    <w:rsid w:val="0000673B"/>
    <w:rsid w:val="00020BCE"/>
    <w:rsid w:val="00040A10"/>
    <w:rsid w:val="00041F98"/>
    <w:rsid w:val="00044639"/>
    <w:rsid w:val="000449FB"/>
    <w:rsid w:val="00050FC9"/>
    <w:rsid w:val="000555E0"/>
    <w:rsid w:val="000602E6"/>
    <w:rsid w:val="00074003"/>
    <w:rsid w:val="00077653"/>
    <w:rsid w:val="0008238B"/>
    <w:rsid w:val="00094773"/>
    <w:rsid w:val="00094A3C"/>
    <w:rsid w:val="00095B50"/>
    <w:rsid w:val="0009789F"/>
    <w:rsid w:val="000F6F65"/>
    <w:rsid w:val="00110CC6"/>
    <w:rsid w:val="001110D6"/>
    <w:rsid w:val="00121186"/>
    <w:rsid w:val="00122A93"/>
    <w:rsid w:val="00151A94"/>
    <w:rsid w:val="001520F6"/>
    <w:rsid w:val="0015232E"/>
    <w:rsid w:val="001544F5"/>
    <w:rsid w:val="001552C0"/>
    <w:rsid w:val="001610A5"/>
    <w:rsid w:val="00171CEF"/>
    <w:rsid w:val="00187080"/>
    <w:rsid w:val="001937A8"/>
    <w:rsid w:val="001A2461"/>
    <w:rsid w:val="001A7699"/>
    <w:rsid w:val="001B37FC"/>
    <w:rsid w:val="001C3B74"/>
    <w:rsid w:val="001D01A9"/>
    <w:rsid w:val="001F018B"/>
    <w:rsid w:val="002059AE"/>
    <w:rsid w:val="00207D0F"/>
    <w:rsid w:val="002166C1"/>
    <w:rsid w:val="00220AE4"/>
    <w:rsid w:val="0022468D"/>
    <w:rsid w:val="00242CC5"/>
    <w:rsid w:val="0026025C"/>
    <w:rsid w:val="00284573"/>
    <w:rsid w:val="0029607C"/>
    <w:rsid w:val="002B0076"/>
    <w:rsid w:val="002B6B4E"/>
    <w:rsid w:val="002C636C"/>
    <w:rsid w:val="002C6CD3"/>
    <w:rsid w:val="002D6A65"/>
    <w:rsid w:val="002E518A"/>
    <w:rsid w:val="002F69BC"/>
    <w:rsid w:val="002F7AC3"/>
    <w:rsid w:val="00315966"/>
    <w:rsid w:val="00316A6C"/>
    <w:rsid w:val="00333C50"/>
    <w:rsid w:val="00342A88"/>
    <w:rsid w:val="00363AD5"/>
    <w:rsid w:val="00370AA2"/>
    <w:rsid w:val="00371A20"/>
    <w:rsid w:val="003732A3"/>
    <w:rsid w:val="00386757"/>
    <w:rsid w:val="0039311F"/>
    <w:rsid w:val="003A6FF1"/>
    <w:rsid w:val="003B0456"/>
    <w:rsid w:val="003C365C"/>
    <w:rsid w:val="003D7B2E"/>
    <w:rsid w:val="003E4CDB"/>
    <w:rsid w:val="003E6ED1"/>
    <w:rsid w:val="003F22DC"/>
    <w:rsid w:val="00400E40"/>
    <w:rsid w:val="004141FD"/>
    <w:rsid w:val="0042000A"/>
    <w:rsid w:val="0042037D"/>
    <w:rsid w:val="00420A51"/>
    <w:rsid w:val="00433D18"/>
    <w:rsid w:val="0044510A"/>
    <w:rsid w:val="004505A9"/>
    <w:rsid w:val="00465B29"/>
    <w:rsid w:val="004814D4"/>
    <w:rsid w:val="00482927"/>
    <w:rsid w:val="004953F8"/>
    <w:rsid w:val="00497262"/>
    <w:rsid w:val="004A538F"/>
    <w:rsid w:val="004B04ED"/>
    <w:rsid w:val="004D3AB0"/>
    <w:rsid w:val="004D73A4"/>
    <w:rsid w:val="004F030D"/>
    <w:rsid w:val="004F0906"/>
    <w:rsid w:val="004F621C"/>
    <w:rsid w:val="00500DCF"/>
    <w:rsid w:val="0054059D"/>
    <w:rsid w:val="0055190C"/>
    <w:rsid w:val="005606C2"/>
    <w:rsid w:val="00560EEF"/>
    <w:rsid w:val="00577FAD"/>
    <w:rsid w:val="005920E2"/>
    <w:rsid w:val="005925ED"/>
    <w:rsid w:val="005B169E"/>
    <w:rsid w:val="005C4AD9"/>
    <w:rsid w:val="005C618E"/>
    <w:rsid w:val="005D33ED"/>
    <w:rsid w:val="005D742B"/>
    <w:rsid w:val="005D78D1"/>
    <w:rsid w:val="005F0E9C"/>
    <w:rsid w:val="005F5444"/>
    <w:rsid w:val="005F68F5"/>
    <w:rsid w:val="00606599"/>
    <w:rsid w:val="00612B90"/>
    <w:rsid w:val="00614ADE"/>
    <w:rsid w:val="00620ED9"/>
    <w:rsid w:val="0062498C"/>
    <w:rsid w:val="00626627"/>
    <w:rsid w:val="00637091"/>
    <w:rsid w:val="00651611"/>
    <w:rsid w:val="00657AA0"/>
    <w:rsid w:val="00665E08"/>
    <w:rsid w:val="0067728A"/>
    <w:rsid w:val="00681185"/>
    <w:rsid w:val="00694E42"/>
    <w:rsid w:val="00696D12"/>
    <w:rsid w:val="006A5FBE"/>
    <w:rsid w:val="006B01E3"/>
    <w:rsid w:val="006B1924"/>
    <w:rsid w:val="006D53D9"/>
    <w:rsid w:val="006F0559"/>
    <w:rsid w:val="006F54B2"/>
    <w:rsid w:val="006F7D09"/>
    <w:rsid w:val="0070017A"/>
    <w:rsid w:val="00704147"/>
    <w:rsid w:val="00711B37"/>
    <w:rsid w:val="00717F4B"/>
    <w:rsid w:val="00721054"/>
    <w:rsid w:val="00727D94"/>
    <w:rsid w:val="00732056"/>
    <w:rsid w:val="007443B8"/>
    <w:rsid w:val="00761C5D"/>
    <w:rsid w:val="00767A4E"/>
    <w:rsid w:val="00780BD4"/>
    <w:rsid w:val="00794826"/>
    <w:rsid w:val="007D409D"/>
    <w:rsid w:val="007D6274"/>
    <w:rsid w:val="007E282F"/>
    <w:rsid w:val="007E4234"/>
    <w:rsid w:val="007E50AC"/>
    <w:rsid w:val="007F2279"/>
    <w:rsid w:val="007F6597"/>
    <w:rsid w:val="008142B6"/>
    <w:rsid w:val="00833B74"/>
    <w:rsid w:val="00837F38"/>
    <w:rsid w:val="00850074"/>
    <w:rsid w:val="0086581A"/>
    <w:rsid w:val="00866448"/>
    <w:rsid w:val="008666B8"/>
    <w:rsid w:val="00873653"/>
    <w:rsid w:val="00881463"/>
    <w:rsid w:val="00894246"/>
    <w:rsid w:val="00896025"/>
    <w:rsid w:val="0089707F"/>
    <w:rsid w:val="00897ED0"/>
    <w:rsid w:val="008B0F1E"/>
    <w:rsid w:val="008B5430"/>
    <w:rsid w:val="008C19C3"/>
    <w:rsid w:val="008C6C95"/>
    <w:rsid w:val="008E3F0A"/>
    <w:rsid w:val="00904888"/>
    <w:rsid w:val="00905AF1"/>
    <w:rsid w:val="0094686E"/>
    <w:rsid w:val="0095364D"/>
    <w:rsid w:val="00960779"/>
    <w:rsid w:val="0096521E"/>
    <w:rsid w:val="00966637"/>
    <w:rsid w:val="00985E1A"/>
    <w:rsid w:val="00995E7F"/>
    <w:rsid w:val="009B20F7"/>
    <w:rsid w:val="009C2BFC"/>
    <w:rsid w:val="009D0B56"/>
    <w:rsid w:val="009D2A62"/>
    <w:rsid w:val="009D3B0F"/>
    <w:rsid w:val="00A01030"/>
    <w:rsid w:val="00A14115"/>
    <w:rsid w:val="00A27FD7"/>
    <w:rsid w:val="00A339EF"/>
    <w:rsid w:val="00A4014C"/>
    <w:rsid w:val="00A423D6"/>
    <w:rsid w:val="00A46C93"/>
    <w:rsid w:val="00A5727A"/>
    <w:rsid w:val="00A65629"/>
    <w:rsid w:val="00A65B4C"/>
    <w:rsid w:val="00A74F5D"/>
    <w:rsid w:val="00A779FF"/>
    <w:rsid w:val="00A86CD2"/>
    <w:rsid w:val="00A95144"/>
    <w:rsid w:val="00AA01B7"/>
    <w:rsid w:val="00AA2D7A"/>
    <w:rsid w:val="00AB3A4F"/>
    <w:rsid w:val="00AC6200"/>
    <w:rsid w:val="00AD4AFF"/>
    <w:rsid w:val="00AE1064"/>
    <w:rsid w:val="00AE3E31"/>
    <w:rsid w:val="00AE78E6"/>
    <w:rsid w:val="00AF384A"/>
    <w:rsid w:val="00AF3C02"/>
    <w:rsid w:val="00B05A5B"/>
    <w:rsid w:val="00B12C2F"/>
    <w:rsid w:val="00B16119"/>
    <w:rsid w:val="00B16B3F"/>
    <w:rsid w:val="00B16E6A"/>
    <w:rsid w:val="00B43381"/>
    <w:rsid w:val="00B548E4"/>
    <w:rsid w:val="00B621D4"/>
    <w:rsid w:val="00B80045"/>
    <w:rsid w:val="00B86D40"/>
    <w:rsid w:val="00BA1BCE"/>
    <w:rsid w:val="00BB651B"/>
    <w:rsid w:val="00BC550B"/>
    <w:rsid w:val="00BE2234"/>
    <w:rsid w:val="00BE6B13"/>
    <w:rsid w:val="00C0339D"/>
    <w:rsid w:val="00C04652"/>
    <w:rsid w:val="00C1507C"/>
    <w:rsid w:val="00C16126"/>
    <w:rsid w:val="00C40977"/>
    <w:rsid w:val="00C43745"/>
    <w:rsid w:val="00C44CFE"/>
    <w:rsid w:val="00C50E73"/>
    <w:rsid w:val="00C647ED"/>
    <w:rsid w:val="00C725CA"/>
    <w:rsid w:val="00CA5F23"/>
    <w:rsid w:val="00CC6336"/>
    <w:rsid w:val="00CD2C92"/>
    <w:rsid w:val="00CD7604"/>
    <w:rsid w:val="00CF06F7"/>
    <w:rsid w:val="00CF12E1"/>
    <w:rsid w:val="00CF25CD"/>
    <w:rsid w:val="00CF39B9"/>
    <w:rsid w:val="00D06B0F"/>
    <w:rsid w:val="00D06D57"/>
    <w:rsid w:val="00D06D63"/>
    <w:rsid w:val="00D154A1"/>
    <w:rsid w:val="00D22787"/>
    <w:rsid w:val="00D23168"/>
    <w:rsid w:val="00D445A0"/>
    <w:rsid w:val="00D51F29"/>
    <w:rsid w:val="00D55554"/>
    <w:rsid w:val="00D57F18"/>
    <w:rsid w:val="00D67A07"/>
    <w:rsid w:val="00D75BB6"/>
    <w:rsid w:val="00D86B73"/>
    <w:rsid w:val="00D96B8D"/>
    <w:rsid w:val="00D972DC"/>
    <w:rsid w:val="00DD18EE"/>
    <w:rsid w:val="00DD2AFC"/>
    <w:rsid w:val="00DD4A79"/>
    <w:rsid w:val="00DD554D"/>
    <w:rsid w:val="00DE7774"/>
    <w:rsid w:val="00DF67EA"/>
    <w:rsid w:val="00E060DF"/>
    <w:rsid w:val="00E10A4E"/>
    <w:rsid w:val="00E151B1"/>
    <w:rsid w:val="00E15E08"/>
    <w:rsid w:val="00E25F89"/>
    <w:rsid w:val="00E43F47"/>
    <w:rsid w:val="00E514E7"/>
    <w:rsid w:val="00E51572"/>
    <w:rsid w:val="00E520CE"/>
    <w:rsid w:val="00E770DB"/>
    <w:rsid w:val="00E850C4"/>
    <w:rsid w:val="00EA14DF"/>
    <w:rsid w:val="00EB41BB"/>
    <w:rsid w:val="00EC12B7"/>
    <w:rsid w:val="00ED73F2"/>
    <w:rsid w:val="00EF5891"/>
    <w:rsid w:val="00F10861"/>
    <w:rsid w:val="00F11A1E"/>
    <w:rsid w:val="00F1244F"/>
    <w:rsid w:val="00F22D32"/>
    <w:rsid w:val="00F2455D"/>
    <w:rsid w:val="00F26D6F"/>
    <w:rsid w:val="00F4046C"/>
    <w:rsid w:val="00F41F8E"/>
    <w:rsid w:val="00F66276"/>
    <w:rsid w:val="00F854EB"/>
    <w:rsid w:val="00FA13B8"/>
    <w:rsid w:val="00FA3E55"/>
    <w:rsid w:val="00FA68D5"/>
    <w:rsid w:val="00FB17CB"/>
    <w:rsid w:val="00FB77D9"/>
    <w:rsid w:val="00FC1DAB"/>
    <w:rsid w:val="00FC4084"/>
    <w:rsid w:val="00FD5CED"/>
    <w:rsid w:val="00FE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01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637"/>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6637"/>
  </w:style>
  <w:style w:type="paragraph" w:styleId="Footer">
    <w:name w:val="footer"/>
    <w:basedOn w:val="Normal"/>
    <w:link w:val="FooterChar"/>
    <w:uiPriority w:val="99"/>
    <w:unhideWhenUsed/>
    <w:rsid w:val="00C50E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0E73"/>
  </w:style>
  <w:style w:type="character" w:styleId="PageNumber">
    <w:name w:val="page number"/>
    <w:basedOn w:val="DefaultParagraphFont"/>
    <w:uiPriority w:val="99"/>
    <w:semiHidden/>
    <w:unhideWhenUsed/>
    <w:rsid w:val="00C5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Tumiati</dc:creator>
  <cp:keywords/>
  <dc:description/>
  <cp:lastModifiedBy>Manuela Tumiati</cp:lastModifiedBy>
  <cp:revision>33</cp:revision>
  <dcterms:created xsi:type="dcterms:W3CDTF">2017-11-27T12:50:00Z</dcterms:created>
  <dcterms:modified xsi:type="dcterms:W3CDTF">2018-05-23T09:37:00Z</dcterms:modified>
</cp:coreProperties>
</file>