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02E67E" w14:textId="77777777" w:rsidR="00592890" w:rsidRPr="00FD0468" w:rsidRDefault="001F41F2" w:rsidP="001F41F2">
      <w:pPr>
        <w:spacing w:line="480" w:lineRule="auto"/>
        <w:rPr>
          <w:b/>
          <w:sz w:val="24"/>
        </w:rPr>
      </w:pPr>
      <w:r w:rsidRPr="00FD0468">
        <w:rPr>
          <w:b/>
          <w:sz w:val="24"/>
        </w:rPr>
        <w:t>Supplementary Material</w:t>
      </w:r>
      <w:r w:rsidR="008F47FC" w:rsidRPr="00FD0468">
        <w:rPr>
          <w:b/>
          <w:sz w:val="24"/>
        </w:rPr>
        <w:t>s</w:t>
      </w:r>
      <w:r w:rsidRPr="00FD0468">
        <w:rPr>
          <w:b/>
          <w:sz w:val="24"/>
        </w:rPr>
        <w:t xml:space="preserve"> and Methods</w:t>
      </w:r>
    </w:p>
    <w:p w14:paraId="43512CD7" w14:textId="77777777" w:rsidR="00C512FC" w:rsidRDefault="00C512FC" w:rsidP="001F41F2">
      <w:pPr>
        <w:spacing w:line="480" w:lineRule="auto"/>
        <w:rPr>
          <w:i/>
          <w:u w:val="single"/>
        </w:rPr>
      </w:pPr>
    </w:p>
    <w:p w14:paraId="79AB067C" w14:textId="24A41683" w:rsidR="00DA5288" w:rsidRPr="00E26D61" w:rsidRDefault="00DA5288" w:rsidP="001F41F2">
      <w:pPr>
        <w:spacing w:line="480" w:lineRule="auto"/>
        <w:rPr>
          <w:i/>
          <w:u w:val="single"/>
        </w:rPr>
      </w:pPr>
      <w:r w:rsidRPr="00E26D61">
        <w:rPr>
          <w:i/>
          <w:u w:val="single"/>
        </w:rPr>
        <w:t>Pathology review and assessment of inter-observer variability</w:t>
      </w:r>
    </w:p>
    <w:p w14:paraId="3124C8F2" w14:textId="381577A7" w:rsidR="00DA5288" w:rsidRPr="00E26D61" w:rsidRDefault="00DA5288" w:rsidP="000A7CA5">
      <w:pPr>
        <w:spacing w:line="480" w:lineRule="auto"/>
        <w:ind w:firstLine="284"/>
        <w:jc w:val="both"/>
      </w:pPr>
      <w:r w:rsidRPr="00E26D61">
        <w:t>A random sample of 50 DCIS specimens were reviewed by all pathologists to assess the inter-observer agreement. The concordance between the pathologists was around 85% with an interclass correlation coefficient of &gt;0.4 for every characteristic assessed. Subsequently, slides from each included patient were reviewed by one of these pathologists, unaware of case or control status.</w:t>
      </w:r>
    </w:p>
    <w:p w14:paraId="6869A616" w14:textId="77777777" w:rsidR="00DA5288" w:rsidRPr="00E26D61" w:rsidRDefault="00DA5288" w:rsidP="001F41F2">
      <w:pPr>
        <w:spacing w:line="480" w:lineRule="auto"/>
      </w:pPr>
    </w:p>
    <w:p w14:paraId="1C320F5F" w14:textId="77777777" w:rsidR="001F41F2" w:rsidRPr="00E26D61" w:rsidRDefault="001F41F2" w:rsidP="001F41F2">
      <w:pPr>
        <w:spacing w:line="480" w:lineRule="auto"/>
        <w:rPr>
          <w:i/>
          <w:u w:val="single"/>
        </w:rPr>
      </w:pPr>
      <w:proofErr w:type="spellStart"/>
      <w:r w:rsidRPr="00E26D61">
        <w:rPr>
          <w:i/>
          <w:u w:val="single"/>
        </w:rPr>
        <w:t>Immunohistochemical</w:t>
      </w:r>
      <w:proofErr w:type="spellEnd"/>
      <w:r w:rsidRPr="00E26D61">
        <w:rPr>
          <w:i/>
          <w:u w:val="single"/>
        </w:rPr>
        <w:t xml:space="preserve"> staining procedure</w:t>
      </w:r>
    </w:p>
    <w:p w14:paraId="47846C21" w14:textId="463F176F" w:rsidR="001F41F2" w:rsidRPr="00E26D61" w:rsidRDefault="001F41F2" w:rsidP="001F41F2">
      <w:pPr>
        <w:spacing w:line="480" w:lineRule="auto"/>
        <w:ind w:firstLine="270"/>
        <w:jc w:val="both"/>
      </w:pPr>
      <w:proofErr w:type="spellStart"/>
      <w:r w:rsidRPr="00E26D61">
        <w:t>Immunohistochemical</w:t>
      </w:r>
      <w:proofErr w:type="spellEnd"/>
      <w:r w:rsidRPr="00E26D61">
        <w:t xml:space="preserve"> staining </w:t>
      </w:r>
      <w:r w:rsidR="00643D9C" w:rsidRPr="00E26D61">
        <w:t xml:space="preserve">of </w:t>
      </w:r>
      <w:r w:rsidR="00357EE6" w:rsidRPr="00E26D61">
        <w:t xml:space="preserve">ER, PR, HER2, </w:t>
      </w:r>
      <w:r w:rsidR="00A26C9F" w:rsidRPr="00E26D61">
        <w:t xml:space="preserve">Ki67, </w:t>
      </w:r>
      <w:r w:rsidR="00357EE6" w:rsidRPr="00E26D61">
        <w:t>p16, p53, and COX-2</w:t>
      </w:r>
      <w:r w:rsidR="00643D9C" w:rsidRPr="00E26D61">
        <w:t xml:space="preserve"> </w:t>
      </w:r>
      <w:r w:rsidRPr="00E26D61">
        <w:t xml:space="preserve">was performed </w:t>
      </w:r>
      <w:r w:rsidR="00C03FB4" w:rsidRPr="00E26D61">
        <w:t>using</w:t>
      </w:r>
      <w:r w:rsidRPr="00E26D61">
        <w:t xml:space="preserve"> a Benchmark ULTRA </w:t>
      </w:r>
      <w:proofErr w:type="spellStart"/>
      <w:r w:rsidRPr="00E26D61">
        <w:t>autostainer</w:t>
      </w:r>
      <w:proofErr w:type="spellEnd"/>
      <w:r w:rsidRPr="00E26D61">
        <w:t xml:space="preserve"> (</w:t>
      </w:r>
      <w:proofErr w:type="spellStart"/>
      <w:r w:rsidRPr="00E26D61">
        <w:t>Ventana</w:t>
      </w:r>
      <w:proofErr w:type="spellEnd"/>
      <w:r w:rsidRPr="00E26D61">
        <w:t xml:space="preserve"> Medical Systems, AZ, USA).</w:t>
      </w:r>
      <w:r w:rsidR="00643D9C" w:rsidRPr="00E26D61">
        <w:t xml:space="preserve"> For each </w:t>
      </w:r>
      <w:r w:rsidR="00357EE6" w:rsidRPr="00E26D61">
        <w:t>lesion and for each staining</w:t>
      </w:r>
      <w:r w:rsidR="00643D9C" w:rsidRPr="00E26D61">
        <w:t xml:space="preserve">, </w:t>
      </w:r>
      <w:r w:rsidR="00357EE6" w:rsidRPr="00E26D61">
        <w:t xml:space="preserve">a </w:t>
      </w:r>
      <w:r w:rsidRPr="00E26D61">
        <w:t xml:space="preserve">3 µm thick </w:t>
      </w:r>
      <w:r w:rsidR="00643D9C" w:rsidRPr="00E26D61">
        <w:t xml:space="preserve">whole slide </w:t>
      </w:r>
      <w:r w:rsidRPr="00E26D61">
        <w:t xml:space="preserve">paraffin section </w:t>
      </w:r>
      <w:r w:rsidR="00357EE6" w:rsidRPr="00E26D61">
        <w:t xml:space="preserve">was </w:t>
      </w:r>
      <w:r w:rsidRPr="00E26D61">
        <w:t xml:space="preserve">heated at 75 °C for 28 minutes and </w:t>
      </w:r>
      <w:proofErr w:type="spellStart"/>
      <w:r w:rsidRPr="00E26D61">
        <w:t>deparaffinized</w:t>
      </w:r>
      <w:proofErr w:type="spellEnd"/>
      <w:r w:rsidRPr="00E26D61">
        <w:t xml:space="preserve"> in the instrument with EZ prep solution (</w:t>
      </w:r>
      <w:proofErr w:type="spellStart"/>
      <w:r w:rsidRPr="00E26D61">
        <w:t>Ventana</w:t>
      </w:r>
      <w:proofErr w:type="spellEnd"/>
      <w:r w:rsidRPr="00E26D61">
        <w:t xml:space="preserve"> Medical Systems). Heat-induced antigen retrieval was carried out using Cell Conditioning 1 (CC1; </w:t>
      </w:r>
      <w:proofErr w:type="spellStart"/>
      <w:r w:rsidRPr="00E26D61">
        <w:t>Ventana</w:t>
      </w:r>
      <w:proofErr w:type="spellEnd"/>
      <w:r w:rsidRPr="00E26D61">
        <w:t xml:space="preserve"> Medical Systems) for 64 min at 95 °C. Next, the primary antibody</w:t>
      </w:r>
      <w:r w:rsidR="00C03FB4" w:rsidRPr="00E26D61">
        <w:t xml:space="preserve">, indicated in Table M1, </w:t>
      </w:r>
      <w:r w:rsidRPr="00E26D61">
        <w:t xml:space="preserve">was applied to the tissue section. Additionally, for the p16 staining signal amplification was performed using the </w:t>
      </w:r>
      <w:proofErr w:type="spellStart"/>
      <w:r w:rsidRPr="00E26D61">
        <w:t>Optiview</w:t>
      </w:r>
      <w:proofErr w:type="spellEnd"/>
      <w:r w:rsidRPr="00E26D61">
        <w:t xml:space="preserve"> Amplification kit (</w:t>
      </w:r>
      <w:proofErr w:type="spellStart"/>
      <w:r w:rsidRPr="00E26D61">
        <w:t>Ventana</w:t>
      </w:r>
      <w:proofErr w:type="spellEnd"/>
      <w:r w:rsidRPr="00E26D61">
        <w:t xml:space="preserve"> Medical Systems). For the PR staining the slides were additionally incubated with normal antibody diluent (ABB999, Immunologic) to reduce </w:t>
      </w:r>
      <w:r w:rsidR="00357EE6" w:rsidRPr="00E26D61">
        <w:t>the background signal. R</w:t>
      </w:r>
      <w:r w:rsidRPr="00E26D61">
        <w:t xml:space="preserve">eactions were detected using the </w:t>
      </w:r>
      <w:proofErr w:type="spellStart"/>
      <w:r w:rsidRPr="00E26D61">
        <w:t>UltraView</w:t>
      </w:r>
      <w:proofErr w:type="spellEnd"/>
      <w:r w:rsidRPr="00E26D61">
        <w:t xml:space="preserve"> Universal DAB Detection kit (#760-500; Roche) for visualization of ER, PR, </w:t>
      </w:r>
      <w:r w:rsidR="00C03FB4" w:rsidRPr="00E26D61">
        <w:t>and HER2</w:t>
      </w:r>
      <w:r w:rsidRPr="00E26D61">
        <w:t xml:space="preserve">, or the </w:t>
      </w:r>
      <w:proofErr w:type="spellStart"/>
      <w:r w:rsidRPr="00E26D61">
        <w:t>OptiView</w:t>
      </w:r>
      <w:proofErr w:type="spellEnd"/>
      <w:r w:rsidRPr="00E26D61">
        <w:t xml:space="preserve"> DAB Detection kit (#760-700; Roche) for visualization of </w:t>
      </w:r>
      <w:r w:rsidR="00A26C9F" w:rsidRPr="00E26D61">
        <w:t xml:space="preserve">Ki67, </w:t>
      </w:r>
      <w:r w:rsidRPr="00E26D61">
        <w:t>p16, p53 and COX-2. Finally, the slides were counterstained with Hematoxylin II and Bluing Reagent (</w:t>
      </w:r>
      <w:proofErr w:type="spellStart"/>
      <w:r w:rsidRPr="00E26D61">
        <w:t>Ventana</w:t>
      </w:r>
      <w:proofErr w:type="spellEnd"/>
      <w:r w:rsidRPr="00E26D61">
        <w:t xml:space="preserve"> Medical Systems).</w:t>
      </w:r>
    </w:p>
    <w:p w14:paraId="3E3505CE" w14:textId="77777777" w:rsidR="003F4617" w:rsidRPr="00E26D61" w:rsidRDefault="003F4617" w:rsidP="00EE2A9C">
      <w:pPr>
        <w:spacing w:line="480" w:lineRule="auto"/>
        <w:rPr>
          <w:i/>
          <w:u w:val="single"/>
        </w:rPr>
      </w:pPr>
    </w:p>
    <w:tbl>
      <w:tblPr>
        <w:tblW w:w="5000" w:type="pct"/>
        <w:tblLook w:val="04A0" w:firstRow="1" w:lastRow="0" w:firstColumn="1" w:lastColumn="0" w:noHBand="0" w:noVBand="1"/>
      </w:tblPr>
      <w:tblGrid>
        <w:gridCol w:w="1411"/>
        <w:gridCol w:w="1899"/>
        <w:gridCol w:w="1968"/>
        <w:gridCol w:w="4342"/>
      </w:tblGrid>
      <w:tr w:rsidR="00C03FB4" w:rsidRPr="00E26D61" w14:paraId="6283EE66" w14:textId="77777777" w:rsidTr="00EA5314">
        <w:trPr>
          <w:trHeight w:val="300"/>
        </w:trPr>
        <w:tc>
          <w:tcPr>
            <w:tcW w:w="5000" w:type="pct"/>
            <w:gridSpan w:val="4"/>
            <w:tcBorders>
              <w:top w:val="nil"/>
              <w:left w:val="nil"/>
              <w:bottom w:val="single" w:sz="12" w:space="0" w:color="auto"/>
              <w:right w:val="nil"/>
            </w:tcBorders>
            <w:shd w:val="clear" w:color="000000" w:fill="FFFFFF"/>
            <w:noWrap/>
            <w:vAlign w:val="bottom"/>
            <w:hideMark/>
          </w:tcPr>
          <w:p w14:paraId="60446DFA" w14:textId="6B11A3CF" w:rsidR="00C03FB4" w:rsidRPr="00E26D61" w:rsidRDefault="00C03FB4" w:rsidP="00EA5314">
            <w:pPr>
              <w:spacing w:line="240" w:lineRule="auto"/>
              <w:jc w:val="both"/>
              <w:rPr>
                <w:rFonts w:asciiTheme="minorHAnsi" w:eastAsia="Times New Roman" w:hAnsiTheme="minorHAnsi" w:cs="Times New Roman"/>
                <w:szCs w:val="20"/>
              </w:rPr>
            </w:pPr>
            <w:r w:rsidRPr="00E26D61">
              <w:rPr>
                <w:rFonts w:asciiTheme="minorHAnsi" w:eastAsia="Times New Roman" w:hAnsiTheme="minorHAnsi" w:cs="Times New Roman"/>
                <w:b/>
                <w:bCs/>
                <w:szCs w:val="20"/>
              </w:rPr>
              <w:t>Table M1.</w:t>
            </w:r>
            <w:r w:rsidRPr="00E26D61">
              <w:rPr>
                <w:rFonts w:asciiTheme="minorHAnsi" w:eastAsia="Times New Roman" w:hAnsiTheme="minorHAnsi" w:cs="Times New Roman"/>
                <w:szCs w:val="20"/>
              </w:rPr>
              <w:t xml:space="preserve"> Primary antibody sources and dilutions used in this study</w:t>
            </w:r>
          </w:p>
          <w:p w14:paraId="3C3BF071" w14:textId="77777777" w:rsidR="00C03FB4" w:rsidRPr="00E26D61" w:rsidRDefault="00C03FB4" w:rsidP="00EA5314">
            <w:pPr>
              <w:spacing w:line="240" w:lineRule="auto"/>
              <w:jc w:val="both"/>
              <w:rPr>
                <w:rFonts w:asciiTheme="minorHAnsi" w:eastAsia="Times New Roman" w:hAnsiTheme="minorHAnsi" w:cs="Times New Roman"/>
                <w:b/>
                <w:bCs/>
                <w:szCs w:val="20"/>
              </w:rPr>
            </w:pPr>
          </w:p>
        </w:tc>
      </w:tr>
      <w:tr w:rsidR="00C03FB4" w:rsidRPr="00E26D61" w14:paraId="61A582F1" w14:textId="77777777" w:rsidTr="00EA5314">
        <w:trPr>
          <w:trHeight w:val="300"/>
        </w:trPr>
        <w:tc>
          <w:tcPr>
            <w:tcW w:w="733" w:type="pct"/>
            <w:tcBorders>
              <w:top w:val="single" w:sz="12" w:space="0" w:color="auto"/>
              <w:left w:val="nil"/>
              <w:bottom w:val="single" w:sz="4" w:space="0" w:color="auto"/>
              <w:right w:val="nil"/>
            </w:tcBorders>
            <w:shd w:val="clear" w:color="000000" w:fill="FFFFFF"/>
            <w:noWrap/>
            <w:vAlign w:val="bottom"/>
            <w:hideMark/>
          </w:tcPr>
          <w:p w14:paraId="7A5DA69A" w14:textId="77777777" w:rsidR="00C03FB4" w:rsidRPr="00E26D61" w:rsidRDefault="00C03FB4" w:rsidP="00EA5314">
            <w:pPr>
              <w:spacing w:line="240" w:lineRule="auto"/>
              <w:jc w:val="both"/>
              <w:rPr>
                <w:rFonts w:asciiTheme="minorHAnsi" w:eastAsia="Times New Roman" w:hAnsiTheme="minorHAnsi" w:cs="Times New Roman"/>
                <w:b/>
                <w:bCs/>
                <w:szCs w:val="20"/>
              </w:rPr>
            </w:pPr>
            <w:r w:rsidRPr="00E26D61">
              <w:rPr>
                <w:rFonts w:asciiTheme="minorHAnsi" w:eastAsia="Times New Roman" w:hAnsiTheme="minorHAnsi" w:cs="Times New Roman"/>
                <w:b/>
                <w:bCs/>
                <w:szCs w:val="20"/>
              </w:rPr>
              <w:t>Antigen</w:t>
            </w:r>
          </w:p>
        </w:tc>
        <w:tc>
          <w:tcPr>
            <w:tcW w:w="987" w:type="pct"/>
            <w:tcBorders>
              <w:top w:val="single" w:sz="12" w:space="0" w:color="auto"/>
              <w:left w:val="nil"/>
              <w:bottom w:val="single" w:sz="4" w:space="0" w:color="auto"/>
              <w:right w:val="nil"/>
            </w:tcBorders>
            <w:shd w:val="clear" w:color="000000" w:fill="FFFFFF"/>
            <w:noWrap/>
            <w:vAlign w:val="bottom"/>
            <w:hideMark/>
          </w:tcPr>
          <w:p w14:paraId="75CD6332" w14:textId="77777777" w:rsidR="00C03FB4" w:rsidRPr="00E26D61" w:rsidRDefault="00C03FB4" w:rsidP="00EA5314">
            <w:pPr>
              <w:spacing w:line="240" w:lineRule="auto"/>
              <w:jc w:val="both"/>
              <w:rPr>
                <w:rFonts w:asciiTheme="minorHAnsi" w:eastAsia="Times New Roman" w:hAnsiTheme="minorHAnsi" w:cs="Times New Roman"/>
                <w:b/>
                <w:bCs/>
                <w:szCs w:val="20"/>
              </w:rPr>
            </w:pPr>
            <w:r w:rsidRPr="00E26D61">
              <w:rPr>
                <w:rFonts w:asciiTheme="minorHAnsi" w:eastAsia="Times New Roman" w:hAnsiTheme="minorHAnsi" w:cs="Times New Roman"/>
                <w:b/>
                <w:bCs/>
                <w:szCs w:val="20"/>
              </w:rPr>
              <w:t>Clone</w:t>
            </w:r>
          </w:p>
        </w:tc>
        <w:tc>
          <w:tcPr>
            <w:tcW w:w="1023" w:type="pct"/>
            <w:tcBorders>
              <w:top w:val="single" w:sz="12" w:space="0" w:color="auto"/>
              <w:left w:val="nil"/>
              <w:bottom w:val="single" w:sz="4" w:space="0" w:color="auto"/>
              <w:right w:val="nil"/>
            </w:tcBorders>
            <w:shd w:val="clear" w:color="000000" w:fill="FFFFFF"/>
            <w:noWrap/>
            <w:vAlign w:val="bottom"/>
            <w:hideMark/>
          </w:tcPr>
          <w:p w14:paraId="63635BBD" w14:textId="77777777" w:rsidR="00C03FB4" w:rsidRPr="00E26D61" w:rsidRDefault="00C03FB4" w:rsidP="00EA5314">
            <w:pPr>
              <w:spacing w:line="240" w:lineRule="auto"/>
              <w:jc w:val="both"/>
              <w:rPr>
                <w:rFonts w:asciiTheme="minorHAnsi" w:eastAsia="Times New Roman" w:hAnsiTheme="minorHAnsi" w:cs="Times New Roman"/>
                <w:b/>
                <w:bCs/>
                <w:szCs w:val="20"/>
              </w:rPr>
            </w:pPr>
            <w:r w:rsidRPr="00E26D61">
              <w:rPr>
                <w:rFonts w:asciiTheme="minorHAnsi" w:eastAsia="Times New Roman" w:hAnsiTheme="minorHAnsi" w:cs="Times New Roman"/>
                <w:b/>
                <w:bCs/>
                <w:szCs w:val="20"/>
              </w:rPr>
              <w:t>Dilution</w:t>
            </w:r>
          </w:p>
        </w:tc>
        <w:tc>
          <w:tcPr>
            <w:tcW w:w="2257" w:type="pct"/>
            <w:tcBorders>
              <w:top w:val="single" w:sz="12" w:space="0" w:color="auto"/>
              <w:left w:val="nil"/>
              <w:bottom w:val="single" w:sz="4" w:space="0" w:color="auto"/>
              <w:right w:val="nil"/>
            </w:tcBorders>
            <w:shd w:val="clear" w:color="000000" w:fill="FFFFFF"/>
            <w:noWrap/>
            <w:vAlign w:val="bottom"/>
            <w:hideMark/>
          </w:tcPr>
          <w:p w14:paraId="75C3551F" w14:textId="77777777" w:rsidR="00C03FB4" w:rsidRPr="00E26D61" w:rsidRDefault="00C03FB4" w:rsidP="00EA5314">
            <w:pPr>
              <w:spacing w:line="240" w:lineRule="auto"/>
              <w:jc w:val="both"/>
              <w:rPr>
                <w:rFonts w:asciiTheme="minorHAnsi" w:eastAsia="Times New Roman" w:hAnsiTheme="minorHAnsi" w:cs="Times New Roman"/>
                <w:b/>
                <w:bCs/>
                <w:szCs w:val="20"/>
              </w:rPr>
            </w:pPr>
            <w:r w:rsidRPr="00E26D61">
              <w:rPr>
                <w:rFonts w:asciiTheme="minorHAnsi" w:eastAsia="Times New Roman" w:hAnsiTheme="minorHAnsi" w:cs="Times New Roman"/>
                <w:b/>
                <w:bCs/>
                <w:szCs w:val="20"/>
              </w:rPr>
              <w:t>Manufacturer</w:t>
            </w:r>
          </w:p>
        </w:tc>
      </w:tr>
      <w:tr w:rsidR="00C03FB4" w:rsidRPr="00E26D61" w14:paraId="23748C92" w14:textId="77777777" w:rsidTr="00EA5314">
        <w:trPr>
          <w:trHeight w:val="300"/>
        </w:trPr>
        <w:tc>
          <w:tcPr>
            <w:tcW w:w="733" w:type="pct"/>
            <w:tcBorders>
              <w:top w:val="nil"/>
              <w:left w:val="nil"/>
              <w:bottom w:val="nil"/>
              <w:right w:val="nil"/>
            </w:tcBorders>
            <w:shd w:val="clear" w:color="000000" w:fill="FFFFFF"/>
            <w:noWrap/>
            <w:hideMark/>
          </w:tcPr>
          <w:p w14:paraId="259D3AFC"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ER</w:t>
            </w:r>
          </w:p>
        </w:tc>
        <w:tc>
          <w:tcPr>
            <w:tcW w:w="987" w:type="pct"/>
            <w:tcBorders>
              <w:top w:val="nil"/>
              <w:left w:val="nil"/>
              <w:bottom w:val="nil"/>
              <w:right w:val="nil"/>
            </w:tcBorders>
            <w:shd w:val="clear" w:color="000000" w:fill="FFFFFF"/>
            <w:noWrap/>
            <w:hideMark/>
          </w:tcPr>
          <w:p w14:paraId="1BEC8A73"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SP1</w:t>
            </w:r>
          </w:p>
        </w:tc>
        <w:tc>
          <w:tcPr>
            <w:tcW w:w="1023" w:type="pct"/>
            <w:tcBorders>
              <w:top w:val="nil"/>
              <w:left w:val="nil"/>
              <w:bottom w:val="nil"/>
              <w:right w:val="nil"/>
            </w:tcBorders>
            <w:shd w:val="clear" w:color="000000" w:fill="FFFFFF"/>
            <w:noWrap/>
            <w:hideMark/>
          </w:tcPr>
          <w:p w14:paraId="5C881A65"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Ready-to-use</w:t>
            </w:r>
          </w:p>
        </w:tc>
        <w:tc>
          <w:tcPr>
            <w:tcW w:w="2257" w:type="pct"/>
            <w:tcBorders>
              <w:top w:val="nil"/>
              <w:left w:val="nil"/>
              <w:bottom w:val="nil"/>
              <w:right w:val="nil"/>
            </w:tcBorders>
            <w:shd w:val="clear" w:color="000000" w:fill="FFFFFF"/>
            <w:noWrap/>
            <w:hideMark/>
          </w:tcPr>
          <w:p w14:paraId="6C696C81" w14:textId="77777777" w:rsidR="00C03FB4" w:rsidRPr="00E26D61" w:rsidRDefault="00C03FB4" w:rsidP="00EA5314">
            <w:pPr>
              <w:spacing w:line="240" w:lineRule="auto"/>
              <w:rPr>
                <w:rFonts w:asciiTheme="minorHAnsi" w:eastAsia="Times New Roman" w:hAnsiTheme="minorHAnsi" w:cs="Times New Roman"/>
                <w:szCs w:val="20"/>
              </w:rPr>
            </w:pPr>
            <w:proofErr w:type="spellStart"/>
            <w:r w:rsidRPr="00E26D61">
              <w:rPr>
                <w:rFonts w:asciiTheme="minorHAnsi" w:eastAsia="Times New Roman" w:hAnsiTheme="minorHAnsi" w:cs="Times New Roman"/>
                <w:szCs w:val="20"/>
              </w:rPr>
              <w:t>Ventana</w:t>
            </w:r>
            <w:proofErr w:type="spellEnd"/>
            <w:r w:rsidRPr="00E26D61">
              <w:rPr>
                <w:rFonts w:asciiTheme="minorHAnsi" w:eastAsia="Times New Roman" w:hAnsiTheme="minorHAnsi" w:cs="Times New Roman"/>
                <w:szCs w:val="20"/>
              </w:rPr>
              <w:t xml:space="preserve"> Medical Systems</w:t>
            </w:r>
          </w:p>
        </w:tc>
      </w:tr>
      <w:tr w:rsidR="00C03FB4" w:rsidRPr="00E26D61" w14:paraId="4408C699" w14:textId="77777777" w:rsidTr="00EA5314">
        <w:trPr>
          <w:trHeight w:val="300"/>
        </w:trPr>
        <w:tc>
          <w:tcPr>
            <w:tcW w:w="733" w:type="pct"/>
            <w:tcBorders>
              <w:top w:val="nil"/>
              <w:left w:val="nil"/>
              <w:bottom w:val="nil"/>
              <w:right w:val="nil"/>
            </w:tcBorders>
            <w:shd w:val="clear" w:color="000000" w:fill="FFFFFF"/>
            <w:noWrap/>
            <w:hideMark/>
          </w:tcPr>
          <w:p w14:paraId="494192AF"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PR</w:t>
            </w:r>
          </w:p>
        </w:tc>
        <w:tc>
          <w:tcPr>
            <w:tcW w:w="987" w:type="pct"/>
            <w:tcBorders>
              <w:top w:val="nil"/>
              <w:left w:val="nil"/>
              <w:bottom w:val="nil"/>
              <w:right w:val="nil"/>
            </w:tcBorders>
            <w:shd w:val="clear" w:color="000000" w:fill="FFFFFF"/>
            <w:noWrap/>
            <w:hideMark/>
          </w:tcPr>
          <w:p w14:paraId="73A50EA6"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1E2</w:t>
            </w:r>
          </w:p>
        </w:tc>
        <w:tc>
          <w:tcPr>
            <w:tcW w:w="1023" w:type="pct"/>
            <w:tcBorders>
              <w:top w:val="nil"/>
              <w:left w:val="nil"/>
              <w:bottom w:val="nil"/>
              <w:right w:val="nil"/>
            </w:tcBorders>
            <w:shd w:val="clear" w:color="000000" w:fill="FFFFFF"/>
            <w:noWrap/>
            <w:hideMark/>
          </w:tcPr>
          <w:p w14:paraId="1E2FF6A9"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Ready-to-use</w:t>
            </w:r>
          </w:p>
        </w:tc>
        <w:tc>
          <w:tcPr>
            <w:tcW w:w="2257" w:type="pct"/>
            <w:tcBorders>
              <w:top w:val="nil"/>
              <w:left w:val="nil"/>
              <w:bottom w:val="nil"/>
              <w:right w:val="nil"/>
            </w:tcBorders>
            <w:shd w:val="clear" w:color="000000" w:fill="FFFFFF"/>
            <w:noWrap/>
            <w:hideMark/>
          </w:tcPr>
          <w:p w14:paraId="31166AB7" w14:textId="77777777" w:rsidR="00C03FB4" w:rsidRPr="00E26D61" w:rsidRDefault="00C03FB4" w:rsidP="00EA5314">
            <w:pPr>
              <w:spacing w:line="240" w:lineRule="auto"/>
              <w:rPr>
                <w:rFonts w:asciiTheme="minorHAnsi" w:eastAsia="Times New Roman" w:hAnsiTheme="minorHAnsi" w:cs="Times New Roman"/>
                <w:szCs w:val="20"/>
              </w:rPr>
            </w:pPr>
            <w:proofErr w:type="spellStart"/>
            <w:r w:rsidRPr="00E26D61">
              <w:rPr>
                <w:rFonts w:asciiTheme="minorHAnsi" w:eastAsia="Times New Roman" w:hAnsiTheme="minorHAnsi" w:cs="Times New Roman"/>
                <w:szCs w:val="20"/>
              </w:rPr>
              <w:t>Ventana</w:t>
            </w:r>
            <w:proofErr w:type="spellEnd"/>
            <w:r w:rsidRPr="00E26D61">
              <w:rPr>
                <w:rFonts w:asciiTheme="minorHAnsi" w:eastAsia="Times New Roman" w:hAnsiTheme="minorHAnsi" w:cs="Times New Roman"/>
                <w:szCs w:val="20"/>
              </w:rPr>
              <w:t xml:space="preserve"> Medical Systems</w:t>
            </w:r>
          </w:p>
        </w:tc>
      </w:tr>
      <w:tr w:rsidR="00C03FB4" w:rsidRPr="00E26D61" w14:paraId="45259E12" w14:textId="77777777" w:rsidTr="00EA5314">
        <w:trPr>
          <w:trHeight w:val="300"/>
        </w:trPr>
        <w:tc>
          <w:tcPr>
            <w:tcW w:w="733" w:type="pct"/>
            <w:tcBorders>
              <w:top w:val="nil"/>
              <w:left w:val="nil"/>
              <w:bottom w:val="nil"/>
              <w:right w:val="nil"/>
            </w:tcBorders>
            <w:shd w:val="clear" w:color="000000" w:fill="FFFFFF"/>
            <w:noWrap/>
            <w:hideMark/>
          </w:tcPr>
          <w:p w14:paraId="1FB7A670"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HER2</w:t>
            </w:r>
          </w:p>
        </w:tc>
        <w:tc>
          <w:tcPr>
            <w:tcW w:w="987" w:type="pct"/>
            <w:tcBorders>
              <w:top w:val="nil"/>
              <w:left w:val="nil"/>
              <w:bottom w:val="nil"/>
              <w:right w:val="nil"/>
            </w:tcBorders>
            <w:shd w:val="clear" w:color="000000" w:fill="FFFFFF"/>
            <w:noWrap/>
            <w:hideMark/>
          </w:tcPr>
          <w:p w14:paraId="6378DBC5"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4B5</w:t>
            </w:r>
          </w:p>
        </w:tc>
        <w:tc>
          <w:tcPr>
            <w:tcW w:w="1023" w:type="pct"/>
            <w:tcBorders>
              <w:top w:val="nil"/>
              <w:left w:val="nil"/>
              <w:bottom w:val="nil"/>
              <w:right w:val="nil"/>
            </w:tcBorders>
            <w:shd w:val="clear" w:color="000000" w:fill="FFFFFF"/>
            <w:noWrap/>
            <w:hideMark/>
          </w:tcPr>
          <w:p w14:paraId="2E94008A"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Ready-to-use</w:t>
            </w:r>
          </w:p>
        </w:tc>
        <w:tc>
          <w:tcPr>
            <w:tcW w:w="2257" w:type="pct"/>
            <w:tcBorders>
              <w:top w:val="nil"/>
              <w:left w:val="nil"/>
              <w:bottom w:val="nil"/>
              <w:right w:val="nil"/>
            </w:tcBorders>
            <w:shd w:val="clear" w:color="000000" w:fill="FFFFFF"/>
            <w:noWrap/>
            <w:hideMark/>
          </w:tcPr>
          <w:p w14:paraId="7EE57E27" w14:textId="77777777" w:rsidR="00C03FB4" w:rsidRPr="00E26D61" w:rsidRDefault="00C03FB4" w:rsidP="00EA5314">
            <w:pPr>
              <w:spacing w:line="240" w:lineRule="auto"/>
              <w:rPr>
                <w:rFonts w:asciiTheme="minorHAnsi" w:eastAsia="Times New Roman" w:hAnsiTheme="minorHAnsi" w:cs="Times New Roman"/>
                <w:szCs w:val="20"/>
              </w:rPr>
            </w:pPr>
            <w:proofErr w:type="spellStart"/>
            <w:r w:rsidRPr="00E26D61">
              <w:rPr>
                <w:rFonts w:asciiTheme="minorHAnsi" w:eastAsia="Times New Roman" w:hAnsiTheme="minorHAnsi" w:cs="Times New Roman"/>
                <w:szCs w:val="20"/>
              </w:rPr>
              <w:t>Ventana</w:t>
            </w:r>
            <w:proofErr w:type="spellEnd"/>
            <w:r w:rsidRPr="00E26D61">
              <w:rPr>
                <w:rFonts w:asciiTheme="minorHAnsi" w:eastAsia="Times New Roman" w:hAnsiTheme="minorHAnsi" w:cs="Times New Roman"/>
                <w:szCs w:val="20"/>
              </w:rPr>
              <w:t xml:space="preserve"> Medical Systems</w:t>
            </w:r>
          </w:p>
        </w:tc>
      </w:tr>
      <w:tr w:rsidR="00E42496" w:rsidRPr="00E26D61" w14:paraId="61F9A621" w14:textId="77777777" w:rsidTr="00EA5314">
        <w:trPr>
          <w:trHeight w:val="300"/>
        </w:trPr>
        <w:tc>
          <w:tcPr>
            <w:tcW w:w="733" w:type="pct"/>
            <w:tcBorders>
              <w:top w:val="nil"/>
              <w:left w:val="nil"/>
              <w:bottom w:val="nil"/>
              <w:right w:val="nil"/>
            </w:tcBorders>
            <w:shd w:val="clear" w:color="000000" w:fill="FFFFFF"/>
            <w:noWrap/>
          </w:tcPr>
          <w:p w14:paraId="30530CB7" w14:textId="41673A59" w:rsidR="00E42496" w:rsidRPr="00E26D61" w:rsidRDefault="00E42496"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Ki67</w:t>
            </w:r>
          </w:p>
        </w:tc>
        <w:tc>
          <w:tcPr>
            <w:tcW w:w="987" w:type="pct"/>
            <w:tcBorders>
              <w:top w:val="nil"/>
              <w:left w:val="nil"/>
              <w:bottom w:val="nil"/>
              <w:right w:val="nil"/>
            </w:tcBorders>
            <w:shd w:val="clear" w:color="000000" w:fill="FFFFFF"/>
            <w:noWrap/>
          </w:tcPr>
          <w:p w14:paraId="7D1B902F" w14:textId="1D84ECC0" w:rsidR="00E42496" w:rsidRPr="00E26D61" w:rsidRDefault="00E42496"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MIB1</w:t>
            </w:r>
          </w:p>
        </w:tc>
        <w:tc>
          <w:tcPr>
            <w:tcW w:w="1023" w:type="pct"/>
            <w:tcBorders>
              <w:top w:val="nil"/>
              <w:left w:val="nil"/>
              <w:bottom w:val="nil"/>
              <w:right w:val="nil"/>
            </w:tcBorders>
            <w:shd w:val="clear" w:color="000000" w:fill="FFFFFF"/>
            <w:noWrap/>
          </w:tcPr>
          <w:p w14:paraId="257754C2" w14:textId="0F7B34C8" w:rsidR="00E42496" w:rsidRPr="00E26D61" w:rsidRDefault="00E42496"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1/250</w:t>
            </w:r>
          </w:p>
        </w:tc>
        <w:tc>
          <w:tcPr>
            <w:tcW w:w="2257" w:type="pct"/>
            <w:tcBorders>
              <w:top w:val="nil"/>
              <w:left w:val="nil"/>
              <w:bottom w:val="nil"/>
              <w:right w:val="nil"/>
            </w:tcBorders>
            <w:shd w:val="clear" w:color="000000" w:fill="FFFFFF"/>
            <w:noWrap/>
          </w:tcPr>
          <w:p w14:paraId="6DFB6FB7" w14:textId="04A49006" w:rsidR="00E42496" w:rsidRPr="00E26D61" w:rsidRDefault="00E42496"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DAKO</w:t>
            </w:r>
          </w:p>
        </w:tc>
      </w:tr>
      <w:tr w:rsidR="00C03FB4" w:rsidRPr="00E26D61" w14:paraId="2A1722B3" w14:textId="77777777" w:rsidTr="00EA5314">
        <w:trPr>
          <w:trHeight w:val="300"/>
        </w:trPr>
        <w:tc>
          <w:tcPr>
            <w:tcW w:w="733" w:type="pct"/>
            <w:tcBorders>
              <w:top w:val="nil"/>
              <w:left w:val="nil"/>
              <w:bottom w:val="nil"/>
              <w:right w:val="nil"/>
            </w:tcBorders>
            <w:shd w:val="clear" w:color="000000" w:fill="FFFFFF"/>
            <w:noWrap/>
            <w:hideMark/>
          </w:tcPr>
          <w:p w14:paraId="4F2DF4C6"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p16</w:t>
            </w:r>
          </w:p>
        </w:tc>
        <w:tc>
          <w:tcPr>
            <w:tcW w:w="987" w:type="pct"/>
            <w:tcBorders>
              <w:top w:val="nil"/>
              <w:left w:val="nil"/>
              <w:bottom w:val="nil"/>
              <w:right w:val="nil"/>
            </w:tcBorders>
            <w:shd w:val="clear" w:color="000000" w:fill="FFFFFF"/>
            <w:noWrap/>
            <w:hideMark/>
          </w:tcPr>
          <w:p w14:paraId="311440C6"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JC8</w:t>
            </w:r>
          </w:p>
        </w:tc>
        <w:tc>
          <w:tcPr>
            <w:tcW w:w="1023" w:type="pct"/>
            <w:tcBorders>
              <w:top w:val="nil"/>
              <w:left w:val="nil"/>
              <w:bottom w:val="nil"/>
              <w:right w:val="nil"/>
            </w:tcBorders>
            <w:shd w:val="clear" w:color="000000" w:fill="FFFFFF"/>
            <w:noWrap/>
            <w:hideMark/>
          </w:tcPr>
          <w:p w14:paraId="7105B488"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 xml:space="preserve">1/800 </w:t>
            </w:r>
          </w:p>
        </w:tc>
        <w:tc>
          <w:tcPr>
            <w:tcW w:w="2257" w:type="pct"/>
            <w:tcBorders>
              <w:top w:val="nil"/>
              <w:left w:val="nil"/>
              <w:bottom w:val="nil"/>
              <w:right w:val="nil"/>
            </w:tcBorders>
            <w:shd w:val="clear" w:color="000000" w:fill="FFFFFF"/>
            <w:noWrap/>
            <w:hideMark/>
          </w:tcPr>
          <w:p w14:paraId="02EBC5FD"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Santa Cruz</w:t>
            </w:r>
          </w:p>
        </w:tc>
      </w:tr>
      <w:tr w:rsidR="00C03FB4" w:rsidRPr="00E26D61" w14:paraId="5B600380" w14:textId="77777777" w:rsidTr="00EA5314">
        <w:trPr>
          <w:trHeight w:val="300"/>
        </w:trPr>
        <w:tc>
          <w:tcPr>
            <w:tcW w:w="733" w:type="pct"/>
            <w:tcBorders>
              <w:top w:val="nil"/>
              <w:left w:val="nil"/>
              <w:right w:val="nil"/>
            </w:tcBorders>
            <w:shd w:val="clear" w:color="000000" w:fill="FFFFFF"/>
            <w:noWrap/>
            <w:hideMark/>
          </w:tcPr>
          <w:p w14:paraId="549AF1D0"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p53</w:t>
            </w:r>
          </w:p>
        </w:tc>
        <w:tc>
          <w:tcPr>
            <w:tcW w:w="987" w:type="pct"/>
            <w:tcBorders>
              <w:top w:val="nil"/>
              <w:left w:val="nil"/>
              <w:right w:val="nil"/>
            </w:tcBorders>
            <w:shd w:val="clear" w:color="000000" w:fill="FFFFFF"/>
            <w:noWrap/>
            <w:hideMark/>
          </w:tcPr>
          <w:p w14:paraId="573B9FAA"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 xml:space="preserve">DO-7 </w:t>
            </w:r>
          </w:p>
        </w:tc>
        <w:tc>
          <w:tcPr>
            <w:tcW w:w="1023" w:type="pct"/>
            <w:tcBorders>
              <w:top w:val="nil"/>
              <w:left w:val="nil"/>
              <w:right w:val="nil"/>
            </w:tcBorders>
            <w:shd w:val="clear" w:color="000000" w:fill="FFFFFF"/>
            <w:noWrap/>
            <w:hideMark/>
          </w:tcPr>
          <w:p w14:paraId="25691433"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 xml:space="preserve">1/7000 </w:t>
            </w:r>
          </w:p>
        </w:tc>
        <w:tc>
          <w:tcPr>
            <w:tcW w:w="2257" w:type="pct"/>
            <w:tcBorders>
              <w:top w:val="nil"/>
              <w:left w:val="nil"/>
              <w:right w:val="nil"/>
            </w:tcBorders>
            <w:shd w:val="clear" w:color="000000" w:fill="FFFFFF"/>
            <w:noWrap/>
            <w:hideMark/>
          </w:tcPr>
          <w:p w14:paraId="4B38C164"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DAKO</w:t>
            </w:r>
          </w:p>
        </w:tc>
      </w:tr>
      <w:tr w:rsidR="00C03FB4" w:rsidRPr="00E26D61" w14:paraId="4512A16B" w14:textId="77777777" w:rsidTr="00EA5314">
        <w:trPr>
          <w:trHeight w:val="300"/>
        </w:trPr>
        <w:tc>
          <w:tcPr>
            <w:tcW w:w="733" w:type="pct"/>
            <w:tcBorders>
              <w:top w:val="nil"/>
              <w:left w:val="nil"/>
              <w:bottom w:val="single" w:sz="12" w:space="0" w:color="auto"/>
              <w:right w:val="nil"/>
            </w:tcBorders>
            <w:shd w:val="clear" w:color="000000" w:fill="FFFFFF"/>
            <w:noWrap/>
            <w:hideMark/>
          </w:tcPr>
          <w:p w14:paraId="0D732E1A"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lastRenderedPageBreak/>
              <w:t>COX-2</w:t>
            </w:r>
          </w:p>
        </w:tc>
        <w:tc>
          <w:tcPr>
            <w:tcW w:w="987" w:type="pct"/>
            <w:tcBorders>
              <w:top w:val="nil"/>
              <w:left w:val="nil"/>
              <w:bottom w:val="single" w:sz="12" w:space="0" w:color="auto"/>
              <w:right w:val="nil"/>
            </w:tcBorders>
            <w:shd w:val="clear" w:color="000000" w:fill="FFFFFF"/>
            <w:noWrap/>
            <w:hideMark/>
          </w:tcPr>
          <w:p w14:paraId="16BC64CE"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CX294</w:t>
            </w:r>
          </w:p>
        </w:tc>
        <w:tc>
          <w:tcPr>
            <w:tcW w:w="1023" w:type="pct"/>
            <w:tcBorders>
              <w:top w:val="nil"/>
              <w:left w:val="nil"/>
              <w:bottom w:val="single" w:sz="12" w:space="0" w:color="auto"/>
              <w:right w:val="nil"/>
            </w:tcBorders>
            <w:shd w:val="clear" w:color="000000" w:fill="FFFFFF"/>
            <w:noWrap/>
            <w:hideMark/>
          </w:tcPr>
          <w:p w14:paraId="5473DFA4"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 xml:space="preserve">1/100 </w:t>
            </w:r>
          </w:p>
        </w:tc>
        <w:tc>
          <w:tcPr>
            <w:tcW w:w="2257" w:type="pct"/>
            <w:tcBorders>
              <w:top w:val="nil"/>
              <w:left w:val="nil"/>
              <w:bottom w:val="single" w:sz="12" w:space="0" w:color="auto"/>
              <w:right w:val="nil"/>
            </w:tcBorders>
            <w:shd w:val="clear" w:color="000000" w:fill="FFFFFF"/>
            <w:noWrap/>
            <w:hideMark/>
          </w:tcPr>
          <w:p w14:paraId="7C57883E" w14:textId="77777777" w:rsidR="00C03FB4" w:rsidRPr="00E26D61" w:rsidRDefault="00C03FB4" w:rsidP="00EA5314">
            <w:pPr>
              <w:spacing w:line="240" w:lineRule="auto"/>
              <w:rPr>
                <w:rFonts w:asciiTheme="minorHAnsi" w:eastAsia="Times New Roman" w:hAnsiTheme="minorHAnsi" w:cs="Times New Roman"/>
                <w:szCs w:val="20"/>
              </w:rPr>
            </w:pPr>
            <w:r w:rsidRPr="00E26D61">
              <w:rPr>
                <w:rFonts w:asciiTheme="minorHAnsi" w:eastAsia="Times New Roman" w:hAnsiTheme="minorHAnsi" w:cs="Times New Roman"/>
                <w:szCs w:val="20"/>
              </w:rPr>
              <w:t>DAKO</w:t>
            </w:r>
          </w:p>
        </w:tc>
      </w:tr>
      <w:tr w:rsidR="00C03FB4" w:rsidRPr="00E26D61" w14:paraId="58B2A62B" w14:textId="77777777" w:rsidTr="00EA5314">
        <w:trPr>
          <w:trHeight w:val="555"/>
        </w:trPr>
        <w:tc>
          <w:tcPr>
            <w:tcW w:w="5000" w:type="pct"/>
            <w:gridSpan w:val="4"/>
            <w:tcBorders>
              <w:top w:val="single" w:sz="12" w:space="0" w:color="auto"/>
              <w:left w:val="nil"/>
              <w:bottom w:val="nil"/>
              <w:right w:val="nil"/>
            </w:tcBorders>
            <w:shd w:val="clear" w:color="000000" w:fill="FFFFFF"/>
            <w:vAlign w:val="center"/>
            <w:hideMark/>
          </w:tcPr>
          <w:p w14:paraId="76C7591D" w14:textId="77777777" w:rsidR="00C03FB4" w:rsidRPr="00E26D61" w:rsidRDefault="00C03FB4" w:rsidP="00EA5314">
            <w:pPr>
              <w:spacing w:line="240" w:lineRule="auto"/>
              <w:jc w:val="both"/>
              <w:rPr>
                <w:rFonts w:asciiTheme="minorHAnsi" w:eastAsia="Times New Roman" w:hAnsiTheme="minorHAnsi" w:cs="Times New Roman"/>
                <w:szCs w:val="20"/>
              </w:rPr>
            </w:pPr>
            <w:r w:rsidRPr="00E26D61">
              <w:rPr>
                <w:rFonts w:asciiTheme="minorHAnsi" w:eastAsia="Times New Roman" w:hAnsiTheme="minorHAnsi" w:cs="Times New Roman"/>
                <w:sz w:val="16"/>
                <w:szCs w:val="20"/>
              </w:rPr>
              <w:t xml:space="preserve">ER, estrogen receptor; PR, </w:t>
            </w:r>
            <w:proofErr w:type="spellStart"/>
            <w:r w:rsidRPr="00E26D61">
              <w:rPr>
                <w:rFonts w:asciiTheme="minorHAnsi" w:eastAsia="Times New Roman" w:hAnsiTheme="minorHAnsi" w:cs="Times New Roman"/>
                <w:sz w:val="16"/>
                <w:szCs w:val="20"/>
              </w:rPr>
              <w:t>progesteron</w:t>
            </w:r>
            <w:proofErr w:type="spellEnd"/>
            <w:r w:rsidRPr="00E26D61">
              <w:rPr>
                <w:rFonts w:asciiTheme="minorHAnsi" w:eastAsia="Times New Roman" w:hAnsiTheme="minorHAnsi" w:cs="Times New Roman"/>
                <w:sz w:val="16"/>
                <w:szCs w:val="20"/>
              </w:rPr>
              <w:t xml:space="preserve"> receptor; HER2, human epidermal growth factor receptor 2; p16, cyclin-dependent kinase inhibitor 2A; COX-2, cyclooxygenase-2.</w:t>
            </w:r>
          </w:p>
        </w:tc>
      </w:tr>
    </w:tbl>
    <w:p w14:paraId="01624AC8" w14:textId="77777777" w:rsidR="00C03FB4" w:rsidRPr="00E26D61" w:rsidRDefault="00C03FB4" w:rsidP="00EE2A9C">
      <w:pPr>
        <w:spacing w:line="480" w:lineRule="auto"/>
        <w:rPr>
          <w:u w:val="single"/>
        </w:rPr>
      </w:pPr>
    </w:p>
    <w:p w14:paraId="32DB8EE2" w14:textId="77777777" w:rsidR="00C03FB4" w:rsidRPr="00E26D61" w:rsidRDefault="00C03FB4" w:rsidP="00EE2A9C">
      <w:pPr>
        <w:spacing w:line="480" w:lineRule="auto"/>
        <w:rPr>
          <w:u w:val="single"/>
        </w:rPr>
      </w:pPr>
    </w:p>
    <w:p w14:paraId="132C852F" w14:textId="6647A37B" w:rsidR="00EE2A9C" w:rsidRPr="00E26D61" w:rsidRDefault="00A141FB" w:rsidP="00EE2A9C">
      <w:pPr>
        <w:spacing w:line="480" w:lineRule="auto"/>
        <w:rPr>
          <w:i/>
          <w:u w:val="single"/>
        </w:rPr>
      </w:pPr>
      <w:r w:rsidRPr="00E26D61">
        <w:rPr>
          <w:i/>
          <w:u w:val="single"/>
        </w:rPr>
        <w:t>Assessment of i</w:t>
      </w:r>
      <w:r w:rsidR="00EE2A9C" w:rsidRPr="00E26D61">
        <w:rPr>
          <w:i/>
          <w:u w:val="single"/>
        </w:rPr>
        <w:t>mmunohistochemi</w:t>
      </w:r>
      <w:r w:rsidRPr="00E26D61">
        <w:rPr>
          <w:i/>
          <w:u w:val="single"/>
        </w:rPr>
        <w:t>stry</w:t>
      </w:r>
      <w:r w:rsidR="00EE2A9C" w:rsidRPr="00E26D61">
        <w:rPr>
          <w:i/>
          <w:u w:val="single"/>
        </w:rPr>
        <w:t xml:space="preserve"> </w:t>
      </w:r>
      <w:r w:rsidRPr="00E26D61">
        <w:rPr>
          <w:i/>
          <w:u w:val="single"/>
        </w:rPr>
        <w:t>and inter-observer variability</w:t>
      </w:r>
    </w:p>
    <w:p w14:paraId="438BB5B7" w14:textId="6A145A38" w:rsidR="00A26C9F" w:rsidRPr="00E26D61" w:rsidRDefault="00A26C9F" w:rsidP="00A26C9F">
      <w:pPr>
        <w:spacing w:line="480" w:lineRule="auto"/>
        <w:ind w:firstLine="270"/>
        <w:jc w:val="both"/>
      </w:pPr>
      <w:r w:rsidRPr="00E26D61">
        <w:t xml:space="preserve">IHC stained slides were scanned using an </w:t>
      </w:r>
      <w:proofErr w:type="spellStart"/>
      <w:r w:rsidRPr="00E26D61">
        <w:t>Aperio</w:t>
      </w:r>
      <w:proofErr w:type="spellEnd"/>
      <w:r w:rsidRPr="00E26D61">
        <w:t xml:space="preserve"> AT2 Slide Scanner (Leica </w:t>
      </w:r>
      <w:proofErr w:type="spellStart"/>
      <w:r w:rsidRPr="00E26D61">
        <w:t>Biosystems</w:t>
      </w:r>
      <w:proofErr w:type="spellEnd"/>
      <w:r w:rsidRPr="00E26D61">
        <w:t>) and subsequently the digital images were scored by a team of 7 observers, including 5 pathologists; all were blinded of clinical outcome. All 7 observers scored ER, PR, HER2, Ki67, p16 and p53 stains. A random sample of 20 DCIS specimens were scored by all observes to assess the inter-observer agreement. The concordance between the observers was around 97% with an interclass correlation coefficient (ICC) of &gt;0.8 for ER, PR</w:t>
      </w:r>
      <w:r w:rsidR="00A141FB" w:rsidRPr="00E26D61">
        <w:t xml:space="preserve">, HER2, and p53, and an ICC of </w:t>
      </w:r>
      <w:r w:rsidRPr="00E26D61">
        <w:t xml:space="preserve">0.7 for p16. Ki67 was excluded for further scoring because of unreliable staining results. COX-2 stains were scored by two observers (LLV, CB). To assess the inter-observer agreement, a random sample of 20 DCIS specimens were scored by both observes. With this, COX-2 reached a concordance between the two observers of 94% with a </w:t>
      </w:r>
      <w:r w:rsidRPr="00E26D61">
        <w:rPr>
          <w:i/>
        </w:rPr>
        <w:t xml:space="preserve">k </w:t>
      </w:r>
      <w:r w:rsidRPr="00E26D61">
        <w:t xml:space="preserve">statistic of 0.7. Consequently, the remaining ER, PR, HER2, p16, and p53 stains were distributed over all observers, and the remaining COX-2 stains were distributed over two observers (LLV, CB), in which each patient was scored by one observer. </w:t>
      </w:r>
    </w:p>
    <w:p w14:paraId="36F608C1" w14:textId="77777777" w:rsidR="00A141FB" w:rsidRPr="00E26D61" w:rsidRDefault="00A141FB" w:rsidP="00A141FB">
      <w:pPr>
        <w:spacing w:line="480" w:lineRule="auto"/>
        <w:rPr>
          <w:i/>
          <w:u w:val="single"/>
        </w:rPr>
      </w:pPr>
    </w:p>
    <w:p w14:paraId="3AFA7F65" w14:textId="77777777" w:rsidR="00A141FB" w:rsidRPr="00E26D61" w:rsidRDefault="00A141FB" w:rsidP="00A141FB">
      <w:pPr>
        <w:spacing w:line="480" w:lineRule="auto"/>
        <w:rPr>
          <w:i/>
          <w:u w:val="single"/>
        </w:rPr>
      </w:pPr>
      <w:proofErr w:type="spellStart"/>
      <w:r w:rsidRPr="00E26D61">
        <w:rPr>
          <w:i/>
          <w:u w:val="single"/>
        </w:rPr>
        <w:t>Immunohistochemical</w:t>
      </w:r>
      <w:proofErr w:type="spellEnd"/>
      <w:r w:rsidRPr="00E26D61">
        <w:rPr>
          <w:i/>
          <w:u w:val="single"/>
        </w:rPr>
        <w:t xml:space="preserve"> scoring criteria</w:t>
      </w:r>
    </w:p>
    <w:p w14:paraId="2DFE0B48" w14:textId="076EEE4C" w:rsidR="001F41F2" w:rsidRPr="00E26D61" w:rsidRDefault="003F4617" w:rsidP="001F41F2">
      <w:pPr>
        <w:spacing w:line="480" w:lineRule="auto"/>
        <w:ind w:firstLine="270"/>
        <w:jc w:val="both"/>
      </w:pPr>
      <w:r w:rsidRPr="00E26D61">
        <w:t xml:space="preserve">Representative examples of each </w:t>
      </w:r>
      <w:proofErr w:type="spellStart"/>
      <w:r w:rsidR="00357EE6" w:rsidRPr="00E26D61">
        <w:t>immunohistochemical</w:t>
      </w:r>
      <w:proofErr w:type="spellEnd"/>
      <w:r w:rsidRPr="00E26D61">
        <w:t xml:space="preserve"> marker and their corresponding staining categories can be found in Figure M1. </w:t>
      </w:r>
      <w:r w:rsidR="001F41F2" w:rsidRPr="00E26D61">
        <w:t xml:space="preserve">For ER and PR, the percentage of </w:t>
      </w:r>
      <w:r w:rsidR="00357EE6" w:rsidRPr="00E26D61">
        <w:t>luminal epithelial</w:t>
      </w:r>
      <w:r w:rsidR="00F82B5F" w:rsidRPr="00E26D61">
        <w:t xml:space="preserve"> </w:t>
      </w:r>
      <w:r w:rsidR="001F41F2" w:rsidRPr="00E26D61">
        <w:t xml:space="preserve">cells that showed staining of any intensity was assessed, and were considered positive when at least 10% of the cells nuclei showed staining. Similarly, p53 </w:t>
      </w:r>
      <w:r w:rsidR="00BB1D5A" w:rsidRPr="00E26D61">
        <w:t xml:space="preserve">positive </w:t>
      </w:r>
      <w:r w:rsidR="001F41F2" w:rsidRPr="00E26D61">
        <w:t xml:space="preserve">staining was assessed based on the percentage of nuclei that showed moderate to strong staining. p53 protein accumulation was considered when 70% or more nuclei showed moderate to strong staining. </w:t>
      </w:r>
    </w:p>
    <w:p w14:paraId="06038D45" w14:textId="58FB97BF" w:rsidR="001F41F2" w:rsidRPr="00E26D61" w:rsidRDefault="001F41F2" w:rsidP="00C97460">
      <w:pPr>
        <w:spacing w:line="480" w:lineRule="auto"/>
        <w:ind w:firstLine="270"/>
        <w:jc w:val="both"/>
      </w:pPr>
      <w:r w:rsidRPr="00E26D61">
        <w:t xml:space="preserve">HER2 overexpression was analyzed according to the American Society of Clinical Oncology and </w:t>
      </w:r>
      <w:r w:rsidR="00D12C40" w:rsidRPr="00E26D61">
        <w:t>College</w:t>
      </w:r>
      <w:r w:rsidRPr="00E26D61">
        <w:t xml:space="preserve"> of American Pathologists (ASCO-CAP) 2013 recommendations: HER2-positive staining was considered </w:t>
      </w:r>
      <w:r w:rsidR="00BB1D5A" w:rsidRPr="00E26D61">
        <w:t xml:space="preserve">positive </w:t>
      </w:r>
      <w:r w:rsidRPr="00E26D61">
        <w:t>i</w:t>
      </w:r>
      <w:r w:rsidR="00BB1D5A" w:rsidRPr="00E26D61">
        <w:t>f</w:t>
      </w:r>
      <w:r w:rsidRPr="00E26D61">
        <w:t xml:space="preserve"> circumferential membrane staining was complete, intense, and within more than 10% of tumor cells (HER2 3+), or </w:t>
      </w:r>
      <w:r w:rsidR="00BB1D5A" w:rsidRPr="00E26D61">
        <w:t xml:space="preserve">if </w:t>
      </w:r>
      <w:r w:rsidRPr="00E26D61">
        <w:t>circumferential membrane staining was incomplete and/or weak/moderate and within more than 10% of tumor cells</w:t>
      </w:r>
      <w:r w:rsidR="00121A7E" w:rsidRPr="00E26D61">
        <w:t xml:space="preserve"> (HER2 2+)</w:t>
      </w:r>
      <w:r w:rsidR="00B16917" w:rsidRPr="00E26D61">
        <w:t xml:space="preserve"> </w:t>
      </w:r>
      <w:r w:rsidRPr="00E26D61">
        <w:t xml:space="preserve">for which the overexpression </w:t>
      </w:r>
      <w:r w:rsidRPr="00E26D61">
        <w:lastRenderedPageBreak/>
        <w:t>could be confirmed by HER2 SISH.</w:t>
      </w:r>
      <w:r w:rsidR="00357EE6" w:rsidRPr="00E26D61">
        <w:t xml:space="preserve"> </w:t>
      </w:r>
      <w:r w:rsidR="007501F6" w:rsidRPr="00E26D61">
        <w:t>HER2 was considered negative when i</w:t>
      </w:r>
      <w:r w:rsidR="00C97460" w:rsidRPr="00E26D61">
        <w:t xml:space="preserve">ncomplete membrane staining </w:t>
      </w:r>
      <w:r w:rsidR="007501F6" w:rsidRPr="00E26D61">
        <w:t xml:space="preserve">was </w:t>
      </w:r>
      <w:r w:rsidR="00C97460" w:rsidRPr="00E26D61">
        <w:t xml:space="preserve">faint/barely </w:t>
      </w:r>
      <w:r w:rsidR="00D12C40" w:rsidRPr="00E26D61">
        <w:t>visible</w:t>
      </w:r>
      <w:r w:rsidR="00C97460" w:rsidRPr="00E26D61">
        <w:t xml:space="preserve"> and within &gt;10% of the tumor cells</w:t>
      </w:r>
      <w:r w:rsidR="00357EE6" w:rsidRPr="00E26D61">
        <w:t xml:space="preserve"> (HER2 1+) </w:t>
      </w:r>
      <w:r w:rsidR="007501F6" w:rsidRPr="00E26D61">
        <w:t>or when no staining was observed (HER2 0)</w:t>
      </w:r>
      <w:r w:rsidR="00357EE6" w:rsidRPr="00E26D61">
        <w:t>.</w:t>
      </w:r>
      <w:r w:rsidRPr="00E26D61">
        <w:fldChar w:fldCharType="begin" w:fldLock="1"/>
      </w:r>
      <w:r w:rsidRPr="00E26D61">
        <w:instrText>ADDIN CSL_CITATION { "citationItems" : [ { "id" : "ITEM-1", "itemData" : { "DOI" : "10.1200/JCO.2013.50.9984", "ISSN" : "1527-7755", "PMID" : "24101045", "abstract" : "PURPOSE: To update the American Society of Clinical Oncology (ASCO)/College of American Pathologists (CAP) guideline recommendations for human epidermal growth factor receptor 2 (HER2) testing in breast cancer to improve the accuracy of HER2 testing and its utility as a predictive marker in invasive breast cancer.\n\nMETHODS: ASCO/CAP convened an Update Committee that included coauthors of the 2007 guideline to conduct a systematic literature review and update recommendations for optimal HER2 testing.\n\nRESULTS: The Update Committee identified criteria and areas requiring clarification to improve the accuracy of HER2 testing by immunohistochemistry (IHC) or in situ hybridization (ISH). The guideline was reviewed and approved by both organizations.\n\nRECOMMENDATIONS: The Update Committee recommends that HER2 status (HER2 negative or positive) be determined in all patients with invasive (early stage or recurrence) breast cancer on the basis of one or more HER2 test results (negative, equivocal, or positive). Testing criteria define HER2-positive status when (on observing within an area of tumor that amounts to &gt; 10% of contiguous and homogeneous tumor cells) there is evidence of protein overexpression (IHC) or gene amplification (HER2 copy number or HER2/CEP17 ratio by ISH based on counting at least 20 cells within the area). If results are equivocal (revised criteria), reflex testing should be performed using an alternative assay (IHC or ISH). Repeat testing should be considered if results seem discordant with other histopathologic findings. Laboratories should demonstrate high concordance with a validated HER2 test on a sufficiently large and representative set of specimens. Testing must be performed in a laboratory accredited by CAP or another accrediting entity. The Update Committee urges providers and health systems to cooperate to ensure the highest quality testing. This guideline was developed through a collaboration between the American Society of Clinical Oncology and the College of American Pathologists and has been published jointly by invitation and consent in both Journal of Clinical Oncology and the Archives of Pathology &amp; Laboratory Medicine.", "author" : [ { "dropping-particle" : "", "family" : "Wolff", "given" : "Antonio C", "non-dropping-particle" : "", "parse-names" : false, "suffix" : "" }, { "dropping-particle" : "", "family" : "Hammond", "given" : "M Elizabeth H", "non-dropping-particle" : "", "parse-names" : false, "suffix" : "" }, { "dropping-particle" : "", "family" : "Hicks", "given" : "David G", "non-dropping-particle" : "", "parse-names" : false, "suffix" : "" }, { "dropping-particle" : "", "family" : "Dowsett", "given" : "Mitch", "non-dropping-particle" : "", "parse-names" : false, "suffix" : "" }, { "dropping-particle" : "", "family" : "McShane", "given" : "Lisa M", "non-dropping-particle" : "", "parse-names" : false, "suffix" : "" }, { "dropping-particle" : "", "family" : "Allison", "given" : "Kimberly H", "non-dropping-particle" : "", "parse-names" : false, "suffix" : "" }, { "dropping-particle" : "", "family" : "Allred", "given" : "Donald C", "non-dropping-particle" : "", "parse-names" : false, "suffix" : "" }, { "dropping-particle" : "", "family" : "Bartlett", "given" : "John M S", "non-dropping-particle" : "", "parse-names" : false, "suffix" : "" }, { "dropping-particle" : "", "family" : "Bilous", "given" : "Michael", "non-dropping-particle" : "", "parse-names" : false, "suffix" : "" }, { "dropping-particle" : "", "family" : "Fitzgibbons", "given" : "Patrick", "non-dropping-particle" : "", "parse-names" : false, "suffix" : "" }, { "dropping-particle" : "", "family" : "Hanna", "given" : "Wedad", "non-dropping-particle" : "", "parse-names" : false, "suffix" : "" }, { "dropping-particle" : "", "family" : "Jenkins", "given" : "Robert B", "non-dropping-particle" : "", "parse-names" : false, "suffix" : "" }, { "dropping-particle" : "", "family" : "Mangu", "given" : "Pamela B", "non-dropping-particle" : "", "parse-names" : false, "suffix" : "" }, { "dropping-particle" : "", "family" : "Paik", "given" : "Soonmyung", "non-dropping-particle" : "", "parse-names" : false, "suffix" : "" }, { "dropping-particle" : "", "family" : "Perez", "given" : "Edith a", "non-dropping-particle" : "", "parse-names" : false, "suffix" : "" }, { "dropping-particle" : "", "family" : "Press", "given" : "Michael F", "non-dropping-particle" : "", "parse-names" : false, "suffix" : "" }, { "dropping-particle" : "", "family" : "Spears", "given" : "Patricia a", "non-dropping-particle" : "", "parse-names" : false, "suffix" : "" }, { "dropping-particle" : "", "family" : "Vance", "given" : "Gail H", "non-dropping-particle" : "", "parse-names" : false, "suffix" : "" }, { "dropping-particle" : "", "family" : "Viale", "given" : "Giuseppe", "non-dropping-particle" : "", "parse-names" : false, "suffix" : "" }, { "dropping-particle" : "", "family" : "Hayes", "given" : "Daniel F", "non-dropping-particle" : "", "parse-names" : false, "suffix" : "" } ], "container-title" : "Journal of clinical oncology : official journal of the American Society of Clinical Oncology", "id" : "ITEM-1", "issue" : "31", "issued" : { "date-parts" : [ [ "2013", "11", "1" ] ] }, "page" : "3997-4013", "title" : "Recommendations for human epidermal growth factor receptor 2 testing in breast cancer: American Society of Clinical Oncology/College of American Pathologists clinical practice guideline update.", "type" : "article-journal", "volume" : "31" }, "uris" : [ "http://www.mendeley.com/documents/?uuid=2c07ac40-f7ee-443e-98aa-84625bce6ffe" ] } ], "mendeley" : { "formattedCitation" : "&lt;sup&gt;13&lt;/sup&gt;", "plainTextFormattedCitation" : "13", "previouslyFormattedCitation" : "&lt;sup&gt;13&lt;/sup&gt;" }, "properties" : { "noteIndex" : 0 }, "schema" : "https://github.com/citation-style-language/schema/raw/master/csl-citation.json" }</w:instrText>
      </w:r>
      <w:r w:rsidRPr="00E26D61">
        <w:fldChar w:fldCharType="separate"/>
      </w:r>
      <w:r w:rsidRPr="00E26D61">
        <w:rPr>
          <w:noProof/>
          <w:vertAlign w:val="superscript"/>
        </w:rPr>
        <w:t>13</w:t>
      </w:r>
      <w:r w:rsidRPr="00E26D61">
        <w:fldChar w:fldCharType="end"/>
      </w:r>
    </w:p>
    <w:p w14:paraId="514F47D0" w14:textId="0A348997" w:rsidR="001F41F2" w:rsidRPr="00E26D61" w:rsidRDefault="00357EE6" w:rsidP="001F41F2">
      <w:pPr>
        <w:spacing w:line="480" w:lineRule="auto"/>
        <w:ind w:firstLine="270"/>
        <w:jc w:val="both"/>
      </w:pPr>
      <w:r w:rsidRPr="00E26D61">
        <w:t>For the assessment of</w:t>
      </w:r>
      <w:r w:rsidR="001F41F2" w:rsidRPr="00E26D61">
        <w:t xml:space="preserve"> p16</w:t>
      </w:r>
      <w:r w:rsidRPr="00E26D61">
        <w:t xml:space="preserve"> a semi-quantitative approach was used in which H-scores</w:t>
      </w:r>
      <w:r w:rsidR="001F41F2" w:rsidRPr="00E26D61">
        <w:t xml:space="preserve"> were generated by multiplying the staining intensity (0 = no staining, 1 = weak, 2 = moderate, 3 = intense) by the percentage of positive cells (0-100%). H-scores below or equal to 100 were categorized as score 1, H-scores between 101-200 were categorized as score 2, H-scores between 201-300 were categorized as score 3. Score 1 was considered low p16 expression and score 2 and 3 were considered high p16 expression.</w:t>
      </w:r>
    </w:p>
    <w:p w14:paraId="6982D5CB" w14:textId="2CAE8327" w:rsidR="00A94424" w:rsidRDefault="001F41F2" w:rsidP="003F4617">
      <w:pPr>
        <w:spacing w:line="480" w:lineRule="auto"/>
        <w:ind w:firstLine="270"/>
        <w:jc w:val="both"/>
      </w:pPr>
      <w:r w:rsidRPr="00E26D61">
        <w:t xml:space="preserve">COX-2 expression was evaluated according to the following criteria (adapted from </w:t>
      </w:r>
      <w:proofErr w:type="spellStart"/>
      <w:r w:rsidRPr="00E26D61">
        <w:t>Ristimäki</w:t>
      </w:r>
      <w:proofErr w:type="spellEnd"/>
      <w:r w:rsidRPr="00E26D61">
        <w:t xml:space="preserve"> et al.</w:t>
      </w:r>
      <w:r w:rsidRPr="00E26D61">
        <w:fldChar w:fldCharType="begin" w:fldLock="1"/>
      </w:r>
      <w:r w:rsidRPr="00E26D61">
        <w:instrText>ADDIN CSL_CITATION { "citationItems" : [ { "id" : "ITEM-1", "itemData" : { "ISSN" : "0008-5472", "PMID" : "11830510", "abstract" : "Cyclooxygenase-2 (Cox-2) expression can induce mammary tumorigenesis in transgenic mice, and selective Cox-2 inhibitors are both chemopreventive and chemotherapeutic in rat models of breast cancer. We analyzed the expression of Cox-2 protein by immunohistochemistry in tissue array specimens of 1576 invasive breast cancers. Moderate to strong (elevated) expression of Cox-2 protein was observed in 37.4% of the tumors, and it was associated with unfavorable distant disease-free survival (P &lt; 0.0001). Elevated Cox-2 expression was associated with a large tumor size, a high histological grade, a negative hormone receptor status, a high proliferation rate (identified by Ki-67), high p53 expression, and the presence of HER-2 oncogene amplification (P &lt; 0.0001 for all comparisons), along with axillary node metastases and a ductal type of histology (P = 0.0001 and P = 0.0017, respectively). Interestingly, association with the unfavorable outcome was especially apparent in the subgroups defined by estrogen receptor positivity, low p53 expression, and no HER-2 amplification (P &lt; 0.0001 for all comparisons). These results indicate that elevated Cox-2 expression is more common in breast cancers with poor prognostic characteristics and is associated with an unfavorable outcome. The present findings support efforts to initiate clinical trials on the efficacy of Cox-2 inhibitors in adjuvant treatment of breast cancer.", "author" : [ { "dropping-particle" : "", "family" : "Ristim\u00e4ki", "given" : "Ari", "non-dropping-particle" : "", "parse-names" : false, "suffix" : "" }, { "dropping-particle" : "", "family" : "Sivula", "given" : "Anna", "non-dropping-particle" : "", "parse-names" : false, "suffix" : "" }, { "dropping-particle" : "", "family" : "Lundin", "given" : "Johan", "non-dropping-particle" : "", "parse-names" : false, "suffix" : "" }, { "dropping-particle" : "", "family" : "Lundin", "given" : "Mikael", "non-dropping-particle" : "", "parse-names" : false, "suffix" : "" }, { "dropping-particle" : "", "family" : "Salminen", "given" : "Tiina", "non-dropping-particle" : "", "parse-names" : false, "suffix" : "" }, { "dropping-particle" : "", "family" : "Haglund", "given" : "Caj", "non-dropping-particle" : "", "parse-names" : false, "suffix" : "" }, { "dropping-particle" : "", "family" : "Joensuu", "given" : "Heikki", "non-dropping-particle" : "", "parse-names" : false, "suffix" : "" }, { "dropping-particle" : "", "family" : "Isola", "given" : "Jorma", "non-dropping-particle" : "", "parse-names" : false, "suffix" : "" } ], "container-title" : "Cancer research", "id" : "ITEM-1", "issue" : "3", "issued" : { "date-parts" : [ [ "2002", "2", "1" ] ] }, "note" : "The mechanism by which COX-2 is up-regulated in breast cancer is unknown, but one possibility is that cancer cells become intrinsically more active in expressing COX-2 than do the non-neoplastic cells. To this end, both inactivation of tumor suppressor genes, such as p53, and activation of oncogenes, such as HER2, have been implicated in induction of COX-2 expression.\n\nElevated COX-2 expression was significantly more common in tumors with high expression of p53 or with amplification of HER2. However, because elevated COX-2 expression was not restricted to p53- and HER2-positive tumors, several other factors (such as Src, and Wnt- or EGFR-pathway) are likely to be responsible for elevated COX-2 expression as well.\n\nMain finding was that elevated COX-2 expression are associated with decreased survival in patients with BC.\n\nInterestingly, the prognostic value of COX-2 expression tends to be more marked in certain subgroups of patients, e.g. In cancers with ER positivity, a normal level of p53 expression, and no amplification of the HER2 oncogene. This may indicate that the procarcinogenic effect of COX-2 is not evenly distributed in breast cancer.", "page" : "632-5", "title" : "Prognostic significance of elevated cyclooxygenase-2 expression in breast cancer.", "type" : "article-journal", "volume" : "62" }, "uris" : [ "http://www.mendeley.com/documents/?uuid=318e61cb-c29e-422b-90b3-b441a11db725" ] } ], "mendeley" : { "formattedCitation" : "&lt;sup&gt;14&lt;/sup&gt;", "plainTextFormattedCitation" : "14", "previouslyFormattedCitation" : "&lt;sup&gt;14&lt;/sup&gt;" }, "properties" : { "noteIndex" : 0 }, "schema" : "https://github.com/citation-style-language/schema/raw/master/csl-citation.json" }</w:instrText>
      </w:r>
      <w:r w:rsidRPr="00E26D61">
        <w:fldChar w:fldCharType="separate"/>
      </w:r>
      <w:r w:rsidRPr="00E26D61">
        <w:rPr>
          <w:noProof/>
          <w:vertAlign w:val="superscript"/>
        </w:rPr>
        <w:t>14</w:t>
      </w:r>
      <w:r w:rsidRPr="00E26D61">
        <w:fldChar w:fldCharType="end"/>
      </w:r>
      <w:r w:rsidR="00F63905" w:rsidRPr="00E26D61">
        <w:t>): 1 =</w:t>
      </w:r>
      <w:r w:rsidRPr="00E26D61">
        <w:t xml:space="preserve"> weak diffuse cytoplasmic staining that may contain moderate to strong granular cytoplasmic staining in </w:t>
      </w:r>
      <w:r w:rsidR="00F63905" w:rsidRPr="00E26D61">
        <w:t>less than 10% of tumor cells; 2 =</w:t>
      </w:r>
      <w:r w:rsidRPr="00E26D61">
        <w:t xml:space="preserve"> moderate to strong granular cytoplasmic staining </w:t>
      </w:r>
      <w:r w:rsidR="00F63905" w:rsidRPr="00E26D61">
        <w:t>in 10-90% of the tumor cells; 3 =</w:t>
      </w:r>
      <w:r w:rsidRPr="00E26D61">
        <w:t xml:space="preserve"> moderate to strong granular cytoplasmic staining in over 90% of the tumor cells. Score 2 and 3 are considered high expression of COX-2 and score 1 low COX-2 expression.</w:t>
      </w:r>
    </w:p>
    <w:p w14:paraId="757781B3" w14:textId="7A2304C2" w:rsidR="00A94424" w:rsidRPr="00A94424" w:rsidRDefault="00A94424" w:rsidP="00A94424">
      <w:pPr>
        <w:sectPr w:rsidR="00A94424" w:rsidRPr="00A94424" w:rsidSect="0045703E">
          <w:pgSz w:w="12240" w:h="15840"/>
          <w:pgMar w:top="1418" w:right="1418" w:bottom="1418" w:left="1418" w:header="709" w:footer="709" w:gutter="0"/>
          <w:cols w:space="708"/>
          <w:docGrid w:linePitch="360"/>
        </w:sectPr>
      </w:pPr>
      <w:r>
        <w:br w:type="page"/>
      </w:r>
      <w:bookmarkStart w:id="0" w:name="_GoBack"/>
      <w:bookmarkEnd w:id="0"/>
    </w:p>
    <w:p w14:paraId="609DBC49" w14:textId="04B7946F" w:rsidR="00A94424" w:rsidRDefault="00A94424" w:rsidP="00A94424">
      <w:pPr>
        <w:rPr>
          <w:b/>
          <w:noProof/>
          <w:sz w:val="28"/>
          <w:szCs w:val="28"/>
        </w:rPr>
      </w:pPr>
      <w:r>
        <w:rPr>
          <w:b/>
          <w:noProof/>
          <w:sz w:val="28"/>
          <w:szCs w:val="28"/>
        </w:rPr>
        <w:lastRenderedPageBreak/>
        <w:t>F</w:t>
      </w:r>
      <w:r>
        <w:rPr>
          <w:b/>
          <w:noProof/>
          <w:sz w:val="28"/>
          <w:szCs w:val="28"/>
        </w:rPr>
        <w:t xml:space="preserve">igure M1. </w:t>
      </w:r>
      <w:r w:rsidRPr="00F63905">
        <w:rPr>
          <w:noProof/>
          <w:sz w:val="28"/>
          <w:szCs w:val="28"/>
        </w:rPr>
        <w:t xml:space="preserve">Representative examples </w:t>
      </w:r>
      <w:r>
        <w:rPr>
          <w:noProof/>
          <w:sz w:val="28"/>
          <w:szCs w:val="28"/>
        </w:rPr>
        <w:t>the</w:t>
      </w:r>
      <w:r w:rsidRPr="00F63905">
        <w:rPr>
          <w:noProof/>
          <w:sz w:val="28"/>
          <w:szCs w:val="28"/>
        </w:rPr>
        <w:t xml:space="preserve"> immunohistochemical marker</w:t>
      </w:r>
      <w:r>
        <w:rPr>
          <w:noProof/>
          <w:sz w:val="28"/>
          <w:szCs w:val="28"/>
        </w:rPr>
        <w:t>s</w:t>
      </w:r>
      <w:r w:rsidRPr="00F63905">
        <w:rPr>
          <w:noProof/>
          <w:sz w:val="28"/>
          <w:szCs w:val="28"/>
        </w:rPr>
        <w:t xml:space="preserve"> and their corresponding staining categories</w:t>
      </w:r>
    </w:p>
    <w:p w14:paraId="1E4D196F" w14:textId="77777777" w:rsidR="00A94424" w:rsidRDefault="00A94424" w:rsidP="00A94424">
      <w:pPr>
        <w:rPr>
          <w:b/>
          <w:noProof/>
          <w:sz w:val="28"/>
          <w:szCs w:val="28"/>
        </w:rPr>
      </w:pPr>
    </w:p>
    <w:p w14:paraId="0ED573CB" w14:textId="77777777" w:rsidR="00A94424" w:rsidRDefault="00A94424" w:rsidP="00A94424">
      <w:pPr>
        <w:rPr>
          <w:b/>
          <w:noProof/>
          <w:sz w:val="28"/>
          <w:szCs w:val="28"/>
        </w:rPr>
      </w:pPr>
    </w:p>
    <w:p w14:paraId="2DC7FCA0" w14:textId="77777777" w:rsidR="00A94424" w:rsidRDefault="00A94424" w:rsidP="00A94424">
      <w:pPr>
        <w:rPr>
          <w:b/>
          <w:noProof/>
          <w:sz w:val="28"/>
          <w:szCs w:val="28"/>
        </w:rPr>
      </w:pPr>
    </w:p>
    <w:p w14:paraId="6C3363B5" w14:textId="77777777" w:rsidR="00A94424" w:rsidRDefault="00A94424" w:rsidP="00A94424">
      <w:pPr>
        <w:rPr>
          <w:b/>
          <w:noProof/>
          <w:sz w:val="28"/>
          <w:szCs w:val="28"/>
        </w:rPr>
      </w:pPr>
    </w:p>
    <w:p w14:paraId="0A8511F1" w14:textId="77777777" w:rsidR="00A94424" w:rsidRDefault="00A94424" w:rsidP="00A94424">
      <w:pPr>
        <w:rPr>
          <w:b/>
          <w:noProof/>
          <w:sz w:val="28"/>
          <w:szCs w:val="28"/>
        </w:rPr>
      </w:pPr>
      <w:r w:rsidRPr="00D57F55">
        <w:rPr>
          <w:b/>
          <w:noProof/>
          <w:sz w:val="28"/>
          <w:szCs w:val="28"/>
        </w:rPr>
        <w:t>ER</w:t>
      </w:r>
    </w:p>
    <w:p w14:paraId="2E0DEF58" w14:textId="77777777" w:rsidR="00A94424" w:rsidRDefault="00A94424" w:rsidP="00A94424">
      <w:r>
        <w:rPr>
          <w:noProof/>
        </w:rPr>
        <w:drawing>
          <wp:inline distT="0" distB="0" distL="0" distR="0" wp14:anchorId="0E142E1E" wp14:editId="3739E2E8">
            <wp:extent cx="3808800" cy="2185200"/>
            <wp:effectExtent l="0" t="0" r="1270" b="5715"/>
            <wp:docPr id="5" name="Picture 5" descr="http://172.17.17.40/dsb/snapshots/snapshot2015-11-02-13-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72.17.17.40/dsb/snapshots/snapshot2015-11-02-13-19-04.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3808800" cy="2185200"/>
                    </a:xfrm>
                    <a:prstGeom prst="rect">
                      <a:avLst/>
                    </a:prstGeom>
                    <a:noFill/>
                    <a:ln>
                      <a:noFill/>
                    </a:ln>
                  </pic:spPr>
                </pic:pic>
              </a:graphicData>
            </a:graphic>
          </wp:inline>
        </w:drawing>
      </w:r>
      <w:r>
        <w:rPr>
          <w:noProof/>
        </w:rPr>
        <w:t xml:space="preserve">           </w:t>
      </w:r>
      <w:r>
        <w:rPr>
          <w:noProof/>
        </w:rPr>
        <w:drawing>
          <wp:inline distT="0" distB="0" distL="0" distR="0" wp14:anchorId="42C2A5FD" wp14:editId="4066AE3B">
            <wp:extent cx="3812400" cy="2188800"/>
            <wp:effectExtent l="0" t="0" r="0" b="2540"/>
            <wp:docPr id="4" name="Picture 4" descr="http://172.17.17.40/dsb/snapshots/snapshot2015-11-02-13-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72.17.17.40/dsb/snapshots/snapshot2015-11-02-13-17-30.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p>
    <w:p w14:paraId="67A3BD90" w14:textId="77777777" w:rsidR="00A94424" w:rsidRDefault="00A94424" w:rsidP="00A94424">
      <w:pPr>
        <w:tabs>
          <w:tab w:val="left" w:pos="5385"/>
        </w:tabs>
      </w:pPr>
      <w:r>
        <w:t>Negative                                                                                             Positive</w:t>
      </w:r>
    </w:p>
    <w:p w14:paraId="0FAC18CE" w14:textId="77777777" w:rsidR="00A94424" w:rsidRDefault="00A94424" w:rsidP="00A94424">
      <w:pPr>
        <w:tabs>
          <w:tab w:val="left" w:pos="5385"/>
        </w:tabs>
        <w:rPr>
          <w:b/>
          <w:sz w:val="28"/>
          <w:szCs w:val="28"/>
        </w:rPr>
      </w:pPr>
    </w:p>
    <w:p w14:paraId="584041FE" w14:textId="77777777" w:rsidR="00A94424" w:rsidRDefault="00A94424" w:rsidP="00A94424">
      <w:pPr>
        <w:rPr>
          <w:b/>
          <w:sz w:val="28"/>
          <w:szCs w:val="28"/>
        </w:rPr>
      </w:pPr>
      <w:r>
        <w:rPr>
          <w:b/>
          <w:sz w:val="28"/>
          <w:szCs w:val="28"/>
        </w:rPr>
        <w:br w:type="page"/>
      </w:r>
    </w:p>
    <w:p w14:paraId="34309F17" w14:textId="77777777" w:rsidR="00A94424" w:rsidRDefault="00A94424" w:rsidP="00A94424">
      <w:pPr>
        <w:tabs>
          <w:tab w:val="left" w:pos="5385"/>
        </w:tabs>
        <w:rPr>
          <w:b/>
          <w:sz w:val="28"/>
          <w:szCs w:val="28"/>
        </w:rPr>
      </w:pPr>
    </w:p>
    <w:p w14:paraId="48540BD3" w14:textId="77777777" w:rsidR="00A94424" w:rsidRDefault="00A94424" w:rsidP="00A94424">
      <w:pPr>
        <w:tabs>
          <w:tab w:val="left" w:pos="5385"/>
        </w:tabs>
        <w:rPr>
          <w:b/>
          <w:sz w:val="28"/>
          <w:szCs w:val="28"/>
        </w:rPr>
      </w:pPr>
    </w:p>
    <w:p w14:paraId="5B5668A7" w14:textId="77777777" w:rsidR="00A94424" w:rsidRDefault="00A94424" w:rsidP="00A94424">
      <w:pPr>
        <w:tabs>
          <w:tab w:val="left" w:pos="5385"/>
        </w:tabs>
        <w:rPr>
          <w:b/>
          <w:sz w:val="28"/>
          <w:szCs w:val="28"/>
        </w:rPr>
      </w:pPr>
    </w:p>
    <w:p w14:paraId="1CF9C80E" w14:textId="77777777" w:rsidR="00A94424" w:rsidRDefault="00A94424" w:rsidP="00A94424">
      <w:pPr>
        <w:tabs>
          <w:tab w:val="left" w:pos="5385"/>
        </w:tabs>
        <w:rPr>
          <w:b/>
          <w:sz w:val="28"/>
          <w:szCs w:val="28"/>
        </w:rPr>
      </w:pPr>
    </w:p>
    <w:p w14:paraId="357C7E74" w14:textId="77777777" w:rsidR="00A94424" w:rsidRDefault="00A94424" w:rsidP="00A94424">
      <w:pPr>
        <w:tabs>
          <w:tab w:val="left" w:pos="5385"/>
        </w:tabs>
        <w:rPr>
          <w:b/>
          <w:sz w:val="28"/>
          <w:szCs w:val="28"/>
        </w:rPr>
      </w:pPr>
      <w:r w:rsidRPr="00D57F55">
        <w:rPr>
          <w:b/>
          <w:sz w:val="28"/>
          <w:szCs w:val="28"/>
        </w:rPr>
        <w:t>PR</w:t>
      </w:r>
    </w:p>
    <w:p w14:paraId="040BF8EB" w14:textId="77777777" w:rsidR="00A94424" w:rsidRDefault="00A94424" w:rsidP="00A94424">
      <w:r>
        <w:rPr>
          <w:noProof/>
        </w:rPr>
        <w:drawing>
          <wp:inline distT="0" distB="0" distL="0" distR="0" wp14:anchorId="3E36E6AC" wp14:editId="5B3C3B23">
            <wp:extent cx="3812400" cy="2188800"/>
            <wp:effectExtent l="0" t="0" r="0" b="2540"/>
            <wp:docPr id="7" name="Picture 7" descr="http://172.17.17.40/dsb/snapshots/snapshot2015-11-02-13-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72.17.17.40/dsb/snapshots/snapshot2015-11-02-13-25-45.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r>
        <w:rPr>
          <w:noProof/>
        </w:rPr>
        <w:t xml:space="preserve">           </w:t>
      </w:r>
      <w:r>
        <w:rPr>
          <w:noProof/>
        </w:rPr>
        <w:drawing>
          <wp:inline distT="0" distB="0" distL="0" distR="0" wp14:anchorId="30B581B6" wp14:editId="3E3DEE58">
            <wp:extent cx="3812400" cy="2188800"/>
            <wp:effectExtent l="0" t="0" r="0" b="2540"/>
            <wp:docPr id="6" name="Picture 6" descr="http://172.17.17.40/dsb/snapshots/snapshot2015-11-02-13-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72.17.17.40/dsb/snapshots/snapshot2015-11-02-13-21-13.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p>
    <w:p w14:paraId="5A58FB81" w14:textId="77777777" w:rsidR="00A94424" w:rsidRDefault="00A94424" w:rsidP="00A94424">
      <w:r>
        <w:t>Negative                                                                                             Positive</w:t>
      </w:r>
    </w:p>
    <w:p w14:paraId="22B55D2E" w14:textId="77777777" w:rsidR="00A94424" w:rsidRDefault="00A94424" w:rsidP="00A94424">
      <w:pPr>
        <w:rPr>
          <w:b/>
          <w:sz w:val="28"/>
          <w:szCs w:val="28"/>
        </w:rPr>
      </w:pPr>
      <w:r>
        <w:rPr>
          <w:b/>
          <w:sz w:val="28"/>
          <w:szCs w:val="28"/>
        </w:rPr>
        <w:br w:type="page"/>
      </w:r>
    </w:p>
    <w:p w14:paraId="22C474F8" w14:textId="77777777" w:rsidR="00A94424" w:rsidRDefault="00A94424" w:rsidP="00A94424">
      <w:pPr>
        <w:rPr>
          <w:b/>
          <w:sz w:val="28"/>
          <w:szCs w:val="28"/>
        </w:rPr>
      </w:pPr>
      <w:r>
        <w:rPr>
          <w:b/>
          <w:sz w:val="28"/>
          <w:szCs w:val="28"/>
        </w:rPr>
        <w:lastRenderedPageBreak/>
        <w:t>H</w:t>
      </w:r>
      <w:r w:rsidRPr="00D57F55">
        <w:rPr>
          <w:b/>
          <w:sz w:val="28"/>
          <w:szCs w:val="28"/>
        </w:rPr>
        <w:t>er2</w:t>
      </w:r>
    </w:p>
    <w:p w14:paraId="65C81DF7" w14:textId="77777777" w:rsidR="00A94424" w:rsidRDefault="00A94424" w:rsidP="00A94424">
      <w:r>
        <w:rPr>
          <w:noProof/>
        </w:rPr>
        <w:drawing>
          <wp:inline distT="0" distB="0" distL="0" distR="0" wp14:anchorId="68ED8DE4" wp14:editId="7C69618E">
            <wp:extent cx="3812400" cy="2188800"/>
            <wp:effectExtent l="0" t="0" r="0" b="2540"/>
            <wp:docPr id="9" name="Picture 9" descr="http://172.17.17.40/dsb/snapshots/snapshot2015-11-02-13-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72.17.17.40/dsb/snapshots/snapshot2015-11-02-13-35-1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r>
        <w:t xml:space="preserve">          </w:t>
      </w:r>
      <w:r>
        <w:rPr>
          <w:noProof/>
        </w:rPr>
        <w:drawing>
          <wp:inline distT="0" distB="0" distL="0" distR="0" wp14:anchorId="71D07CD8" wp14:editId="665258D6">
            <wp:extent cx="3812400" cy="2188800"/>
            <wp:effectExtent l="0" t="0" r="0" b="2540"/>
            <wp:docPr id="11" name="Picture 11" descr="http://172.17.17.40/dsb/snapshots/snapshot2015-11-02-13-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72.17.17.40/dsb/snapshots/snapshot2015-11-02-13-49-17.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p>
    <w:p w14:paraId="49327EB2" w14:textId="77777777" w:rsidR="00A94424" w:rsidRDefault="00A94424" w:rsidP="00A94424">
      <w:r>
        <w:t>No Staining = 0                                                                                  Weak Staining = 1</w:t>
      </w:r>
    </w:p>
    <w:p w14:paraId="31335712" w14:textId="77777777" w:rsidR="00A94424" w:rsidRDefault="00A94424" w:rsidP="00A94424"/>
    <w:p w14:paraId="19A0104E" w14:textId="77777777" w:rsidR="00A94424" w:rsidRDefault="00A94424" w:rsidP="00A94424">
      <w:r>
        <w:rPr>
          <w:noProof/>
        </w:rPr>
        <w:drawing>
          <wp:inline distT="0" distB="0" distL="0" distR="0" wp14:anchorId="0026F904" wp14:editId="722BB7D0">
            <wp:extent cx="3812400" cy="2188800"/>
            <wp:effectExtent l="0" t="0" r="0" b="2540"/>
            <wp:docPr id="10" name="Picture 10" descr="http://172.17.17.40/dsb/snapshots/snapshot2015-11-02-13-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72.17.17.40/dsb/snapshots/snapshot2015-11-02-13-42-07.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r w:rsidRPr="002756F1">
        <w:t xml:space="preserve"> </w:t>
      </w:r>
      <w:r>
        <w:rPr>
          <w:noProof/>
        </w:rPr>
        <w:t xml:space="preserve">         </w:t>
      </w:r>
      <w:r>
        <w:rPr>
          <w:noProof/>
        </w:rPr>
        <w:drawing>
          <wp:inline distT="0" distB="0" distL="0" distR="0" wp14:anchorId="12378A99" wp14:editId="77CCBDCF">
            <wp:extent cx="3812400" cy="2188800"/>
            <wp:effectExtent l="0" t="0" r="0" b="2540"/>
            <wp:docPr id="12" name="Picture 12" descr="http://172.17.17.40/dsb/snapshots/snapshot2015-11-02-13-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72.17.17.40/dsb/snapshots/snapshot2015-11-02-13-55-18.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p>
    <w:p w14:paraId="2C9E2DBE" w14:textId="77777777" w:rsidR="00A94424" w:rsidRDefault="00A94424" w:rsidP="00A94424">
      <w:r>
        <w:t>Moderate/Equivocal = 2</w:t>
      </w:r>
      <w:r w:rsidRPr="002756F1">
        <w:t xml:space="preserve"> </w:t>
      </w:r>
      <w:r>
        <w:t xml:space="preserve">                                                                      Strong Staining = 3</w:t>
      </w:r>
    </w:p>
    <w:p w14:paraId="4B4DAEB6" w14:textId="77777777" w:rsidR="00A94424" w:rsidRDefault="00A94424" w:rsidP="00A94424"/>
    <w:p w14:paraId="7E344A0A" w14:textId="77777777" w:rsidR="00A94424" w:rsidRPr="00475C1E" w:rsidRDefault="00A94424" w:rsidP="00A94424"/>
    <w:p w14:paraId="37095E3D" w14:textId="77777777" w:rsidR="00A94424" w:rsidRDefault="00A94424" w:rsidP="00A94424"/>
    <w:p w14:paraId="7D7126B1" w14:textId="77777777" w:rsidR="00A94424" w:rsidRDefault="00A94424" w:rsidP="00A94424">
      <w:pPr>
        <w:rPr>
          <w:b/>
          <w:sz w:val="28"/>
          <w:szCs w:val="28"/>
        </w:rPr>
      </w:pPr>
      <w:r>
        <w:rPr>
          <w:b/>
          <w:sz w:val="28"/>
          <w:szCs w:val="28"/>
        </w:rPr>
        <w:br w:type="page"/>
      </w:r>
    </w:p>
    <w:p w14:paraId="78E66103" w14:textId="77777777" w:rsidR="00A94424" w:rsidRDefault="00A94424" w:rsidP="00A94424">
      <w:pPr>
        <w:rPr>
          <w:b/>
          <w:sz w:val="28"/>
          <w:szCs w:val="28"/>
        </w:rPr>
      </w:pPr>
      <w:r w:rsidRPr="00B71978">
        <w:rPr>
          <w:b/>
          <w:sz w:val="28"/>
          <w:szCs w:val="28"/>
        </w:rPr>
        <w:lastRenderedPageBreak/>
        <w:t>P16</w:t>
      </w:r>
    </w:p>
    <w:p w14:paraId="3924B4F0" w14:textId="77777777" w:rsidR="00A94424" w:rsidRPr="00B71978" w:rsidRDefault="00A94424" w:rsidP="00A94424">
      <w:pPr>
        <w:rPr>
          <w:b/>
          <w:sz w:val="28"/>
          <w:szCs w:val="28"/>
        </w:rPr>
      </w:pPr>
      <w:r>
        <w:rPr>
          <w:noProof/>
        </w:rPr>
        <w:drawing>
          <wp:inline distT="0" distB="0" distL="0" distR="0" wp14:anchorId="049AB12E" wp14:editId="3D8BD24E">
            <wp:extent cx="3812400" cy="2188800"/>
            <wp:effectExtent l="0" t="0" r="0" b="2540"/>
            <wp:docPr id="1" name="Picture 1" descr="http://172.17.17.40/dsb/snapshots/snapshot2015-11-03-10-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17.17.40/dsb/snapshots/snapshot2015-11-03-10-42-52.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p>
    <w:p w14:paraId="503E36F9" w14:textId="77777777" w:rsidR="00A94424" w:rsidRDefault="00A94424" w:rsidP="00A94424">
      <w:pPr>
        <w:rPr>
          <w:noProof/>
        </w:rPr>
      </w:pPr>
      <w:r>
        <w:t>H-score = 1</w:t>
      </w:r>
    </w:p>
    <w:p w14:paraId="7DCFDBD9" w14:textId="77777777" w:rsidR="00A94424" w:rsidRDefault="00A94424" w:rsidP="00A94424">
      <w:pPr>
        <w:rPr>
          <w:noProof/>
        </w:rPr>
      </w:pPr>
    </w:p>
    <w:p w14:paraId="2A321B87" w14:textId="77777777" w:rsidR="00A94424" w:rsidRDefault="00A94424" w:rsidP="00A94424">
      <w:r>
        <w:rPr>
          <w:noProof/>
        </w:rPr>
        <w:drawing>
          <wp:inline distT="0" distB="0" distL="0" distR="0" wp14:anchorId="380FD4B3" wp14:editId="525FB31D">
            <wp:extent cx="3812400" cy="2188800"/>
            <wp:effectExtent l="0" t="0" r="0" b="2540"/>
            <wp:docPr id="21" name="Picture 21" descr="http://172.17.17.40/dsb/snapshots/snapshot2015-11-02-16-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72.17.17.40/dsb/snapshots/snapshot2015-11-02-16-42-25.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r>
        <w:rPr>
          <w:noProof/>
        </w:rPr>
        <w:t xml:space="preserve">          </w:t>
      </w:r>
      <w:r>
        <w:rPr>
          <w:noProof/>
        </w:rPr>
        <w:drawing>
          <wp:inline distT="0" distB="0" distL="0" distR="0" wp14:anchorId="3C674271" wp14:editId="606CB9E6">
            <wp:extent cx="3812400" cy="2188800"/>
            <wp:effectExtent l="0" t="0" r="0" b="2540"/>
            <wp:docPr id="20" name="Picture 20" descr="http://172.17.17.40/dsb/snapshots/snapshot2015-11-02-16-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72.17.17.40/dsb/snapshots/snapshot2015-11-02-16-35-25.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p>
    <w:p w14:paraId="5F56E215" w14:textId="77777777" w:rsidR="00A94424" w:rsidRDefault="00A94424" w:rsidP="00A94424">
      <w:r>
        <w:t>H-score = 2                                                                                        H-score = 3</w:t>
      </w:r>
    </w:p>
    <w:p w14:paraId="232C29E1" w14:textId="77777777" w:rsidR="00A94424" w:rsidRDefault="00A94424" w:rsidP="00A94424"/>
    <w:p w14:paraId="704F65F1" w14:textId="77777777" w:rsidR="00A94424" w:rsidRDefault="00A94424" w:rsidP="00A94424"/>
    <w:p w14:paraId="3106BA26" w14:textId="77777777" w:rsidR="00A94424" w:rsidRDefault="00A94424" w:rsidP="00A94424"/>
    <w:p w14:paraId="6A201759" w14:textId="77777777" w:rsidR="00A94424" w:rsidRDefault="00A94424" w:rsidP="00A94424">
      <w:pPr>
        <w:rPr>
          <w:b/>
          <w:sz w:val="28"/>
          <w:szCs w:val="28"/>
        </w:rPr>
      </w:pPr>
      <w:r>
        <w:rPr>
          <w:b/>
          <w:sz w:val="28"/>
          <w:szCs w:val="28"/>
        </w:rPr>
        <w:br w:type="page"/>
      </w:r>
    </w:p>
    <w:p w14:paraId="6C2C9F79" w14:textId="77777777" w:rsidR="00A94424" w:rsidRDefault="00A94424" w:rsidP="00A94424">
      <w:pPr>
        <w:rPr>
          <w:b/>
          <w:sz w:val="28"/>
          <w:szCs w:val="28"/>
        </w:rPr>
      </w:pPr>
      <w:r>
        <w:rPr>
          <w:b/>
          <w:sz w:val="28"/>
          <w:szCs w:val="28"/>
        </w:rPr>
        <w:lastRenderedPageBreak/>
        <w:t>P53</w:t>
      </w:r>
    </w:p>
    <w:p w14:paraId="06EEE59D" w14:textId="77777777" w:rsidR="00A94424" w:rsidRDefault="00A94424" w:rsidP="00A94424">
      <w:pPr>
        <w:rPr>
          <w:b/>
          <w:sz w:val="28"/>
          <w:szCs w:val="28"/>
        </w:rPr>
      </w:pPr>
      <w:r>
        <w:rPr>
          <w:noProof/>
        </w:rPr>
        <w:drawing>
          <wp:inline distT="0" distB="0" distL="0" distR="0" wp14:anchorId="46248605" wp14:editId="02364304">
            <wp:extent cx="3812400" cy="2188800"/>
            <wp:effectExtent l="0" t="0" r="0" b="2540"/>
            <wp:docPr id="2" name="Picture 2" descr="http://172.17.17.40/dsb/snapshots/snapshot2015-11-03-10-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72.17.17.40/dsb/snapshots/snapshot2015-11-03-10-59-2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r>
        <w:t xml:space="preserve">          </w:t>
      </w:r>
      <w:r>
        <w:rPr>
          <w:noProof/>
        </w:rPr>
        <w:drawing>
          <wp:inline distT="0" distB="0" distL="0" distR="0" wp14:anchorId="76B591B8" wp14:editId="2EA43290">
            <wp:extent cx="3812400" cy="2188800"/>
            <wp:effectExtent l="0" t="0" r="0" b="2540"/>
            <wp:docPr id="3" name="Picture 3" descr="http://172.17.17.40/dsb/snapshots/snapshot2015-11-03-11-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72.17.17.40/dsb/snapshots/snapshot2015-11-03-11-06-0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p>
    <w:p w14:paraId="15EB66DE" w14:textId="77777777" w:rsidR="00A94424" w:rsidRDefault="00A94424" w:rsidP="00A94424">
      <w:r>
        <w:t>Percentage cells with moderate/strongly stained nuclei; 1-30%</w:t>
      </w:r>
      <w:r w:rsidRPr="005F083B">
        <w:t xml:space="preserve"> </w:t>
      </w:r>
      <w:r>
        <w:t xml:space="preserve">              Percentage cells with moderate/strongly stained nuclei; 30-70%</w:t>
      </w:r>
    </w:p>
    <w:p w14:paraId="02D61A49" w14:textId="77777777" w:rsidR="00A94424" w:rsidRPr="00600D76" w:rsidRDefault="00A94424" w:rsidP="00A94424"/>
    <w:p w14:paraId="6ABB0882" w14:textId="77777777" w:rsidR="00A94424" w:rsidRDefault="00A94424" w:rsidP="00A94424">
      <w:r>
        <w:rPr>
          <w:noProof/>
        </w:rPr>
        <w:drawing>
          <wp:inline distT="0" distB="0" distL="0" distR="0" wp14:anchorId="6C348C4F" wp14:editId="36F7B646">
            <wp:extent cx="3812400" cy="2188800"/>
            <wp:effectExtent l="0" t="0" r="0" b="2540"/>
            <wp:docPr id="8" name="Picture 8" descr="http://172.17.17.40/dsb/snapshots/snapshot2015-11-03-11-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72.17.17.40/dsb/snapshots/snapshot2015-11-03-11-14-45.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812400" cy="2188800"/>
                    </a:xfrm>
                    <a:prstGeom prst="rect">
                      <a:avLst/>
                    </a:prstGeom>
                    <a:noFill/>
                    <a:ln>
                      <a:noFill/>
                    </a:ln>
                  </pic:spPr>
                </pic:pic>
              </a:graphicData>
            </a:graphic>
          </wp:inline>
        </w:drawing>
      </w:r>
    </w:p>
    <w:p w14:paraId="24424097" w14:textId="77777777" w:rsidR="00A94424" w:rsidRDefault="00A94424" w:rsidP="00A94424">
      <w:r>
        <w:t>Percentage cells with moderate/strongly stained nuclei; &gt;70%</w:t>
      </w:r>
    </w:p>
    <w:p w14:paraId="1CB4B7C6" w14:textId="77777777" w:rsidR="00A94424" w:rsidRDefault="00A94424" w:rsidP="00A94424"/>
    <w:p w14:paraId="5BFAF561" w14:textId="77777777" w:rsidR="00A94424" w:rsidRDefault="00A94424" w:rsidP="00A94424"/>
    <w:p w14:paraId="45A46AE5" w14:textId="77777777" w:rsidR="00A94424" w:rsidRDefault="00A94424" w:rsidP="00A94424"/>
    <w:p w14:paraId="4FA5B92B" w14:textId="77777777" w:rsidR="00A94424" w:rsidRDefault="00A94424" w:rsidP="00A94424">
      <w:pPr>
        <w:rPr>
          <w:b/>
          <w:sz w:val="28"/>
          <w:szCs w:val="28"/>
        </w:rPr>
      </w:pPr>
      <w:r>
        <w:rPr>
          <w:b/>
          <w:sz w:val="28"/>
          <w:szCs w:val="28"/>
        </w:rPr>
        <w:br w:type="page"/>
      </w:r>
    </w:p>
    <w:p w14:paraId="23BD88A1" w14:textId="77777777" w:rsidR="00A94424" w:rsidRDefault="00A94424" w:rsidP="00A94424">
      <w:pPr>
        <w:rPr>
          <w:b/>
          <w:sz w:val="28"/>
          <w:szCs w:val="28"/>
        </w:rPr>
      </w:pPr>
      <w:r>
        <w:rPr>
          <w:b/>
          <w:sz w:val="28"/>
          <w:szCs w:val="28"/>
        </w:rPr>
        <w:lastRenderedPageBreak/>
        <w:t>COX-2</w:t>
      </w:r>
    </w:p>
    <w:p w14:paraId="392F5271" w14:textId="77777777" w:rsidR="00A94424" w:rsidRDefault="00A94424" w:rsidP="00A94424">
      <w:pPr>
        <w:rPr>
          <w:b/>
          <w:sz w:val="28"/>
          <w:szCs w:val="28"/>
        </w:rPr>
      </w:pPr>
      <w:r>
        <w:rPr>
          <w:noProof/>
        </w:rPr>
        <w:drawing>
          <wp:anchor distT="0" distB="0" distL="114300" distR="114300" simplePos="0" relativeHeight="251661312" behindDoc="0" locked="0" layoutInCell="1" allowOverlap="1" wp14:anchorId="581873C5" wp14:editId="3D1E2C53">
            <wp:simplePos x="0" y="0"/>
            <wp:positionH relativeFrom="column">
              <wp:posOffset>2781300</wp:posOffset>
            </wp:positionH>
            <wp:positionV relativeFrom="paragraph">
              <wp:posOffset>4445</wp:posOffset>
            </wp:positionV>
            <wp:extent cx="971550" cy="657225"/>
            <wp:effectExtent l="38100" t="38100" r="38100" b="476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971550" cy="65722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974B3C" wp14:editId="4C2E29E4">
            <wp:extent cx="3752850" cy="22923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755279" cy="2293794"/>
                    </a:xfrm>
                    <a:prstGeom prst="rect">
                      <a:avLst/>
                    </a:prstGeom>
                    <a:ln>
                      <a:noFill/>
                    </a:ln>
                    <a:extLst>
                      <a:ext uri="{53640926-AAD7-44D8-BBD7-CCE9431645EC}">
                        <a14:shadowObscured xmlns:a14="http://schemas.microsoft.com/office/drawing/2010/main"/>
                      </a:ext>
                    </a:extLst>
                  </pic:spPr>
                </pic:pic>
              </a:graphicData>
            </a:graphic>
          </wp:inline>
        </w:drawing>
      </w:r>
    </w:p>
    <w:p w14:paraId="677A9D9A" w14:textId="77777777" w:rsidR="00A94424" w:rsidRDefault="00A94424" w:rsidP="00A94424">
      <w:r>
        <w:t>1:</w:t>
      </w:r>
      <w:r w:rsidRPr="000D6E77">
        <w:t xml:space="preserve"> </w:t>
      </w:r>
      <w:r>
        <w:t>W</w:t>
      </w:r>
      <w:r w:rsidRPr="000D6E77">
        <w:t xml:space="preserve">eak diffuse cytoplasmic staining that may contain moderate </w:t>
      </w:r>
    </w:p>
    <w:p w14:paraId="65FD1401" w14:textId="77777777" w:rsidR="00A94424" w:rsidRDefault="00A94424" w:rsidP="00A94424">
      <w:r w:rsidRPr="000D6E77">
        <w:t xml:space="preserve">to strong granular cytoplasmic staining in less than 10% of tumor </w:t>
      </w:r>
    </w:p>
    <w:p w14:paraId="38F55C41" w14:textId="77777777" w:rsidR="00A94424" w:rsidRDefault="00A94424" w:rsidP="00A94424">
      <w:r w:rsidRPr="000D6E77">
        <w:t>cells</w:t>
      </w:r>
    </w:p>
    <w:p w14:paraId="37E1070D" w14:textId="77777777" w:rsidR="00A94424" w:rsidRDefault="00A94424" w:rsidP="00A94424">
      <w:pPr>
        <w:rPr>
          <w:b/>
          <w:sz w:val="28"/>
          <w:szCs w:val="28"/>
        </w:rPr>
      </w:pPr>
    </w:p>
    <w:p w14:paraId="4ED8449B" w14:textId="77777777" w:rsidR="00A94424" w:rsidRDefault="00A94424" w:rsidP="00A94424">
      <w:pPr>
        <w:rPr>
          <w:b/>
          <w:sz w:val="28"/>
          <w:szCs w:val="28"/>
        </w:rPr>
      </w:pPr>
      <w:r>
        <w:rPr>
          <w:noProof/>
        </w:rPr>
        <w:drawing>
          <wp:anchor distT="0" distB="0" distL="114300" distR="114300" simplePos="0" relativeHeight="251659264" behindDoc="0" locked="0" layoutInCell="1" allowOverlap="1" wp14:anchorId="2209FBA7" wp14:editId="7407F7C0">
            <wp:simplePos x="0" y="0"/>
            <wp:positionH relativeFrom="column">
              <wp:posOffset>7113905</wp:posOffset>
            </wp:positionH>
            <wp:positionV relativeFrom="paragraph">
              <wp:posOffset>20955</wp:posOffset>
            </wp:positionV>
            <wp:extent cx="904875" cy="666750"/>
            <wp:effectExtent l="38100" t="38100" r="47625" b="381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904875" cy="6667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0B888E4" wp14:editId="726894AD">
            <wp:simplePos x="0" y="0"/>
            <wp:positionH relativeFrom="column">
              <wp:posOffset>2809875</wp:posOffset>
            </wp:positionH>
            <wp:positionV relativeFrom="paragraph">
              <wp:posOffset>11430</wp:posOffset>
            </wp:positionV>
            <wp:extent cx="942975" cy="676275"/>
            <wp:effectExtent l="38100" t="38100" r="47625" b="476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942975" cy="67627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1CA8CF" wp14:editId="3384DFB2">
            <wp:extent cx="3752850" cy="2179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r="-2"/>
                    <a:stretch/>
                  </pic:blipFill>
                  <pic:spPr bwMode="auto">
                    <a:xfrm>
                      <a:off x="0" y="0"/>
                      <a:ext cx="3765554" cy="2186502"/>
                    </a:xfrm>
                    <a:prstGeom prst="rect">
                      <a:avLst/>
                    </a:prstGeom>
                    <a:ln>
                      <a:noFill/>
                    </a:ln>
                    <a:extLst>
                      <a:ext uri="{53640926-AAD7-44D8-BBD7-CCE9431645EC}">
                        <a14:shadowObscured xmlns:a14="http://schemas.microsoft.com/office/drawing/2010/main"/>
                      </a:ext>
                    </a:extLst>
                  </pic:spPr>
                </pic:pic>
              </a:graphicData>
            </a:graphic>
          </wp:inline>
        </w:drawing>
      </w:r>
      <w:r w:rsidRPr="00FA213B">
        <w:t xml:space="preserve"> </w:t>
      </w:r>
      <w:r>
        <w:rPr>
          <w:noProof/>
        </w:rPr>
        <w:t xml:space="preserve">          </w:t>
      </w:r>
      <w:r>
        <w:rPr>
          <w:noProof/>
        </w:rPr>
        <w:drawing>
          <wp:inline distT="0" distB="0" distL="0" distR="0" wp14:anchorId="0B8688FB" wp14:editId="4341CC71">
            <wp:extent cx="3821347" cy="21717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831273" cy="2177341"/>
                    </a:xfrm>
                    <a:prstGeom prst="rect">
                      <a:avLst/>
                    </a:prstGeom>
                    <a:ln>
                      <a:noFill/>
                    </a:ln>
                    <a:extLst>
                      <a:ext uri="{53640926-AAD7-44D8-BBD7-CCE9431645EC}">
                        <a14:shadowObscured xmlns:a14="http://schemas.microsoft.com/office/drawing/2010/main"/>
                      </a:ext>
                    </a:extLst>
                  </pic:spPr>
                </pic:pic>
              </a:graphicData>
            </a:graphic>
          </wp:inline>
        </w:drawing>
      </w:r>
    </w:p>
    <w:p w14:paraId="59CCC1B4" w14:textId="77777777" w:rsidR="00A94424" w:rsidRDefault="00A94424" w:rsidP="00A94424">
      <w:r w:rsidRPr="000D6E77">
        <w:t>2</w:t>
      </w:r>
      <w:r>
        <w:t>:</w:t>
      </w:r>
      <w:r w:rsidRPr="000D6E77">
        <w:t xml:space="preserve"> </w:t>
      </w:r>
      <w:r>
        <w:t>M</w:t>
      </w:r>
      <w:r w:rsidRPr="000D6E77">
        <w:t xml:space="preserve">oderate to strong granular cytoplasmic staining in 10-90% </w:t>
      </w:r>
      <w:r>
        <w:tab/>
        <w:t xml:space="preserve">  3: Mo</w:t>
      </w:r>
      <w:r w:rsidRPr="000D6E77">
        <w:t>derate to strong granular cytoplasmic staining in over 90%</w:t>
      </w:r>
    </w:p>
    <w:p w14:paraId="1F2FF69A" w14:textId="77777777" w:rsidR="00A94424" w:rsidRPr="001F41F2" w:rsidRDefault="00A94424" w:rsidP="00A94424">
      <w:r>
        <w:t>of the tumor cells</w:t>
      </w:r>
      <w:r>
        <w:tab/>
        <w:t xml:space="preserve">                                                                      </w:t>
      </w:r>
      <w:r w:rsidRPr="000D6E77">
        <w:t>of the tumor cells</w:t>
      </w:r>
    </w:p>
    <w:p w14:paraId="350F72A9" w14:textId="77777777" w:rsidR="003F4617" w:rsidRPr="000D6E77" w:rsidRDefault="003F4617" w:rsidP="003F4617">
      <w:pPr>
        <w:spacing w:line="480" w:lineRule="auto"/>
        <w:ind w:firstLine="270"/>
        <w:jc w:val="both"/>
      </w:pPr>
    </w:p>
    <w:sectPr w:rsidR="003F4617" w:rsidRPr="000D6E77" w:rsidSect="00A94424">
      <w:pgSz w:w="15840" w:h="12240" w:orient="landscape"/>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3866B3" w15:done="0"/>
  <w15:commentEx w15:paraId="60D60403" w15:done="0"/>
  <w15:commentEx w15:paraId="2DC5357F" w15:done="0"/>
  <w15:commentEx w15:paraId="4A09A8C1" w15:done="0"/>
  <w15:commentEx w15:paraId="397E8EFA" w15:done="0"/>
  <w15:commentEx w15:paraId="61182970" w15:done="0"/>
  <w15:commentEx w15:paraId="0C10A4A1" w15:done="0"/>
  <w15:commentEx w15:paraId="32627EAC" w15:done="0"/>
  <w15:commentEx w15:paraId="64AE5222" w15:done="0"/>
  <w15:commentEx w15:paraId="2826C410" w15:done="0"/>
  <w15:commentEx w15:paraId="4AA45CE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janka">
    <w15:presenceInfo w15:providerId="None" w15:userId="Marjan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F2"/>
    <w:rsid w:val="00084F25"/>
    <w:rsid w:val="000A7CA5"/>
    <w:rsid w:val="00121A7E"/>
    <w:rsid w:val="001F41F2"/>
    <w:rsid w:val="001F5C9D"/>
    <w:rsid w:val="0028462B"/>
    <w:rsid w:val="00357EE6"/>
    <w:rsid w:val="003F4617"/>
    <w:rsid w:val="0045507C"/>
    <w:rsid w:val="0045703E"/>
    <w:rsid w:val="004574BA"/>
    <w:rsid w:val="00592890"/>
    <w:rsid w:val="005D5A7C"/>
    <w:rsid w:val="00643D9C"/>
    <w:rsid w:val="007468D3"/>
    <w:rsid w:val="007501F6"/>
    <w:rsid w:val="0083771E"/>
    <w:rsid w:val="008F47FC"/>
    <w:rsid w:val="00A141FB"/>
    <w:rsid w:val="00A26C9F"/>
    <w:rsid w:val="00A50DF1"/>
    <w:rsid w:val="00A94424"/>
    <w:rsid w:val="00B16917"/>
    <w:rsid w:val="00BB1D5A"/>
    <w:rsid w:val="00C03FB4"/>
    <w:rsid w:val="00C512FC"/>
    <w:rsid w:val="00C97460"/>
    <w:rsid w:val="00CE2FAA"/>
    <w:rsid w:val="00D12C40"/>
    <w:rsid w:val="00D373B6"/>
    <w:rsid w:val="00D72D64"/>
    <w:rsid w:val="00DA5288"/>
    <w:rsid w:val="00E02F5A"/>
    <w:rsid w:val="00E26D61"/>
    <w:rsid w:val="00E42496"/>
    <w:rsid w:val="00EA516F"/>
    <w:rsid w:val="00EC0660"/>
    <w:rsid w:val="00EE2A9C"/>
    <w:rsid w:val="00F63905"/>
    <w:rsid w:val="00F82B5F"/>
    <w:rsid w:val="00FD0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1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41F2"/>
    <w:rPr>
      <w:sz w:val="16"/>
      <w:szCs w:val="16"/>
    </w:rPr>
  </w:style>
  <w:style w:type="paragraph" w:styleId="CommentText">
    <w:name w:val="annotation text"/>
    <w:basedOn w:val="Normal"/>
    <w:link w:val="CommentTextChar"/>
    <w:uiPriority w:val="99"/>
    <w:unhideWhenUsed/>
    <w:rsid w:val="001F41F2"/>
    <w:pPr>
      <w:spacing w:line="240" w:lineRule="auto"/>
    </w:pPr>
    <w:rPr>
      <w:rFonts w:cs="Calibri"/>
      <w:color w:val="000000"/>
      <w:sz w:val="20"/>
      <w:szCs w:val="20"/>
    </w:rPr>
  </w:style>
  <w:style w:type="character" w:customStyle="1" w:styleId="CommentTextChar">
    <w:name w:val="Comment Text Char"/>
    <w:basedOn w:val="DefaultParagraphFont"/>
    <w:link w:val="CommentText"/>
    <w:uiPriority w:val="99"/>
    <w:rsid w:val="001F41F2"/>
    <w:rPr>
      <w:rFonts w:cs="Calibri"/>
      <w:color w:val="000000"/>
      <w:sz w:val="20"/>
      <w:szCs w:val="20"/>
    </w:rPr>
  </w:style>
  <w:style w:type="paragraph" w:styleId="BalloonText">
    <w:name w:val="Balloon Text"/>
    <w:basedOn w:val="Normal"/>
    <w:link w:val="BalloonTextChar"/>
    <w:uiPriority w:val="99"/>
    <w:semiHidden/>
    <w:unhideWhenUsed/>
    <w:rsid w:val="001F41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1F2"/>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643D9C"/>
    <w:rPr>
      <w:rFonts w:cstheme="minorBidi"/>
      <w:b/>
      <w:bCs/>
      <w:color w:val="auto"/>
    </w:rPr>
  </w:style>
  <w:style w:type="character" w:customStyle="1" w:styleId="CommentSubjectChar">
    <w:name w:val="Comment Subject Char"/>
    <w:basedOn w:val="CommentTextChar"/>
    <w:link w:val="CommentSubject"/>
    <w:uiPriority w:val="99"/>
    <w:semiHidden/>
    <w:rsid w:val="00643D9C"/>
    <w:rPr>
      <w:rFonts w:cs="Calibri"/>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41F2"/>
    <w:rPr>
      <w:sz w:val="16"/>
      <w:szCs w:val="16"/>
    </w:rPr>
  </w:style>
  <w:style w:type="paragraph" w:styleId="CommentText">
    <w:name w:val="annotation text"/>
    <w:basedOn w:val="Normal"/>
    <w:link w:val="CommentTextChar"/>
    <w:uiPriority w:val="99"/>
    <w:unhideWhenUsed/>
    <w:rsid w:val="001F41F2"/>
    <w:pPr>
      <w:spacing w:line="240" w:lineRule="auto"/>
    </w:pPr>
    <w:rPr>
      <w:rFonts w:cs="Calibri"/>
      <w:color w:val="000000"/>
      <w:sz w:val="20"/>
      <w:szCs w:val="20"/>
    </w:rPr>
  </w:style>
  <w:style w:type="character" w:customStyle="1" w:styleId="CommentTextChar">
    <w:name w:val="Comment Text Char"/>
    <w:basedOn w:val="DefaultParagraphFont"/>
    <w:link w:val="CommentText"/>
    <w:uiPriority w:val="99"/>
    <w:rsid w:val="001F41F2"/>
    <w:rPr>
      <w:rFonts w:cs="Calibri"/>
      <w:color w:val="000000"/>
      <w:sz w:val="20"/>
      <w:szCs w:val="20"/>
    </w:rPr>
  </w:style>
  <w:style w:type="paragraph" w:styleId="BalloonText">
    <w:name w:val="Balloon Text"/>
    <w:basedOn w:val="Normal"/>
    <w:link w:val="BalloonTextChar"/>
    <w:uiPriority w:val="99"/>
    <w:semiHidden/>
    <w:unhideWhenUsed/>
    <w:rsid w:val="001F41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1F2"/>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643D9C"/>
    <w:rPr>
      <w:rFonts w:cstheme="minorBidi"/>
      <w:b/>
      <w:bCs/>
      <w:color w:val="auto"/>
    </w:rPr>
  </w:style>
  <w:style w:type="character" w:customStyle="1" w:styleId="CommentSubjectChar">
    <w:name w:val="Comment Subject Char"/>
    <w:basedOn w:val="CommentTextChar"/>
    <w:link w:val="CommentSubject"/>
    <w:uiPriority w:val="99"/>
    <w:semiHidden/>
    <w:rsid w:val="00643D9C"/>
    <w:rPr>
      <w:rFonts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microsoft.com/office/2011/relationships/people" Target="peop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microsoft.com/office/2011/relationships/commentsExtended" Target="commentsExtended.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2635</Words>
  <Characters>15023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Antoni van Leeuwenhoek</Company>
  <LinksUpToDate>false</LinksUpToDate>
  <CharactersWithSpaces>17623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Lindy Visser</dc:creator>
  <cp:lastModifiedBy>Lindy Visser</cp:lastModifiedBy>
  <cp:revision>4</cp:revision>
  <dcterms:created xsi:type="dcterms:W3CDTF">2017-12-12T10:22:00Z</dcterms:created>
  <dcterms:modified xsi:type="dcterms:W3CDTF">2017-12-12T10:53:00Z</dcterms:modified>
</cp:coreProperties>
</file>