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A378" w14:textId="2456C8DE" w:rsidR="00631365" w:rsidRPr="002A71E5" w:rsidRDefault="00631365" w:rsidP="000A2E7B">
      <w:pPr>
        <w:spacing w:line="276" w:lineRule="auto"/>
        <w:rPr>
          <w:rFonts w:ascii="Arial" w:hAnsi="Arial" w:cs="Arial"/>
          <w:lang w:val="en-US"/>
        </w:rPr>
      </w:pPr>
      <w:r w:rsidRPr="002A71E5">
        <w:rPr>
          <w:rFonts w:ascii="Arial" w:hAnsi="Arial" w:cs="Arial"/>
          <w:b/>
          <w:sz w:val="32"/>
          <w:lang w:val="en-US"/>
        </w:rPr>
        <w:t xml:space="preserve">Table </w:t>
      </w:r>
      <w:r w:rsidR="00A05BAE" w:rsidRPr="002A71E5">
        <w:rPr>
          <w:rFonts w:ascii="Arial" w:hAnsi="Arial" w:cs="Arial"/>
          <w:b/>
          <w:sz w:val="32"/>
          <w:lang w:val="en-US"/>
        </w:rPr>
        <w:t>S</w:t>
      </w:r>
      <w:r w:rsidR="002A3F61">
        <w:rPr>
          <w:rFonts w:ascii="Arial" w:hAnsi="Arial" w:cs="Arial"/>
          <w:b/>
          <w:sz w:val="32"/>
          <w:lang w:val="en-US"/>
        </w:rPr>
        <w:t>3</w:t>
      </w:r>
      <w:bookmarkStart w:id="0" w:name="_GoBack"/>
      <w:bookmarkEnd w:id="0"/>
      <w:r w:rsidRPr="002A71E5">
        <w:rPr>
          <w:rFonts w:ascii="Arial" w:hAnsi="Arial" w:cs="Arial"/>
          <w:b/>
          <w:sz w:val="32"/>
          <w:lang w:val="en-US"/>
        </w:rPr>
        <w:t>:</w:t>
      </w:r>
      <w:r w:rsidRPr="002A71E5">
        <w:rPr>
          <w:rFonts w:ascii="Arial" w:hAnsi="Arial" w:cs="Arial"/>
          <w:sz w:val="32"/>
          <w:lang w:val="en-US"/>
        </w:rPr>
        <w:t xml:space="preserve"> Treatment regimens of the Avatar patient derived xenograft models carrying the VEGFR2 WT and L840F genotypes.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4360"/>
        <w:gridCol w:w="2160"/>
        <w:gridCol w:w="2222"/>
        <w:gridCol w:w="1385"/>
        <w:gridCol w:w="2357"/>
      </w:tblGrid>
      <w:tr w:rsidR="00631365" w:rsidRPr="002A71E5" w14:paraId="5F430B3A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05C4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  <w:t>Treatment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B81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  <w:t>Company (catalog)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2C1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  <w:t>Administration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FB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  <w:t>Dosis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3E8F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  <w:t>Schedule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8F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s-ES"/>
              </w:rPr>
              <w:t>Period</w:t>
            </w:r>
          </w:p>
        </w:tc>
      </w:tr>
      <w:tr w:rsidR="00631365" w:rsidRPr="002A71E5" w14:paraId="00EF12C2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58F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afatinib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19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MedChem Express (HY-10261)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B78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FF8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20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42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E23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53867922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5F3C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axitinib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AEE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Selleckchem (S1005)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E4AF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0D0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37C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9DB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2464DC12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E7E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B20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0C41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Merck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35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intraperitoneal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769E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5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876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2X week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4145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785253E7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683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bevacizumab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D5D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Genentech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B774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intraperitoneal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1D8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50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A1A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2X week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118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4F4B02C0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B20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cabozantinib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4D0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MedChem Express (HY-13016)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D28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6D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C8F6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862A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75BE90DA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595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cabozantinib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2D6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MedChem Express (HY-13016)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DF1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3FE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F03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AD4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62922A2F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33B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crizotinib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7F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Selleckchem (S1068)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79F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245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50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42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C5F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2ECB8B2D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67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MEKi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176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Selleckchem (S1036)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142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CF5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D86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234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50249AD1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F5C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MEKi + Cabozantinib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73D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val="en-US"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val="en-US" w:eastAsia="es-ES"/>
              </w:rPr>
              <w:t>Selleckchem (S1036), MedChem Express (HY-13016)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855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F0F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 mg/kg + 30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58B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032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4B836205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6CC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pazopanib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5E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MedChem Express (HY-10208)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7EF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D92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50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A66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52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6CFEBEE6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8A4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regorafenib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17E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Selleckchem (S1178)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52B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6A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22C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557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2A71E5" w14:paraId="38861CDB" w14:textId="77777777" w:rsidTr="000A2E7B">
        <w:trPr>
          <w:cantSplit/>
          <w:trHeight w:val="510"/>
          <w:jc w:val="center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64A9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sorafenib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878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Selleckchem (S7397)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2D2" w14:textId="77777777" w:rsidR="00631365" w:rsidRPr="002A71E5" w:rsidRDefault="00631365" w:rsidP="000A2E7B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oral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C9D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60 mg/kg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F335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1X daily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FBC" w14:textId="77777777" w:rsidR="00631365" w:rsidRPr="002A71E5" w:rsidRDefault="00631365" w:rsidP="000A2E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ES"/>
              </w:rPr>
              <w:t>3 weeks*</w:t>
            </w:r>
          </w:p>
        </w:tc>
      </w:tr>
      <w:tr w:rsidR="00631365" w:rsidRPr="00042C0F" w14:paraId="40FD1E89" w14:textId="77777777" w:rsidTr="000A2E7B">
        <w:trPr>
          <w:cantSplit/>
          <w:trHeight w:val="510"/>
          <w:jc w:val="center"/>
        </w:trPr>
        <w:tc>
          <w:tcPr>
            <w:tcW w:w="2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C1D3" w14:textId="77777777" w:rsidR="00631365" w:rsidRPr="002A71E5" w:rsidRDefault="00631365" w:rsidP="000A2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2A71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*or until the tumors reach the humane endpoint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689D" w14:textId="77777777" w:rsidR="00631365" w:rsidRPr="002A71E5" w:rsidRDefault="00631365" w:rsidP="000A2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01EA" w14:textId="77777777" w:rsidR="00631365" w:rsidRPr="002A71E5" w:rsidRDefault="00631365" w:rsidP="000A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2E4B" w14:textId="77777777" w:rsidR="00631365" w:rsidRPr="002A71E5" w:rsidRDefault="00631365" w:rsidP="000A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ED9B" w14:textId="77777777" w:rsidR="00631365" w:rsidRPr="002A71E5" w:rsidRDefault="00631365" w:rsidP="000A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</w:tbl>
    <w:p w14:paraId="34A96508" w14:textId="77777777" w:rsidR="00332867" w:rsidRDefault="00332867" w:rsidP="000A2E7B">
      <w:pPr>
        <w:rPr>
          <w:rFonts w:ascii="Arial" w:hAnsi="Arial" w:cs="Arial"/>
          <w:lang w:val="en-US"/>
        </w:rPr>
      </w:pPr>
    </w:p>
    <w:sectPr w:rsidR="00332867" w:rsidSect="000A2E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8408" w14:textId="77777777" w:rsidR="00305E25" w:rsidRDefault="00305E25" w:rsidP="000A2E7B">
      <w:pPr>
        <w:spacing w:after="0" w:line="240" w:lineRule="auto"/>
      </w:pPr>
      <w:r>
        <w:separator/>
      </w:r>
    </w:p>
  </w:endnote>
  <w:endnote w:type="continuationSeparator" w:id="0">
    <w:p w14:paraId="78AEBFDB" w14:textId="77777777" w:rsidR="00305E25" w:rsidRDefault="00305E25" w:rsidP="000A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8A6A" w14:textId="77777777" w:rsidR="00305E25" w:rsidRDefault="00305E25" w:rsidP="000A2E7B">
      <w:pPr>
        <w:spacing w:after="0" w:line="240" w:lineRule="auto"/>
      </w:pPr>
      <w:r>
        <w:separator/>
      </w:r>
    </w:p>
  </w:footnote>
  <w:footnote w:type="continuationSeparator" w:id="0">
    <w:p w14:paraId="707EE5FC" w14:textId="77777777" w:rsidR="00305E25" w:rsidRDefault="00305E25" w:rsidP="000A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5"/>
    <w:rsid w:val="00042C0F"/>
    <w:rsid w:val="000A2E7B"/>
    <w:rsid w:val="002A3F61"/>
    <w:rsid w:val="002A71E5"/>
    <w:rsid w:val="00305E25"/>
    <w:rsid w:val="00332867"/>
    <w:rsid w:val="004B1DD7"/>
    <w:rsid w:val="005B105F"/>
    <w:rsid w:val="005B3F12"/>
    <w:rsid w:val="00631365"/>
    <w:rsid w:val="00746DA0"/>
    <w:rsid w:val="00880194"/>
    <w:rsid w:val="00994B14"/>
    <w:rsid w:val="00A05BAE"/>
    <w:rsid w:val="00A431C1"/>
    <w:rsid w:val="00B76013"/>
    <w:rsid w:val="00EB645C"/>
    <w:rsid w:val="00F17E48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BA5AD"/>
  <w15:chartTrackingRefBased/>
  <w15:docId w15:val="{8B9AE188-8F00-4272-B2CD-4411A526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7B"/>
  </w:style>
  <w:style w:type="paragraph" w:styleId="Footer">
    <w:name w:val="footer"/>
    <w:basedOn w:val="Normal"/>
    <w:link w:val="FooterChar"/>
    <w:uiPriority w:val="99"/>
    <w:unhideWhenUsed/>
    <w:rsid w:val="000A2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7B"/>
  </w:style>
  <w:style w:type="table" w:styleId="TableGrid">
    <w:name w:val="Table Grid"/>
    <w:basedOn w:val="TableNormal"/>
    <w:uiPriority w:val="39"/>
    <w:rsid w:val="004B1D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1CC-513D-AF48-95DF-238996E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Toledo.Rodrigo</dc:creator>
  <cp:keywords/>
  <dc:description/>
  <cp:lastModifiedBy>Rodrigo Toledo</cp:lastModifiedBy>
  <cp:revision>6</cp:revision>
  <dcterms:created xsi:type="dcterms:W3CDTF">2017-06-29T13:59:00Z</dcterms:created>
  <dcterms:modified xsi:type="dcterms:W3CDTF">2018-03-19T13:26:00Z</dcterms:modified>
</cp:coreProperties>
</file>