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4C1C71" w14:textId="77777777" w:rsidR="00062D4A" w:rsidRPr="00AC724E" w:rsidRDefault="00062D4A" w:rsidP="00062D4A">
      <w:pPr>
        <w:spacing w:line="480" w:lineRule="auto"/>
        <w:jc w:val="both"/>
        <w:outlineLvl w:val="0"/>
        <w:rPr>
          <w:rFonts w:ascii="Arial" w:hAnsi="Arial" w:cs="Arial"/>
          <w:b/>
        </w:rPr>
      </w:pPr>
      <w:r w:rsidRPr="00AC724E">
        <w:rPr>
          <w:rFonts w:ascii="Arial" w:hAnsi="Arial" w:cs="Arial"/>
          <w:b/>
        </w:rPr>
        <w:t>ONLINE METHODS</w:t>
      </w:r>
    </w:p>
    <w:p w14:paraId="61EC1748" w14:textId="77777777" w:rsidR="00062D4A" w:rsidRPr="00AC724E" w:rsidRDefault="00062D4A" w:rsidP="00062D4A">
      <w:pPr>
        <w:pStyle w:val="ListParagraph"/>
        <w:numPr>
          <w:ilvl w:val="0"/>
          <w:numId w:val="1"/>
        </w:numPr>
        <w:spacing w:line="480" w:lineRule="auto"/>
        <w:jc w:val="both"/>
        <w:outlineLvl w:val="0"/>
        <w:rPr>
          <w:rFonts w:ascii="Arial" w:hAnsi="Arial" w:cs="Arial"/>
          <w:b/>
        </w:rPr>
      </w:pPr>
      <w:r w:rsidRPr="00AC724E">
        <w:rPr>
          <w:rFonts w:ascii="Arial" w:hAnsi="Arial" w:cs="Arial"/>
          <w:b/>
        </w:rPr>
        <w:t>Study supervision</w:t>
      </w:r>
    </w:p>
    <w:p w14:paraId="3946054A" w14:textId="6DA079C7" w:rsidR="00062D4A" w:rsidRPr="00AC724E" w:rsidRDefault="00062D4A" w:rsidP="00062D4A">
      <w:pPr>
        <w:spacing w:line="480" w:lineRule="auto"/>
        <w:jc w:val="both"/>
        <w:rPr>
          <w:rFonts w:ascii="Arial" w:hAnsi="Arial" w:cs="Arial"/>
        </w:rPr>
      </w:pPr>
      <w:r w:rsidRPr="00AC724E">
        <w:rPr>
          <w:rFonts w:ascii="Arial" w:hAnsi="Arial" w:cs="Arial"/>
        </w:rPr>
        <w:t xml:space="preserve">The study was approved by the institutional Review Boards of Hospital </w:t>
      </w:r>
      <w:proofErr w:type="spellStart"/>
      <w:r w:rsidRPr="00AC724E">
        <w:rPr>
          <w:rFonts w:ascii="Arial" w:hAnsi="Arial" w:cs="Arial"/>
        </w:rPr>
        <w:t>Universitario</w:t>
      </w:r>
      <w:proofErr w:type="spellEnd"/>
      <w:r w:rsidRPr="00AC724E">
        <w:rPr>
          <w:rFonts w:ascii="Arial" w:hAnsi="Arial" w:cs="Arial"/>
        </w:rPr>
        <w:t xml:space="preserve"> HM </w:t>
      </w:r>
      <w:proofErr w:type="spellStart"/>
      <w:r w:rsidRPr="00AC724E">
        <w:rPr>
          <w:rFonts w:ascii="Arial" w:hAnsi="Arial" w:cs="Arial"/>
        </w:rPr>
        <w:t>Sanchinarro</w:t>
      </w:r>
      <w:proofErr w:type="spellEnd"/>
      <w:r w:rsidRPr="00AC724E">
        <w:rPr>
          <w:rFonts w:ascii="Arial" w:hAnsi="Arial" w:cs="Arial"/>
        </w:rPr>
        <w:t xml:space="preserve"> and conducted in agreement with the Declaration of Helsinki and the International Conference on Harmonization of Good Clinical </w:t>
      </w:r>
      <w:r w:rsidRPr="00AC724E">
        <w:rPr>
          <w:rFonts w:ascii="Arial" w:eastAsia="Times New Roman" w:hAnsi="Arial" w:cs="Arial"/>
        </w:rPr>
        <w:t>Practice guidelines. The patient gave written informed consent</w:t>
      </w:r>
      <w:r w:rsidR="00E4644F" w:rsidRPr="00AC724E">
        <w:rPr>
          <w:rFonts w:ascii="Arial" w:eastAsia="Times New Roman" w:hAnsi="Arial" w:cs="Arial"/>
        </w:rPr>
        <w:t xml:space="preserve"> to participate in the study</w:t>
      </w:r>
      <w:r w:rsidRPr="00AC724E">
        <w:rPr>
          <w:rFonts w:ascii="Arial" w:eastAsia="Times New Roman" w:hAnsi="Arial" w:cs="Arial"/>
        </w:rPr>
        <w:t xml:space="preserve">. </w:t>
      </w:r>
      <w:r w:rsidRPr="00AC724E">
        <w:rPr>
          <w:rFonts w:ascii="Arial" w:hAnsi="Arial" w:cs="Arial"/>
        </w:rPr>
        <w:t>Mice used in this research were treated humanely according to the regulations laid down by the Spanish National Cancer Research Centre (CNIO) Bioethics Committee.</w:t>
      </w:r>
    </w:p>
    <w:p w14:paraId="4E45C372" w14:textId="77777777" w:rsidR="00062D4A" w:rsidRPr="00AC724E" w:rsidRDefault="00062D4A" w:rsidP="00062D4A">
      <w:pPr>
        <w:pStyle w:val="ListParagraph"/>
        <w:numPr>
          <w:ilvl w:val="0"/>
          <w:numId w:val="1"/>
        </w:numPr>
        <w:spacing w:line="480" w:lineRule="auto"/>
        <w:jc w:val="both"/>
        <w:outlineLvl w:val="0"/>
        <w:rPr>
          <w:rFonts w:ascii="Arial" w:hAnsi="Arial" w:cs="Arial"/>
          <w:b/>
        </w:rPr>
      </w:pPr>
      <w:r w:rsidRPr="00AC724E">
        <w:rPr>
          <w:rFonts w:ascii="Arial" w:hAnsi="Arial" w:cs="Arial"/>
          <w:b/>
        </w:rPr>
        <w:t>DNA extraction</w:t>
      </w:r>
    </w:p>
    <w:p w14:paraId="6567C4E7" w14:textId="37D38F9C" w:rsidR="00062D4A" w:rsidRPr="00AC724E" w:rsidRDefault="00062D4A" w:rsidP="00062D4A">
      <w:pPr>
        <w:spacing w:line="480" w:lineRule="auto"/>
        <w:jc w:val="both"/>
        <w:rPr>
          <w:rFonts w:ascii="Arial" w:hAnsi="Arial" w:cs="Arial"/>
        </w:rPr>
      </w:pPr>
      <w:r w:rsidRPr="00AC724E">
        <w:rPr>
          <w:rFonts w:ascii="Arial" w:hAnsi="Arial" w:cs="Arial"/>
        </w:rPr>
        <w:t>DNA was extracted from leukocytes (</w:t>
      </w:r>
      <w:proofErr w:type="spellStart"/>
      <w:r w:rsidRPr="00AC724E">
        <w:rPr>
          <w:rFonts w:ascii="Arial" w:hAnsi="Arial" w:cs="Arial"/>
        </w:rPr>
        <w:t>gDNA</w:t>
      </w:r>
      <w:proofErr w:type="spellEnd"/>
      <w:r w:rsidRPr="00AC724E">
        <w:rPr>
          <w:rFonts w:ascii="Arial" w:hAnsi="Arial" w:cs="Arial"/>
        </w:rPr>
        <w:t>), liver metastasis (</w:t>
      </w:r>
      <w:proofErr w:type="spellStart"/>
      <w:r w:rsidRPr="00AC724E">
        <w:rPr>
          <w:rFonts w:ascii="Arial" w:hAnsi="Arial" w:cs="Arial"/>
        </w:rPr>
        <w:t>tDNA</w:t>
      </w:r>
      <w:proofErr w:type="spellEnd"/>
      <w:r w:rsidRPr="00AC724E">
        <w:rPr>
          <w:rFonts w:ascii="Arial" w:hAnsi="Arial" w:cs="Arial"/>
        </w:rPr>
        <w:t>),</w:t>
      </w:r>
      <w:r w:rsidR="00E4644F" w:rsidRPr="00AC724E">
        <w:rPr>
          <w:rFonts w:ascii="Arial" w:hAnsi="Arial" w:cs="Arial"/>
        </w:rPr>
        <w:t xml:space="preserve"> and</w:t>
      </w:r>
      <w:r w:rsidRPr="00AC724E">
        <w:rPr>
          <w:rFonts w:ascii="Arial" w:hAnsi="Arial" w:cs="Arial"/>
        </w:rPr>
        <w:t xml:space="preserve"> basal and on-treatment plasma samples (</w:t>
      </w:r>
      <w:proofErr w:type="spellStart"/>
      <w:r w:rsidRPr="00AC724E">
        <w:rPr>
          <w:rFonts w:ascii="Arial" w:hAnsi="Arial" w:cs="Arial"/>
        </w:rPr>
        <w:t>cfDNA</w:t>
      </w:r>
      <w:proofErr w:type="spellEnd"/>
      <w:r w:rsidRPr="00AC724E">
        <w:rPr>
          <w:rFonts w:ascii="Arial" w:hAnsi="Arial" w:cs="Arial"/>
        </w:rPr>
        <w:t xml:space="preserve">), using commercial kits </w:t>
      </w:r>
      <w:r w:rsidR="00E4644F" w:rsidRPr="00AC724E">
        <w:rPr>
          <w:rFonts w:ascii="Arial" w:hAnsi="Arial" w:cs="Arial"/>
        </w:rPr>
        <w:t xml:space="preserve">according to the </w:t>
      </w:r>
      <w:r w:rsidRPr="00AC724E">
        <w:rPr>
          <w:rFonts w:ascii="Arial" w:hAnsi="Arial" w:cs="Arial"/>
        </w:rPr>
        <w:t>manufacture</w:t>
      </w:r>
      <w:r w:rsidR="007C12CD" w:rsidRPr="00AC724E">
        <w:rPr>
          <w:rFonts w:ascii="Arial" w:hAnsi="Arial" w:cs="Arial"/>
        </w:rPr>
        <w:t>r</w:t>
      </w:r>
      <w:r w:rsidRPr="00AC724E">
        <w:rPr>
          <w:rFonts w:ascii="Arial" w:hAnsi="Arial" w:cs="Arial"/>
        </w:rPr>
        <w:t xml:space="preserve">’s </w:t>
      </w:r>
      <w:r w:rsidR="007C12CD" w:rsidRPr="00AC724E">
        <w:rPr>
          <w:rFonts w:ascii="Arial" w:hAnsi="Arial" w:cs="Arial"/>
        </w:rPr>
        <w:t xml:space="preserve">instructions </w:t>
      </w:r>
      <w:r w:rsidRPr="00AC724E">
        <w:rPr>
          <w:rFonts w:ascii="Arial" w:hAnsi="Arial" w:cs="Arial"/>
        </w:rPr>
        <w:t>(</w:t>
      </w:r>
      <w:proofErr w:type="spellStart"/>
      <w:r w:rsidRPr="00AC724E">
        <w:rPr>
          <w:rFonts w:ascii="Arial" w:hAnsi="Arial" w:cs="Arial"/>
        </w:rPr>
        <w:t>Qiagen</w:t>
      </w:r>
      <w:proofErr w:type="spellEnd"/>
      <w:r w:rsidRPr="00AC724E">
        <w:rPr>
          <w:rFonts w:ascii="Arial" w:hAnsi="Arial" w:cs="Arial"/>
        </w:rPr>
        <w:t xml:space="preserve">, Germany). </w:t>
      </w:r>
      <w:r w:rsidR="00E4644F" w:rsidRPr="00AC724E">
        <w:rPr>
          <w:rFonts w:ascii="Arial" w:hAnsi="Arial" w:cs="Arial"/>
        </w:rPr>
        <w:t xml:space="preserve">The </w:t>
      </w:r>
      <w:r w:rsidRPr="00AC724E">
        <w:rPr>
          <w:rFonts w:ascii="Arial" w:hAnsi="Arial" w:cs="Arial"/>
        </w:rPr>
        <w:t xml:space="preserve">DNA amount was quantified </w:t>
      </w:r>
      <w:r w:rsidR="00E4644F" w:rsidRPr="00AC724E">
        <w:rPr>
          <w:rFonts w:ascii="Arial" w:hAnsi="Arial" w:cs="Arial"/>
        </w:rPr>
        <w:t xml:space="preserve">with a </w:t>
      </w:r>
      <w:r w:rsidRPr="00AC724E">
        <w:rPr>
          <w:rFonts w:ascii="Arial" w:hAnsi="Arial" w:cs="Arial"/>
        </w:rPr>
        <w:t xml:space="preserve">Qubit™ </w:t>
      </w:r>
      <w:proofErr w:type="spellStart"/>
      <w:r w:rsidRPr="00AC724E">
        <w:rPr>
          <w:rFonts w:ascii="Arial" w:hAnsi="Arial" w:cs="Arial"/>
        </w:rPr>
        <w:t>Fluorometer</w:t>
      </w:r>
      <w:proofErr w:type="spellEnd"/>
      <w:r w:rsidRPr="00AC724E">
        <w:rPr>
          <w:rFonts w:ascii="Arial" w:hAnsi="Arial" w:cs="Arial"/>
        </w:rPr>
        <w:t xml:space="preserve"> (</w:t>
      </w:r>
      <w:proofErr w:type="spellStart"/>
      <w:r w:rsidRPr="00AC724E">
        <w:rPr>
          <w:rFonts w:ascii="Arial" w:hAnsi="Arial" w:cs="Arial"/>
        </w:rPr>
        <w:t>Thermofisher</w:t>
      </w:r>
      <w:proofErr w:type="spellEnd"/>
      <w:r w:rsidRPr="00AC724E">
        <w:rPr>
          <w:rFonts w:ascii="Arial" w:hAnsi="Arial" w:cs="Arial"/>
        </w:rPr>
        <w:t xml:space="preserve">, USA) and reported </w:t>
      </w:r>
      <w:r w:rsidR="00E4644F" w:rsidRPr="00AC724E">
        <w:rPr>
          <w:rFonts w:ascii="Arial" w:hAnsi="Arial" w:cs="Arial"/>
        </w:rPr>
        <w:t xml:space="preserve">in </w:t>
      </w:r>
      <w:r w:rsidRPr="00AC724E">
        <w:rPr>
          <w:rFonts w:ascii="Arial" w:hAnsi="Arial" w:cs="Arial"/>
        </w:rPr>
        <w:t xml:space="preserve">ng. </w:t>
      </w:r>
      <w:proofErr w:type="spellStart"/>
      <w:r w:rsidRPr="00AC724E">
        <w:rPr>
          <w:rFonts w:ascii="Arial" w:hAnsi="Arial" w:cs="Arial"/>
        </w:rPr>
        <w:t>cfDNA</w:t>
      </w:r>
      <w:proofErr w:type="spellEnd"/>
      <w:r w:rsidRPr="00AC724E">
        <w:rPr>
          <w:rFonts w:ascii="Arial" w:hAnsi="Arial" w:cs="Arial"/>
        </w:rPr>
        <w:t xml:space="preserve"> samples were also quantified using a modified version of human LINE-1</w:t>
      </w:r>
      <w:r w:rsidR="00CF0A16" w:rsidRPr="00AC724E">
        <w:rPr>
          <w:rFonts w:ascii="Arial" w:hAnsi="Arial" w:cs="Arial"/>
        </w:rPr>
        <w:t>-based</w:t>
      </w:r>
      <w:r w:rsidRPr="00AC724E">
        <w:rPr>
          <w:rFonts w:ascii="Arial" w:hAnsi="Arial" w:cs="Arial"/>
        </w:rPr>
        <w:t xml:space="preserve"> quantitative real</w:t>
      </w:r>
      <w:r w:rsidR="00E4644F" w:rsidRPr="00AC724E">
        <w:rPr>
          <w:rFonts w:ascii="Arial" w:hAnsi="Arial" w:cs="Arial"/>
        </w:rPr>
        <w:t>-</w:t>
      </w:r>
      <w:r w:rsidRPr="00AC724E">
        <w:rPr>
          <w:rFonts w:ascii="Arial" w:hAnsi="Arial" w:cs="Arial"/>
        </w:rPr>
        <w:t xml:space="preserve">time PCR and reported in genome equivalents (GE; GE being one haploid human genome weighing 3.3 </w:t>
      </w:r>
      <w:proofErr w:type="spellStart"/>
      <w:r w:rsidRPr="00AC724E">
        <w:rPr>
          <w:rFonts w:ascii="Arial" w:hAnsi="Arial" w:cs="Arial"/>
        </w:rPr>
        <w:t>pg</w:t>
      </w:r>
      <w:proofErr w:type="spellEnd"/>
      <w:r w:rsidRPr="00AC724E">
        <w:rPr>
          <w:rFonts w:ascii="Arial" w:hAnsi="Arial" w:cs="Arial"/>
        </w:rPr>
        <w:t xml:space="preserve">). </w:t>
      </w:r>
      <w:proofErr w:type="spellStart"/>
      <w:r w:rsidRPr="00AC724E">
        <w:rPr>
          <w:rFonts w:ascii="Arial" w:hAnsi="Arial" w:cs="Arial"/>
        </w:rPr>
        <w:t>gDNA</w:t>
      </w:r>
      <w:proofErr w:type="spellEnd"/>
      <w:r w:rsidRPr="00AC724E">
        <w:rPr>
          <w:rFonts w:ascii="Arial" w:hAnsi="Arial" w:cs="Arial"/>
        </w:rPr>
        <w:t xml:space="preserve"> and </w:t>
      </w:r>
      <w:proofErr w:type="spellStart"/>
      <w:r w:rsidRPr="00AC724E">
        <w:rPr>
          <w:rFonts w:ascii="Arial" w:hAnsi="Arial" w:cs="Arial"/>
        </w:rPr>
        <w:t>tDNA</w:t>
      </w:r>
      <w:proofErr w:type="spellEnd"/>
      <w:r w:rsidRPr="00AC724E">
        <w:rPr>
          <w:rFonts w:ascii="Arial" w:hAnsi="Arial" w:cs="Arial"/>
        </w:rPr>
        <w:t xml:space="preserve"> was sheared to 300</w:t>
      </w:r>
      <w:r w:rsidR="00E4644F" w:rsidRPr="00AC724E">
        <w:rPr>
          <w:rFonts w:ascii="Arial" w:hAnsi="Arial" w:cs="Arial"/>
        </w:rPr>
        <w:t>-bp fragments</w:t>
      </w:r>
      <w:r w:rsidRPr="00AC724E">
        <w:rPr>
          <w:rFonts w:ascii="Arial" w:hAnsi="Arial" w:cs="Arial"/>
        </w:rPr>
        <w:t xml:space="preserve"> on a </w:t>
      </w:r>
      <w:proofErr w:type="spellStart"/>
      <w:r w:rsidRPr="00AC724E">
        <w:rPr>
          <w:rFonts w:ascii="Arial" w:hAnsi="Arial" w:cs="Arial"/>
        </w:rPr>
        <w:t>Covaris</w:t>
      </w:r>
      <w:proofErr w:type="spellEnd"/>
      <w:r w:rsidRPr="00AC724E">
        <w:rPr>
          <w:rFonts w:ascii="Arial" w:hAnsi="Arial" w:cs="Arial"/>
        </w:rPr>
        <w:t xml:space="preserve"> instrument (</w:t>
      </w:r>
      <w:proofErr w:type="spellStart"/>
      <w:r w:rsidRPr="00AC724E">
        <w:rPr>
          <w:rFonts w:ascii="Arial" w:hAnsi="Arial" w:cs="Arial"/>
        </w:rPr>
        <w:t>Covaris</w:t>
      </w:r>
      <w:proofErr w:type="spellEnd"/>
      <w:r w:rsidRPr="00AC724E">
        <w:rPr>
          <w:rFonts w:ascii="Arial" w:hAnsi="Arial" w:cs="Arial"/>
        </w:rPr>
        <w:t xml:space="preserve">, Woburn, MA) according to standard procedures. The 2100 </w:t>
      </w:r>
      <w:proofErr w:type="spellStart"/>
      <w:r w:rsidRPr="00AC724E">
        <w:rPr>
          <w:rFonts w:ascii="Arial" w:hAnsi="Arial" w:cs="Arial"/>
        </w:rPr>
        <w:t>Bioanalyzer</w:t>
      </w:r>
      <w:proofErr w:type="spellEnd"/>
      <w:r w:rsidRPr="00AC724E">
        <w:rPr>
          <w:rFonts w:ascii="Arial" w:hAnsi="Arial" w:cs="Arial"/>
        </w:rPr>
        <w:t xml:space="preserve"> (Agilent, USA) was used to access</w:t>
      </w:r>
      <w:r w:rsidR="00E4644F" w:rsidRPr="00AC724E">
        <w:rPr>
          <w:rFonts w:ascii="Arial" w:hAnsi="Arial" w:cs="Arial"/>
        </w:rPr>
        <w:t xml:space="preserve"> the quality and size of</w:t>
      </w:r>
      <w:r w:rsidR="00CF0A16" w:rsidRPr="00AC724E">
        <w:rPr>
          <w:rFonts w:ascii="Arial" w:hAnsi="Arial" w:cs="Arial"/>
        </w:rPr>
        <w:t xml:space="preserve"> the</w:t>
      </w:r>
      <w:r w:rsidRPr="00AC724E">
        <w:rPr>
          <w:rFonts w:ascii="Arial" w:hAnsi="Arial" w:cs="Arial"/>
        </w:rPr>
        <w:t xml:space="preserve"> pre-processed and post processed sample</w:t>
      </w:r>
      <w:r w:rsidR="00E4644F" w:rsidRPr="00AC724E">
        <w:rPr>
          <w:rFonts w:ascii="Arial" w:hAnsi="Arial" w:cs="Arial"/>
        </w:rPr>
        <w:t>s</w:t>
      </w:r>
      <w:r w:rsidRPr="00AC724E">
        <w:rPr>
          <w:rFonts w:ascii="Arial" w:hAnsi="Arial" w:cs="Arial"/>
        </w:rPr>
        <w:t xml:space="preserve"> and libraries.</w:t>
      </w:r>
    </w:p>
    <w:p w14:paraId="58F9BF9D" w14:textId="77777777" w:rsidR="00062D4A" w:rsidRPr="00AC724E" w:rsidRDefault="00062D4A" w:rsidP="00062D4A">
      <w:pPr>
        <w:pStyle w:val="ListParagraph"/>
        <w:numPr>
          <w:ilvl w:val="0"/>
          <w:numId w:val="1"/>
        </w:numPr>
        <w:spacing w:before="120" w:line="480" w:lineRule="auto"/>
        <w:jc w:val="both"/>
        <w:outlineLvl w:val="0"/>
        <w:rPr>
          <w:rFonts w:ascii="Arial" w:hAnsi="Arial" w:cs="Arial"/>
          <w:b/>
        </w:rPr>
      </w:pPr>
      <w:r w:rsidRPr="00AC724E">
        <w:rPr>
          <w:rFonts w:ascii="Arial" w:hAnsi="Arial" w:cs="Arial"/>
          <w:b/>
        </w:rPr>
        <w:t>Routine genetic analysis</w:t>
      </w:r>
    </w:p>
    <w:p w14:paraId="0038C0E2" w14:textId="47715B21" w:rsidR="00062D4A" w:rsidRPr="00AC724E" w:rsidRDefault="00CF0A16" w:rsidP="00062D4A">
      <w:pPr>
        <w:spacing w:line="480" w:lineRule="auto"/>
        <w:jc w:val="both"/>
        <w:rPr>
          <w:rFonts w:ascii="Arial" w:eastAsia="Times New Roman" w:hAnsi="Arial" w:cs="Arial"/>
        </w:rPr>
      </w:pPr>
      <w:r w:rsidRPr="00AC724E">
        <w:rPr>
          <w:rFonts w:ascii="Arial" w:hAnsi="Arial" w:cs="Arial"/>
        </w:rPr>
        <w:t xml:space="preserve">The </w:t>
      </w:r>
      <w:r w:rsidR="00062D4A" w:rsidRPr="00AC724E">
        <w:rPr>
          <w:rFonts w:ascii="Arial" w:hAnsi="Arial" w:cs="Arial"/>
        </w:rPr>
        <w:t xml:space="preserve">FDA-approved </w:t>
      </w:r>
      <w:proofErr w:type="spellStart"/>
      <w:r w:rsidR="00062D4A" w:rsidRPr="00AC724E">
        <w:rPr>
          <w:rFonts w:ascii="Arial" w:hAnsi="Arial" w:cs="Arial"/>
        </w:rPr>
        <w:t>Cobas</w:t>
      </w:r>
      <w:proofErr w:type="spellEnd"/>
      <w:r w:rsidR="00062D4A" w:rsidRPr="00AC724E">
        <w:rPr>
          <w:rFonts w:ascii="Arial" w:hAnsi="Arial" w:cs="Arial"/>
        </w:rPr>
        <w:t xml:space="preserve"> mutation kit (Roche, Swi</w:t>
      </w:r>
      <w:r w:rsidR="00FC42BC" w:rsidRPr="00AC724E">
        <w:rPr>
          <w:rFonts w:ascii="Arial" w:hAnsi="Arial" w:cs="Arial"/>
        </w:rPr>
        <w:t>tzerland</w:t>
      </w:r>
      <w:r w:rsidR="00062D4A" w:rsidRPr="00AC724E">
        <w:rPr>
          <w:rFonts w:ascii="Arial" w:hAnsi="Arial" w:cs="Arial"/>
        </w:rPr>
        <w:t xml:space="preserve">) was used to </w:t>
      </w:r>
      <w:r w:rsidRPr="00AC724E">
        <w:rPr>
          <w:rFonts w:ascii="Arial" w:hAnsi="Arial" w:cs="Arial"/>
        </w:rPr>
        <w:t>analyze</w:t>
      </w:r>
      <w:r w:rsidR="00062D4A" w:rsidRPr="00AC724E">
        <w:rPr>
          <w:rFonts w:ascii="Arial" w:hAnsi="Arial" w:cs="Arial"/>
        </w:rPr>
        <w:t xml:space="preserve"> the </w:t>
      </w:r>
      <w:r w:rsidR="00062D4A" w:rsidRPr="00AC724E">
        <w:rPr>
          <w:rFonts w:ascii="Arial" w:eastAsia="Times New Roman" w:hAnsi="Arial" w:cs="Arial"/>
        </w:rPr>
        <w:t xml:space="preserve">following mutations in the diagnostic biopsy </w:t>
      </w:r>
      <w:proofErr w:type="spellStart"/>
      <w:r w:rsidR="00062D4A" w:rsidRPr="00AC724E">
        <w:rPr>
          <w:rFonts w:ascii="Arial" w:eastAsia="Times New Roman" w:hAnsi="Arial" w:cs="Arial"/>
        </w:rPr>
        <w:t>tDNA</w:t>
      </w:r>
      <w:proofErr w:type="spellEnd"/>
      <w:r w:rsidR="00062D4A" w:rsidRPr="00AC724E">
        <w:rPr>
          <w:rFonts w:ascii="Arial" w:eastAsia="Times New Roman" w:hAnsi="Arial" w:cs="Arial"/>
        </w:rPr>
        <w:t xml:space="preserve">: </w:t>
      </w:r>
      <w:r w:rsidR="00062D4A" w:rsidRPr="00AC724E">
        <w:rPr>
          <w:rFonts w:ascii="Arial" w:eastAsia="Times New Roman" w:hAnsi="Arial" w:cs="Arial"/>
          <w:i/>
          <w:iCs/>
        </w:rPr>
        <w:t>KRAS</w:t>
      </w:r>
      <w:r w:rsidR="00062D4A" w:rsidRPr="00AC724E">
        <w:rPr>
          <w:rFonts w:ascii="Arial" w:eastAsia="Times New Roman" w:hAnsi="Arial" w:cs="Arial"/>
        </w:rPr>
        <w:t xml:space="preserve"> (G12S/R/C/V/A/D, G13D, Q61H, A146T)</w:t>
      </w:r>
      <w:r w:rsidR="00EB2344" w:rsidRPr="00AC724E">
        <w:rPr>
          <w:rFonts w:ascii="Arial" w:eastAsia="Times New Roman" w:hAnsi="Arial" w:cs="Arial"/>
        </w:rPr>
        <w:t>,</w:t>
      </w:r>
      <w:r w:rsidR="00062D4A" w:rsidRPr="00AC724E">
        <w:rPr>
          <w:rFonts w:ascii="Arial" w:eastAsia="Times New Roman" w:hAnsi="Arial" w:cs="Arial"/>
        </w:rPr>
        <w:t xml:space="preserve"> </w:t>
      </w:r>
      <w:r w:rsidR="00062D4A" w:rsidRPr="00AC724E">
        <w:rPr>
          <w:rFonts w:ascii="Arial" w:eastAsia="Times New Roman" w:hAnsi="Arial" w:cs="Arial"/>
          <w:i/>
          <w:iCs/>
        </w:rPr>
        <w:t>NRAS</w:t>
      </w:r>
      <w:r w:rsidR="00062D4A" w:rsidRPr="00AC724E">
        <w:rPr>
          <w:rFonts w:ascii="Arial" w:eastAsia="Times New Roman" w:hAnsi="Arial" w:cs="Arial"/>
        </w:rPr>
        <w:t xml:space="preserve"> (Q61K/R/L/H)</w:t>
      </w:r>
      <w:r w:rsidR="00EB2344" w:rsidRPr="00AC724E">
        <w:rPr>
          <w:rFonts w:ascii="Arial" w:eastAsia="Times New Roman" w:hAnsi="Arial" w:cs="Arial"/>
        </w:rPr>
        <w:t>,</w:t>
      </w:r>
      <w:r w:rsidR="00062D4A" w:rsidRPr="00AC724E">
        <w:rPr>
          <w:rFonts w:ascii="Arial" w:eastAsia="Times New Roman" w:hAnsi="Arial" w:cs="Arial"/>
        </w:rPr>
        <w:t xml:space="preserve"> </w:t>
      </w:r>
      <w:r w:rsidR="00062D4A" w:rsidRPr="00AC724E">
        <w:rPr>
          <w:rFonts w:ascii="Arial" w:eastAsia="Times New Roman" w:hAnsi="Arial" w:cs="Arial"/>
          <w:i/>
          <w:iCs/>
        </w:rPr>
        <w:t>BRAF</w:t>
      </w:r>
      <w:r w:rsidR="00062D4A" w:rsidRPr="00AC724E">
        <w:rPr>
          <w:rFonts w:ascii="Arial" w:eastAsia="Times New Roman" w:hAnsi="Arial" w:cs="Arial"/>
        </w:rPr>
        <w:t xml:space="preserve"> (V600E)</w:t>
      </w:r>
      <w:r w:rsidR="00EB2344" w:rsidRPr="00AC724E">
        <w:rPr>
          <w:rFonts w:ascii="Arial" w:eastAsia="Times New Roman" w:hAnsi="Arial" w:cs="Arial"/>
        </w:rPr>
        <w:t>,</w:t>
      </w:r>
      <w:r w:rsidR="00062D4A" w:rsidRPr="00AC724E">
        <w:rPr>
          <w:rFonts w:ascii="Arial" w:eastAsia="Times New Roman" w:hAnsi="Arial" w:cs="Arial"/>
        </w:rPr>
        <w:t xml:space="preserve"> and </w:t>
      </w:r>
      <w:r w:rsidR="00062D4A" w:rsidRPr="00AC724E">
        <w:rPr>
          <w:rFonts w:ascii="Arial" w:eastAsia="Times New Roman" w:hAnsi="Arial" w:cs="Arial"/>
          <w:i/>
          <w:iCs/>
        </w:rPr>
        <w:t>PIK3CA</w:t>
      </w:r>
      <w:r w:rsidR="00062D4A" w:rsidRPr="00AC724E">
        <w:rPr>
          <w:rFonts w:ascii="Arial" w:eastAsia="Times New Roman" w:hAnsi="Arial" w:cs="Arial"/>
        </w:rPr>
        <w:t xml:space="preserve"> (E542K, E545K/G, Q546K, M1043I, H1047Y/R/L).</w:t>
      </w:r>
      <w:r w:rsidR="00062D4A" w:rsidRPr="00AC724E">
        <w:rPr>
          <w:rFonts w:ascii="Arial" w:hAnsi="Arial" w:cs="Arial"/>
        </w:rPr>
        <w:t xml:space="preserve"> </w:t>
      </w:r>
      <w:r w:rsidR="00062D4A" w:rsidRPr="00AC724E">
        <w:rPr>
          <w:rFonts w:ascii="Arial" w:eastAsia="Times New Roman" w:hAnsi="Arial" w:cs="Arial"/>
        </w:rPr>
        <w:t xml:space="preserve">The </w:t>
      </w:r>
      <w:r w:rsidRPr="00AC724E">
        <w:rPr>
          <w:rFonts w:ascii="Arial" w:eastAsia="Times New Roman" w:hAnsi="Arial" w:cs="Arial"/>
        </w:rPr>
        <w:t xml:space="preserve">presence of the </w:t>
      </w:r>
      <w:r w:rsidR="00062D4A" w:rsidRPr="00AC724E">
        <w:rPr>
          <w:rFonts w:ascii="Arial" w:eastAsia="Times New Roman" w:hAnsi="Arial" w:cs="Arial"/>
        </w:rPr>
        <w:t>same mutations</w:t>
      </w:r>
      <w:r w:rsidRPr="00AC724E">
        <w:rPr>
          <w:rFonts w:ascii="Arial" w:eastAsia="Times New Roman" w:hAnsi="Arial" w:cs="Arial"/>
        </w:rPr>
        <w:t xml:space="preserve"> in the patient’s basal and on-treatment </w:t>
      </w:r>
      <w:proofErr w:type="spellStart"/>
      <w:r w:rsidRPr="00AC724E">
        <w:rPr>
          <w:rFonts w:ascii="Arial" w:eastAsia="Times New Roman" w:hAnsi="Arial" w:cs="Arial"/>
        </w:rPr>
        <w:t>cfDNA</w:t>
      </w:r>
      <w:proofErr w:type="spellEnd"/>
      <w:r w:rsidRPr="00AC724E">
        <w:rPr>
          <w:rFonts w:ascii="Arial" w:eastAsia="Times New Roman" w:hAnsi="Arial" w:cs="Arial"/>
        </w:rPr>
        <w:t xml:space="preserve"> samples</w:t>
      </w:r>
      <w:r w:rsidR="00062D4A" w:rsidRPr="00AC724E">
        <w:rPr>
          <w:rFonts w:ascii="Arial" w:eastAsia="Times New Roman" w:hAnsi="Arial" w:cs="Arial"/>
        </w:rPr>
        <w:t xml:space="preserve"> </w:t>
      </w:r>
      <w:r w:rsidRPr="00AC724E">
        <w:rPr>
          <w:rFonts w:ascii="Arial" w:eastAsia="Times New Roman" w:hAnsi="Arial" w:cs="Arial"/>
        </w:rPr>
        <w:t xml:space="preserve">was </w:t>
      </w:r>
      <w:r w:rsidR="00062D4A" w:rsidRPr="00AC724E">
        <w:rPr>
          <w:rFonts w:ascii="Arial" w:eastAsia="Times New Roman" w:hAnsi="Arial" w:cs="Arial"/>
        </w:rPr>
        <w:t xml:space="preserve">assessed </w:t>
      </w:r>
      <w:r w:rsidRPr="00AC724E">
        <w:rPr>
          <w:rFonts w:ascii="Arial" w:eastAsia="Times New Roman" w:hAnsi="Arial" w:cs="Arial"/>
        </w:rPr>
        <w:t xml:space="preserve">by </w:t>
      </w:r>
      <w:r w:rsidR="00062D4A" w:rsidRPr="00AC724E">
        <w:rPr>
          <w:rFonts w:ascii="Arial" w:eastAsia="Times New Roman" w:hAnsi="Arial" w:cs="Arial"/>
        </w:rPr>
        <w:t>the high</w:t>
      </w:r>
      <w:r w:rsidR="00EB2344" w:rsidRPr="00AC724E">
        <w:rPr>
          <w:rFonts w:ascii="Arial" w:eastAsia="Times New Roman" w:hAnsi="Arial" w:cs="Arial"/>
        </w:rPr>
        <w:t xml:space="preserve">ly </w:t>
      </w:r>
      <w:r w:rsidR="00062D4A" w:rsidRPr="00AC724E">
        <w:rPr>
          <w:rFonts w:ascii="Arial" w:eastAsia="Times New Roman" w:hAnsi="Arial" w:cs="Arial"/>
        </w:rPr>
        <w:t xml:space="preserve">sensitive </w:t>
      </w:r>
      <w:proofErr w:type="spellStart"/>
      <w:r w:rsidR="00062D4A" w:rsidRPr="00AC724E">
        <w:rPr>
          <w:rFonts w:ascii="Arial" w:eastAsia="Times New Roman" w:hAnsi="Arial" w:cs="Arial"/>
        </w:rPr>
        <w:t>BEAMing</w:t>
      </w:r>
      <w:proofErr w:type="spellEnd"/>
      <w:r w:rsidR="00062D4A" w:rsidRPr="00AC724E">
        <w:rPr>
          <w:rFonts w:ascii="Arial" w:eastAsia="Times New Roman" w:hAnsi="Arial" w:cs="Arial"/>
        </w:rPr>
        <w:t xml:space="preserve"> technique, as previously described</w:t>
      </w:r>
      <w:r w:rsidR="00062D4A" w:rsidRPr="00AC724E">
        <w:rPr>
          <w:rFonts w:ascii="Arial" w:eastAsia="Times New Roman" w:hAnsi="Arial" w:cs="Arial"/>
          <w:vertAlign w:val="superscript"/>
        </w:rPr>
        <w:t>1</w:t>
      </w:r>
      <w:r w:rsidR="00062D4A" w:rsidRPr="00AC724E">
        <w:rPr>
          <w:rFonts w:ascii="Arial" w:eastAsia="Times New Roman" w:hAnsi="Arial" w:cs="Arial"/>
        </w:rPr>
        <w:t>.</w:t>
      </w:r>
    </w:p>
    <w:p w14:paraId="1C4C3F39" w14:textId="77777777" w:rsidR="00062D4A" w:rsidRPr="00AC724E" w:rsidRDefault="00062D4A" w:rsidP="00062D4A">
      <w:pPr>
        <w:pStyle w:val="ListParagraph"/>
        <w:numPr>
          <w:ilvl w:val="0"/>
          <w:numId w:val="1"/>
        </w:numPr>
        <w:spacing w:before="120" w:line="480" w:lineRule="auto"/>
        <w:jc w:val="both"/>
        <w:outlineLvl w:val="0"/>
        <w:rPr>
          <w:rFonts w:ascii="Arial" w:hAnsi="Arial" w:cs="Arial"/>
          <w:b/>
        </w:rPr>
      </w:pPr>
      <w:r w:rsidRPr="00AC724E">
        <w:rPr>
          <w:rFonts w:ascii="Arial" w:hAnsi="Arial" w:cs="Arial"/>
          <w:b/>
        </w:rPr>
        <w:t>Whole-exome sequencing</w:t>
      </w:r>
    </w:p>
    <w:p w14:paraId="34222C20" w14:textId="0BB3ED5F" w:rsidR="00062D4A" w:rsidRPr="00AC724E" w:rsidRDefault="00062D4A" w:rsidP="00062D4A">
      <w:pPr>
        <w:spacing w:line="480" w:lineRule="auto"/>
        <w:jc w:val="both"/>
        <w:rPr>
          <w:rFonts w:ascii="Arial" w:hAnsi="Arial" w:cs="Arial"/>
        </w:rPr>
      </w:pPr>
      <w:r w:rsidRPr="00AC724E">
        <w:rPr>
          <w:rFonts w:ascii="Arial" w:hAnsi="Arial" w:cs="Arial"/>
        </w:rPr>
        <w:t xml:space="preserve">Sequencing libraries of </w:t>
      </w:r>
      <w:proofErr w:type="spellStart"/>
      <w:r w:rsidRPr="00AC724E">
        <w:rPr>
          <w:rFonts w:ascii="Arial" w:hAnsi="Arial" w:cs="Arial"/>
        </w:rPr>
        <w:t>cfDNA</w:t>
      </w:r>
      <w:proofErr w:type="spellEnd"/>
      <w:r w:rsidRPr="00AC724E">
        <w:rPr>
          <w:rFonts w:ascii="Arial" w:hAnsi="Arial" w:cs="Arial"/>
        </w:rPr>
        <w:t xml:space="preserve"> (15 ng), and </w:t>
      </w:r>
      <w:proofErr w:type="spellStart"/>
      <w:r w:rsidRPr="00AC724E">
        <w:rPr>
          <w:rFonts w:ascii="Arial" w:hAnsi="Arial" w:cs="Arial"/>
        </w:rPr>
        <w:t>gDNA</w:t>
      </w:r>
      <w:proofErr w:type="spellEnd"/>
      <w:r w:rsidRPr="00AC724E">
        <w:rPr>
          <w:rFonts w:ascii="Arial" w:hAnsi="Arial" w:cs="Arial"/>
        </w:rPr>
        <w:t xml:space="preserve"> and </w:t>
      </w:r>
      <w:proofErr w:type="spellStart"/>
      <w:r w:rsidRPr="00AC724E">
        <w:rPr>
          <w:rFonts w:ascii="Arial" w:hAnsi="Arial" w:cs="Arial"/>
        </w:rPr>
        <w:t>tDNA</w:t>
      </w:r>
      <w:proofErr w:type="spellEnd"/>
      <w:r w:rsidRPr="00AC724E">
        <w:rPr>
          <w:rFonts w:ascii="Arial" w:hAnsi="Arial" w:cs="Arial"/>
        </w:rPr>
        <w:t xml:space="preserve"> (70</w:t>
      </w:r>
      <w:r w:rsidR="00F6738D" w:rsidRPr="00AC724E">
        <w:rPr>
          <w:rFonts w:ascii="Arial" w:hAnsi="Arial" w:cs="Arial"/>
        </w:rPr>
        <w:t>-</w:t>
      </w:r>
      <w:r w:rsidRPr="00AC724E">
        <w:rPr>
          <w:rFonts w:ascii="Arial" w:hAnsi="Arial" w:cs="Arial"/>
        </w:rPr>
        <w:t>110 ng) samples were prepared using</w:t>
      </w:r>
      <w:r w:rsidR="00EB2344" w:rsidRPr="00AC724E">
        <w:rPr>
          <w:rFonts w:ascii="Arial" w:hAnsi="Arial" w:cs="Arial"/>
        </w:rPr>
        <w:t xml:space="preserve"> the</w:t>
      </w:r>
      <w:r w:rsidRPr="00AC724E">
        <w:rPr>
          <w:rFonts w:ascii="Arial" w:hAnsi="Arial" w:cs="Arial"/>
        </w:rPr>
        <w:t xml:space="preserve"> </w:t>
      </w:r>
      <w:proofErr w:type="spellStart"/>
      <w:r w:rsidRPr="00AC724E">
        <w:rPr>
          <w:rFonts w:ascii="Arial" w:hAnsi="Arial" w:cs="Arial"/>
        </w:rPr>
        <w:t>ThruPLEX</w:t>
      </w:r>
      <w:proofErr w:type="spellEnd"/>
      <w:r w:rsidRPr="00AC724E">
        <w:rPr>
          <w:rFonts w:ascii="Arial" w:hAnsi="Arial" w:cs="Arial"/>
        </w:rPr>
        <w:t xml:space="preserve"> Plasma- and </w:t>
      </w:r>
      <w:proofErr w:type="spellStart"/>
      <w:r w:rsidRPr="00AC724E">
        <w:rPr>
          <w:rFonts w:ascii="Arial" w:hAnsi="Arial" w:cs="Arial"/>
        </w:rPr>
        <w:t>DNAseq</w:t>
      </w:r>
      <w:proofErr w:type="spellEnd"/>
      <w:r w:rsidRPr="00AC724E">
        <w:rPr>
          <w:rFonts w:ascii="Arial" w:hAnsi="Arial" w:cs="Arial"/>
        </w:rPr>
        <w:t xml:space="preserve"> Kits (Rubicon Genomics </w:t>
      </w:r>
      <w:proofErr w:type="spellStart"/>
      <w:r w:rsidRPr="00AC724E">
        <w:rPr>
          <w:rFonts w:ascii="Arial" w:hAnsi="Arial" w:cs="Arial"/>
        </w:rPr>
        <w:t>Inc</w:t>
      </w:r>
      <w:proofErr w:type="spellEnd"/>
      <w:r w:rsidRPr="00AC724E">
        <w:rPr>
          <w:rFonts w:ascii="Arial" w:hAnsi="Arial" w:cs="Arial"/>
        </w:rPr>
        <w:t>, USA), respectively. Barcode ind</w:t>
      </w:r>
      <w:r w:rsidR="00EB2344" w:rsidRPr="00AC724E">
        <w:rPr>
          <w:rFonts w:ascii="Arial" w:hAnsi="Arial" w:cs="Arial"/>
        </w:rPr>
        <w:t>ic</w:t>
      </w:r>
      <w:r w:rsidRPr="00AC724E">
        <w:rPr>
          <w:rFonts w:ascii="Arial" w:hAnsi="Arial" w:cs="Arial"/>
        </w:rPr>
        <w:t xml:space="preserve">es </w:t>
      </w:r>
      <w:r w:rsidRPr="00AC724E">
        <w:rPr>
          <w:rFonts w:ascii="Arial" w:hAnsi="Arial" w:cs="Arial"/>
        </w:rPr>
        <w:lastRenderedPageBreak/>
        <w:t>were added to samples during eight PCR cycles of template preparation</w:t>
      </w:r>
      <w:r w:rsidR="00A63523" w:rsidRPr="00AC724E">
        <w:rPr>
          <w:rFonts w:ascii="Arial" w:hAnsi="Arial" w:cs="Arial"/>
        </w:rPr>
        <w:t>, and</w:t>
      </w:r>
      <w:r w:rsidRPr="00AC724E">
        <w:rPr>
          <w:rFonts w:ascii="Arial" w:hAnsi="Arial" w:cs="Arial"/>
        </w:rPr>
        <w:t xml:space="preserve"> 550</w:t>
      </w:r>
      <w:r w:rsidR="00EB2344" w:rsidRPr="00AC724E">
        <w:rPr>
          <w:rFonts w:ascii="Arial" w:hAnsi="Arial" w:cs="Arial"/>
        </w:rPr>
        <w:t xml:space="preserve"> </w:t>
      </w:r>
      <w:r w:rsidRPr="00AC724E">
        <w:rPr>
          <w:rFonts w:ascii="Arial" w:hAnsi="Arial" w:cs="Arial"/>
        </w:rPr>
        <w:t xml:space="preserve">ng of each sample was processed through the </w:t>
      </w:r>
      <w:proofErr w:type="spellStart"/>
      <w:r w:rsidRPr="00AC724E">
        <w:rPr>
          <w:rFonts w:ascii="Arial" w:hAnsi="Arial" w:cs="Arial"/>
        </w:rPr>
        <w:t>SureSelectXT</w:t>
      </w:r>
      <w:proofErr w:type="spellEnd"/>
      <w:r w:rsidRPr="00AC724E">
        <w:rPr>
          <w:rFonts w:ascii="Arial" w:hAnsi="Arial" w:cs="Arial"/>
        </w:rPr>
        <w:t xml:space="preserve"> Target Enrichment System (Agilent </w:t>
      </w:r>
      <w:proofErr w:type="spellStart"/>
      <w:r w:rsidRPr="00AC724E">
        <w:rPr>
          <w:rFonts w:ascii="Arial" w:hAnsi="Arial" w:cs="Arial"/>
        </w:rPr>
        <w:t>SureSelect</w:t>
      </w:r>
      <w:proofErr w:type="spellEnd"/>
      <w:r w:rsidRPr="00AC724E">
        <w:rPr>
          <w:rFonts w:ascii="Arial" w:hAnsi="Arial" w:cs="Arial"/>
        </w:rPr>
        <w:t xml:space="preserve"> V5, ref. 5190-6208, protocol G7530-90000 version B1). </w:t>
      </w:r>
      <w:proofErr w:type="spellStart"/>
      <w:r w:rsidRPr="00AC724E">
        <w:rPr>
          <w:rFonts w:ascii="Arial" w:hAnsi="Arial" w:cs="Arial"/>
        </w:rPr>
        <w:t>xGen</w:t>
      </w:r>
      <w:proofErr w:type="spellEnd"/>
      <w:r w:rsidRPr="00AC724E">
        <w:rPr>
          <w:rFonts w:ascii="Arial" w:hAnsi="Arial" w:cs="Arial"/>
        </w:rPr>
        <w:t xml:space="preserve"> Blocking </w:t>
      </w:r>
      <w:proofErr w:type="spellStart"/>
      <w:r w:rsidRPr="00AC724E">
        <w:rPr>
          <w:rFonts w:ascii="Arial" w:hAnsi="Arial" w:cs="Arial"/>
        </w:rPr>
        <w:t>Oligos</w:t>
      </w:r>
      <w:proofErr w:type="spellEnd"/>
      <w:r w:rsidRPr="00AC724E">
        <w:rPr>
          <w:rFonts w:ascii="Arial" w:hAnsi="Arial" w:cs="Arial"/>
        </w:rPr>
        <w:t xml:space="preserve"> (IDT, Iowa, USA) were used as suggested by Rubicon Genomics. Captured targets were subsequently enriched by 11 cycles of PCR with KAPA </w:t>
      </w:r>
      <w:proofErr w:type="spellStart"/>
      <w:r w:rsidRPr="00AC724E">
        <w:rPr>
          <w:rFonts w:ascii="Arial" w:hAnsi="Arial" w:cs="Arial"/>
        </w:rPr>
        <w:t>HiFi</w:t>
      </w:r>
      <w:proofErr w:type="spellEnd"/>
      <w:r w:rsidRPr="00AC724E">
        <w:rPr>
          <w:rFonts w:ascii="Arial" w:hAnsi="Arial" w:cs="Arial"/>
        </w:rPr>
        <w:t xml:space="preserve"> </w:t>
      </w:r>
      <w:proofErr w:type="spellStart"/>
      <w:r w:rsidRPr="00AC724E">
        <w:rPr>
          <w:rFonts w:ascii="Arial" w:hAnsi="Arial" w:cs="Arial"/>
        </w:rPr>
        <w:t>HotStart</w:t>
      </w:r>
      <w:proofErr w:type="spellEnd"/>
      <w:r w:rsidRPr="00AC724E">
        <w:rPr>
          <w:rFonts w:ascii="Arial" w:hAnsi="Arial" w:cs="Arial"/>
        </w:rPr>
        <w:t xml:space="preserve"> (Kapa Biosystems), with a Tann of 60º and</w:t>
      </w:r>
      <w:r w:rsidR="00A63523" w:rsidRPr="00AC724E">
        <w:rPr>
          <w:rFonts w:ascii="Arial" w:hAnsi="Arial" w:cs="Arial"/>
        </w:rPr>
        <w:t xml:space="preserve"> the following</w:t>
      </w:r>
      <w:r w:rsidRPr="00AC724E">
        <w:rPr>
          <w:rFonts w:ascii="Arial" w:hAnsi="Arial" w:cs="Arial"/>
        </w:rPr>
        <w:t xml:space="preserve"> primers</w:t>
      </w:r>
      <w:r w:rsidR="00A63523" w:rsidRPr="00AC724E">
        <w:rPr>
          <w:rFonts w:ascii="Arial" w:hAnsi="Arial" w:cs="Arial"/>
        </w:rPr>
        <w:t>, which target generic ends of Illumina adapters:</w:t>
      </w:r>
      <w:r w:rsidRPr="00AC724E">
        <w:rPr>
          <w:rFonts w:ascii="Arial" w:hAnsi="Arial" w:cs="Arial"/>
        </w:rPr>
        <w:t xml:space="preserve"> AATGATACGGCGACCACCGAGAT and CAAGCAGAAGACGGCATACGAGAT. For sequencing, magnetic bead</w:t>
      </w:r>
      <w:r w:rsidR="00A63523" w:rsidRPr="00AC724E">
        <w:rPr>
          <w:rFonts w:ascii="Arial" w:hAnsi="Arial" w:cs="Arial"/>
        </w:rPr>
        <w:t>-</w:t>
      </w:r>
      <w:r w:rsidRPr="00AC724E">
        <w:rPr>
          <w:rFonts w:ascii="Arial" w:hAnsi="Arial" w:cs="Arial"/>
        </w:rPr>
        <w:t xml:space="preserve">purified libraries with similar concentrations </w:t>
      </w:r>
      <w:r w:rsidR="00A63523" w:rsidRPr="00AC724E">
        <w:rPr>
          <w:rFonts w:ascii="Arial" w:hAnsi="Arial" w:cs="Arial"/>
        </w:rPr>
        <w:t xml:space="preserve">of </w:t>
      </w:r>
      <w:proofErr w:type="spellStart"/>
      <w:r w:rsidRPr="00AC724E">
        <w:rPr>
          <w:rFonts w:ascii="Arial" w:hAnsi="Arial" w:cs="Arial"/>
        </w:rPr>
        <w:t>cfDNAs</w:t>
      </w:r>
      <w:proofErr w:type="spellEnd"/>
      <w:r w:rsidRPr="00AC724E">
        <w:rPr>
          <w:rFonts w:ascii="Arial" w:hAnsi="Arial" w:cs="Arial"/>
        </w:rPr>
        <w:t xml:space="preserve"> and </w:t>
      </w:r>
      <w:proofErr w:type="spellStart"/>
      <w:r w:rsidRPr="00AC724E">
        <w:rPr>
          <w:rFonts w:ascii="Arial" w:hAnsi="Arial" w:cs="Arial"/>
        </w:rPr>
        <w:t>tDNA</w:t>
      </w:r>
      <w:proofErr w:type="spellEnd"/>
      <w:r w:rsidRPr="00AC724E">
        <w:rPr>
          <w:rFonts w:ascii="Arial" w:hAnsi="Arial" w:cs="Arial"/>
        </w:rPr>
        <w:t xml:space="preserve">, and half the concentration </w:t>
      </w:r>
      <w:r w:rsidR="00A63523" w:rsidRPr="00AC724E">
        <w:rPr>
          <w:rFonts w:ascii="Arial" w:hAnsi="Arial" w:cs="Arial"/>
        </w:rPr>
        <w:t xml:space="preserve">of </w:t>
      </w:r>
      <w:proofErr w:type="spellStart"/>
      <w:r w:rsidRPr="00AC724E">
        <w:rPr>
          <w:rFonts w:ascii="Arial" w:hAnsi="Arial" w:cs="Arial"/>
        </w:rPr>
        <w:t>gDNA</w:t>
      </w:r>
      <w:proofErr w:type="spellEnd"/>
      <w:r w:rsidRPr="00AC724E">
        <w:rPr>
          <w:rFonts w:ascii="Arial" w:hAnsi="Arial" w:cs="Arial"/>
        </w:rPr>
        <w:t xml:space="preserve"> </w:t>
      </w:r>
      <w:r w:rsidR="00A63523" w:rsidRPr="00AC724E">
        <w:rPr>
          <w:rFonts w:ascii="Arial" w:hAnsi="Arial" w:cs="Arial"/>
        </w:rPr>
        <w:t xml:space="preserve">were pooled </w:t>
      </w:r>
      <w:r w:rsidRPr="00AC724E">
        <w:rPr>
          <w:rFonts w:ascii="Arial" w:hAnsi="Arial" w:cs="Arial"/>
        </w:rPr>
        <w:t>in order to increase coverage and favor</w:t>
      </w:r>
      <w:r w:rsidR="00A63523" w:rsidRPr="00AC724E">
        <w:rPr>
          <w:rFonts w:ascii="Arial" w:hAnsi="Arial" w:cs="Arial"/>
        </w:rPr>
        <w:t xml:space="preserve"> the</w:t>
      </w:r>
      <w:r w:rsidRPr="00AC724E">
        <w:rPr>
          <w:rFonts w:ascii="Arial" w:hAnsi="Arial" w:cs="Arial"/>
        </w:rPr>
        <w:t xml:space="preserve"> detection of non-inherited sub-clonal mutations. Sequencing was carried out </w:t>
      </w:r>
      <w:r w:rsidR="00A63523" w:rsidRPr="00AC724E">
        <w:rPr>
          <w:rFonts w:ascii="Arial" w:hAnsi="Arial" w:cs="Arial"/>
        </w:rPr>
        <w:t xml:space="preserve">in </w:t>
      </w:r>
      <w:r w:rsidRPr="00AC724E">
        <w:rPr>
          <w:rFonts w:ascii="Arial" w:hAnsi="Arial" w:cs="Arial"/>
        </w:rPr>
        <w:t xml:space="preserve">the Illumina HiSeq4000 platform. </w:t>
      </w:r>
      <w:r w:rsidR="0072785B" w:rsidRPr="00AC724E">
        <w:rPr>
          <w:rFonts w:ascii="Arial" w:hAnsi="Arial" w:cs="Arial"/>
        </w:rPr>
        <w:t xml:space="preserve">All sequencing data are going to be deposited in the European Nucleotide Archive (ENA) under </w:t>
      </w:r>
      <w:r w:rsidR="00F6738D" w:rsidRPr="00AC724E">
        <w:rPr>
          <w:rFonts w:ascii="Arial" w:hAnsi="Arial" w:cs="Arial"/>
        </w:rPr>
        <w:t xml:space="preserve">the </w:t>
      </w:r>
      <w:r w:rsidR="0072785B" w:rsidRPr="00AC724E">
        <w:rPr>
          <w:rFonts w:ascii="Arial" w:hAnsi="Arial" w:cs="Arial"/>
        </w:rPr>
        <w:t>accession number ENA#202177</w:t>
      </w:r>
      <w:r w:rsidR="00F6738D" w:rsidRPr="00AC724E">
        <w:rPr>
          <w:rFonts w:ascii="Arial" w:hAnsi="Arial" w:cs="Arial"/>
        </w:rPr>
        <w:t>,</w:t>
      </w:r>
      <w:r w:rsidR="0072785B" w:rsidRPr="00AC724E">
        <w:rPr>
          <w:rFonts w:ascii="Arial" w:hAnsi="Arial" w:cs="Arial"/>
        </w:rPr>
        <w:t xml:space="preserve"> at the time of publication.</w:t>
      </w:r>
    </w:p>
    <w:p w14:paraId="1E039541" w14:textId="77777777" w:rsidR="00062D4A" w:rsidRPr="00AC724E" w:rsidRDefault="00062D4A" w:rsidP="00062D4A">
      <w:pPr>
        <w:pStyle w:val="ListParagraph"/>
        <w:numPr>
          <w:ilvl w:val="0"/>
          <w:numId w:val="1"/>
        </w:numPr>
        <w:spacing w:line="480" w:lineRule="auto"/>
        <w:jc w:val="both"/>
        <w:outlineLvl w:val="0"/>
        <w:rPr>
          <w:rFonts w:ascii="Arial" w:hAnsi="Arial" w:cs="Arial"/>
          <w:b/>
        </w:rPr>
      </w:pPr>
      <w:r w:rsidRPr="00AC724E">
        <w:rPr>
          <w:rFonts w:ascii="Arial" w:hAnsi="Arial" w:cs="Arial"/>
          <w:b/>
        </w:rPr>
        <w:t xml:space="preserve">Somatic mutation call </w:t>
      </w:r>
    </w:p>
    <w:p w14:paraId="0A8198FC" w14:textId="2D9FB8A4" w:rsidR="00062D4A" w:rsidRPr="00AC724E" w:rsidRDefault="00062D4A" w:rsidP="00062D4A">
      <w:pPr>
        <w:spacing w:line="480" w:lineRule="auto"/>
        <w:jc w:val="both"/>
        <w:rPr>
          <w:rFonts w:ascii="Arial" w:hAnsi="Arial" w:cs="Arial"/>
        </w:rPr>
      </w:pPr>
      <w:r w:rsidRPr="00AC724E">
        <w:rPr>
          <w:rFonts w:ascii="Arial" w:hAnsi="Arial" w:cs="Arial"/>
        </w:rPr>
        <w:t xml:space="preserve">Bioinformatics analyses were </w:t>
      </w:r>
      <w:r w:rsidR="00A63523" w:rsidRPr="00AC724E">
        <w:rPr>
          <w:rFonts w:ascii="Arial" w:hAnsi="Arial" w:cs="Arial"/>
        </w:rPr>
        <w:t>performed</w:t>
      </w:r>
      <w:r w:rsidRPr="00AC724E">
        <w:rPr>
          <w:rFonts w:ascii="Arial" w:hAnsi="Arial" w:cs="Arial"/>
        </w:rPr>
        <w:t xml:space="preserve"> using</w:t>
      </w:r>
      <w:r w:rsidR="00A63523" w:rsidRPr="00AC724E">
        <w:rPr>
          <w:rFonts w:ascii="Arial" w:hAnsi="Arial" w:cs="Arial"/>
        </w:rPr>
        <w:t xml:space="preserve"> the</w:t>
      </w:r>
      <w:r w:rsidRPr="00AC724E">
        <w:rPr>
          <w:rFonts w:ascii="Arial" w:hAnsi="Arial" w:cs="Arial"/>
        </w:rPr>
        <w:t xml:space="preserve"> NEXTGEN </w:t>
      </w:r>
      <w:r w:rsidR="00A63523" w:rsidRPr="00AC724E">
        <w:rPr>
          <w:rFonts w:ascii="Arial" w:hAnsi="Arial" w:cs="Arial"/>
        </w:rPr>
        <w:t xml:space="preserve">software </w:t>
      </w:r>
      <w:r w:rsidRPr="00AC724E">
        <w:rPr>
          <w:rFonts w:ascii="Arial" w:hAnsi="Arial" w:cs="Arial"/>
        </w:rPr>
        <w:t>(</w:t>
      </w:r>
      <w:proofErr w:type="spellStart"/>
      <w:r w:rsidRPr="00AC724E">
        <w:rPr>
          <w:rFonts w:ascii="Arial" w:hAnsi="Arial" w:cs="Arial"/>
        </w:rPr>
        <w:t>Softgenetics</w:t>
      </w:r>
      <w:proofErr w:type="spellEnd"/>
      <w:r w:rsidRPr="00AC724E">
        <w:rPr>
          <w:rFonts w:ascii="Arial" w:hAnsi="Arial" w:cs="Arial"/>
        </w:rPr>
        <w:t>, USA), as previously described</w:t>
      </w:r>
      <w:r w:rsidRPr="00AC724E">
        <w:rPr>
          <w:rFonts w:ascii="Arial" w:hAnsi="Arial" w:cs="Arial"/>
          <w:vertAlign w:val="superscript"/>
        </w:rPr>
        <w:t>2</w:t>
      </w:r>
      <w:r w:rsidRPr="00AC724E">
        <w:rPr>
          <w:rFonts w:ascii="Arial" w:hAnsi="Arial" w:cs="Arial"/>
        </w:rPr>
        <w:t xml:space="preserve">. </w:t>
      </w:r>
      <w:r w:rsidR="00A63523" w:rsidRPr="00AC724E">
        <w:rPr>
          <w:rFonts w:ascii="Arial" w:hAnsi="Arial" w:cs="Arial"/>
        </w:rPr>
        <w:t>The d</w:t>
      </w:r>
      <w:r w:rsidRPr="00AC724E">
        <w:rPr>
          <w:rFonts w:ascii="Arial" w:hAnsi="Arial" w:cs="Arial"/>
        </w:rPr>
        <w:t>etailed parameters used for</w:t>
      </w:r>
      <w:r w:rsidR="00A63523" w:rsidRPr="00AC724E">
        <w:rPr>
          <w:rFonts w:ascii="Arial" w:hAnsi="Arial" w:cs="Arial"/>
        </w:rPr>
        <w:t xml:space="preserve"> the</w:t>
      </w:r>
      <w:r w:rsidRPr="00AC724E">
        <w:rPr>
          <w:rFonts w:ascii="Arial" w:hAnsi="Arial" w:cs="Arial"/>
        </w:rPr>
        <w:t xml:space="preserve"> alignment and mutation call are provided as supplementary material. </w:t>
      </w:r>
      <w:r w:rsidR="00A63523" w:rsidRPr="00AC724E">
        <w:rPr>
          <w:rFonts w:ascii="Arial" w:hAnsi="Arial" w:cs="Arial"/>
        </w:rPr>
        <w:t>Briefly</w:t>
      </w:r>
      <w:r w:rsidRPr="00AC724E">
        <w:rPr>
          <w:rFonts w:ascii="Arial" w:hAnsi="Arial" w:cs="Arial"/>
        </w:rPr>
        <w:t xml:space="preserve">, </w:t>
      </w:r>
      <w:proofErr w:type="spellStart"/>
      <w:r w:rsidRPr="00AC724E">
        <w:rPr>
          <w:rFonts w:ascii="Arial" w:hAnsi="Arial" w:cs="Arial"/>
        </w:rPr>
        <w:t>FastaQ</w:t>
      </w:r>
      <w:proofErr w:type="spellEnd"/>
      <w:r w:rsidRPr="00AC724E">
        <w:rPr>
          <w:rFonts w:ascii="Arial" w:hAnsi="Arial" w:cs="Arial"/>
        </w:rPr>
        <w:t xml:space="preserve"> files were aligned using the BWA pipeline and</w:t>
      </w:r>
      <w:r w:rsidR="00E00C53" w:rsidRPr="00AC724E">
        <w:rPr>
          <w:rFonts w:ascii="Arial" w:hAnsi="Arial" w:cs="Arial"/>
        </w:rPr>
        <w:t xml:space="preserve"> the</w:t>
      </w:r>
      <w:r w:rsidRPr="00AC724E">
        <w:rPr>
          <w:rFonts w:ascii="Arial" w:hAnsi="Arial" w:cs="Arial"/>
        </w:rPr>
        <w:t xml:space="preserve"> variants were processed by sequential stringent filters to exclude low-confiden</w:t>
      </w:r>
      <w:r w:rsidR="00873AB1" w:rsidRPr="00AC724E">
        <w:rPr>
          <w:rFonts w:ascii="Arial" w:hAnsi="Arial" w:cs="Arial"/>
        </w:rPr>
        <w:t>ce</w:t>
      </w:r>
      <w:r w:rsidRPr="00AC724E">
        <w:rPr>
          <w:rFonts w:ascii="Arial" w:hAnsi="Arial" w:cs="Arial"/>
        </w:rPr>
        <w:t xml:space="preserve"> variants. Only variants that passed the following filters were classified as high-quality and considered in the study: overall and allele scores ≥</w:t>
      </w:r>
      <w:r w:rsidR="00A63523" w:rsidRPr="00AC724E">
        <w:rPr>
          <w:rFonts w:ascii="Arial" w:hAnsi="Arial" w:cs="Arial"/>
        </w:rPr>
        <w:t xml:space="preserve"> </w:t>
      </w:r>
      <w:r w:rsidRPr="00AC724E">
        <w:rPr>
          <w:rFonts w:ascii="Arial" w:hAnsi="Arial" w:cs="Arial"/>
        </w:rPr>
        <w:t>12; coverage ≥</w:t>
      </w:r>
      <w:r w:rsidR="00A63523" w:rsidRPr="00AC724E">
        <w:rPr>
          <w:rFonts w:ascii="Arial" w:hAnsi="Arial" w:cs="Arial"/>
        </w:rPr>
        <w:t xml:space="preserve"> </w:t>
      </w:r>
      <w:r w:rsidRPr="00AC724E">
        <w:rPr>
          <w:rFonts w:ascii="Arial" w:hAnsi="Arial" w:cs="Arial"/>
        </w:rPr>
        <w:t>20; number of mutated reads ≥</w:t>
      </w:r>
      <w:r w:rsidR="00A63523" w:rsidRPr="00AC724E">
        <w:rPr>
          <w:rFonts w:ascii="Arial" w:hAnsi="Arial" w:cs="Arial"/>
        </w:rPr>
        <w:t xml:space="preserve"> </w:t>
      </w:r>
      <w:r w:rsidRPr="00AC724E">
        <w:rPr>
          <w:rFonts w:ascii="Arial" w:hAnsi="Arial" w:cs="Arial"/>
        </w:rPr>
        <w:t>20; percentage of mutated reads ≥</w:t>
      </w:r>
      <w:r w:rsidR="00A63523" w:rsidRPr="00AC724E">
        <w:rPr>
          <w:rFonts w:ascii="Arial" w:hAnsi="Arial" w:cs="Arial"/>
        </w:rPr>
        <w:t xml:space="preserve"> </w:t>
      </w:r>
      <w:r w:rsidRPr="00AC724E">
        <w:rPr>
          <w:rFonts w:ascii="Arial" w:hAnsi="Arial" w:cs="Arial"/>
        </w:rPr>
        <w:t xml:space="preserve">3% </w:t>
      </w:r>
      <w:r w:rsidR="00873AB1" w:rsidRPr="00AC724E">
        <w:rPr>
          <w:rFonts w:ascii="Arial" w:hAnsi="Arial" w:cs="Arial"/>
        </w:rPr>
        <w:t xml:space="preserve">of </w:t>
      </w:r>
      <w:proofErr w:type="spellStart"/>
      <w:r w:rsidRPr="00AC724E">
        <w:rPr>
          <w:rFonts w:ascii="Arial" w:hAnsi="Arial" w:cs="Arial"/>
        </w:rPr>
        <w:t>cfDNA</w:t>
      </w:r>
      <w:proofErr w:type="spellEnd"/>
      <w:r w:rsidR="00873AB1" w:rsidRPr="00AC724E">
        <w:rPr>
          <w:rFonts w:ascii="Arial" w:hAnsi="Arial" w:cs="Arial"/>
        </w:rPr>
        <w:t xml:space="preserve"> </w:t>
      </w:r>
      <w:r w:rsidRPr="00AC724E">
        <w:rPr>
          <w:rFonts w:ascii="Arial" w:hAnsi="Arial" w:cs="Arial"/>
        </w:rPr>
        <w:t>/</w:t>
      </w:r>
      <w:r w:rsidR="00873AB1" w:rsidRPr="00AC724E">
        <w:rPr>
          <w:rFonts w:ascii="Arial" w:hAnsi="Arial" w:cs="Arial"/>
        </w:rPr>
        <w:t xml:space="preserve"> </w:t>
      </w:r>
      <w:proofErr w:type="spellStart"/>
      <w:r w:rsidRPr="00AC724E">
        <w:rPr>
          <w:rFonts w:ascii="Arial" w:hAnsi="Arial" w:cs="Arial"/>
        </w:rPr>
        <w:t>tDNA</w:t>
      </w:r>
      <w:proofErr w:type="spellEnd"/>
      <w:r w:rsidRPr="00AC724E">
        <w:rPr>
          <w:rFonts w:ascii="Arial" w:hAnsi="Arial" w:cs="Arial"/>
        </w:rPr>
        <w:t xml:space="preserve"> and ≥</w:t>
      </w:r>
      <w:r w:rsidR="00A63523" w:rsidRPr="00AC724E">
        <w:rPr>
          <w:rFonts w:ascii="Arial" w:hAnsi="Arial" w:cs="Arial"/>
        </w:rPr>
        <w:t xml:space="preserve"> </w:t>
      </w:r>
      <w:r w:rsidRPr="00AC724E">
        <w:rPr>
          <w:rFonts w:ascii="Arial" w:hAnsi="Arial" w:cs="Arial"/>
        </w:rPr>
        <w:t xml:space="preserve">35% </w:t>
      </w:r>
      <w:r w:rsidR="00873AB1" w:rsidRPr="00AC724E">
        <w:rPr>
          <w:rFonts w:ascii="Arial" w:hAnsi="Arial" w:cs="Arial"/>
        </w:rPr>
        <w:t xml:space="preserve">of </w:t>
      </w:r>
      <w:proofErr w:type="spellStart"/>
      <w:r w:rsidRPr="00AC724E">
        <w:rPr>
          <w:rFonts w:ascii="Arial" w:hAnsi="Arial" w:cs="Arial"/>
        </w:rPr>
        <w:t>gDNA</w:t>
      </w:r>
      <w:proofErr w:type="spellEnd"/>
      <w:r w:rsidRPr="00AC724E">
        <w:rPr>
          <w:rFonts w:ascii="Arial" w:hAnsi="Arial" w:cs="Arial"/>
        </w:rPr>
        <w:t xml:space="preserve">; </w:t>
      </w:r>
      <w:proofErr w:type="gramStart"/>
      <w:r w:rsidRPr="00AC724E">
        <w:rPr>
          <w:rFonts w:ascii="Arial" w:hAnsi="Arial" w:cs="Arial"/>
        </w:rPr>
        <w:t>F:R</w:t>
      </w:r>
      <w:proofErr w:type="gramEnd"/>
      <w:r w:rsidRPr="00AC724E">
        <w:rPr>
          <w:rFonts w:ascii="Arial" w:hAnsi="Arial" w:cs="Arial"/>
        </w:rPr>
        <w:t xml:space="preserve"> read balance ≥</w:t>
      </w:r>
      <w:r w:rsidR="00A63523" w:rsidRPr="00AC724E">
        <w:rPr>
          <w:rFonts w:ascii="Arial" w:hAnsi="Arial" w:cs="Arial"/>
        </w:rPr>
        <w:t xml:space="preserve"> </w:t>
      </w:r>
      <w:r w:rsidRPr="00AC724E">
        <w:rPr>
          <w:rFonts w:ascii="Arial" w:hAnsi="Arial" w:cs="Arial"/>
        </w:rPr>
        <w:t>0.1; and F:R read percentage ≥</w:t>
      </w:r>
      <w:r w:rsidR="00A63523" w:rsidRPr="00AC724E">
        <w:rPr>
          <w:rFonts w:ascii="Arial" w:hAnsi="Arial" w:cs="Arial"/>
        </w:rPr>
        <w:t xml:space="preserve"> </w:t>
      </w:r>
      <w:r w:rsidRPr="00AC724E">
        <w:rPr>
          <w:rFonts w:ascii="Arial" w:hAnsi="Arial" w:cs="Arial"/>
        </w:rPr>
        <w:t>0.45. The list of non-hereditary mutations detected by WES-</w:t>
      </w:r>
      <w:proofErr w:type="spellStart"/>
      <w:r w:rsidRPr="00AC724E">
        <w:rPr>
          <w:rFonts w:ascii="Arial" w:hAnsi="Arial" w:cs="Arial"/>
        </w:rPr>
        <w:t>cfDNA</w:t>
      </w:r>
      <w:proofErr w:type="spellEnd"/>
      <w:r w:rsidRPr="00AC724E">
        <w:rPr>
          <w:rFonts w:ascii="Arial" w:hAnsi="Arial" w:cs="Arial"/>
        </w:rPr>
        <w:t xml:space="preserve"> and WES-tumor </w:t>
      </w:r>
      <w:r w:rsidR="00E00C53" w:rsidRPr="00AC724E">
        <w:rPr>
          <w:rFonts w:ascii="Arial" w:hAnsi="Arial" w:cs="Arial"/>
        </w:rPr>
        <w:t xml:space="preserve">was generated </w:t>
      </w:r>
      <w:r w:rsidRPr="00AC724E">
        <w:rPr>
          <w:rFonts w:ascii="Arial" w:hAnsi="Arial" w:cs="Arial"/>
        </w:rPr>
        <w:t>after disregarding germline variants (obtained by WES-</w:t>
      </w:r>
      <w:proofErr w:type="spellStart"/>
      <w:r w:rsidRPr="00AC724E">
        <w:rPr>
          <w:rFonts w:ascii="Arial" w:hAnsi="Arial" w:cs="Arial"/>
        </w:rPr>
        <w:t>gDNA</w:t>
      </w:r>
      <w:proofErr w:type="spellEnd"/>
      <w:r w:rsidRPr="00AC724E">
        <w:rPr>
          <w:rFonts w:ascii="Arial" w:hAnsi="Arial" w:cs="Arial"/>
        </w:rPr>
        <w:t xml:space="preserve">). </w:t>
      </w:r>
      <w:r w:rsidR="00E00C53" w:rsidRPr="00AC724E">
        <w:rPr>
          <w:rFonts w:ascii="Arial" w:hAnsi="Arial" w:cs="Arial"/>
        </w:rPr>
        <w:t>A d</w:t>
      </w:r>
      <w:r w:rsidRPr="00AC724E">
        <w:rPr>
          <w:rFonts w:ascii="Arial" w:hAnsi="Arial" w:cs="Arial"/>
        </w:rPr>
        <w:t>etailed genomic annotation of the somatic mutations we identified</w:t>
      </w:r>
      <w:r w:rsidR="00E00C53" w:rsidRPr="00AC724E">
        <w:rPr>
          <w:rFonts w:ascii="Arial" w:hAnsi="Arial" w:cs="Arial"/>
        </w:rPr>
        <w:t>,</w:t>
      </w:r>
      <w:r w:rsidRPr="00AC724E">
        <w:rPr>
          <w:rFonts w:ascii="Arial" w:hAnsi="Arial" w:cs="Arial"/>
        </w:rPr>
        <w:t xml:space="preserve"> prediction of </w:t>
      </w:r>
      <w:r w:rsidR="00AA1200" w:rsidRPr="00AC724E">
        <w:rPr>
          <w:rFonts w:ascii="Arial" w:hAnsi="Arial" w:cs="Arial"/>
        </w:rPr>
        <w:t xml:space="preserve">mutation </w:t>
      </w:r>
      <w:r w:rsidRPr="00AC724E">
        <w:rPr>
          <w:rFonts w:ascii="Arial" w:hAnsi="Arial" w:cs="Arial"/>
        </w:rPr>
        <w:t>pathogenic</w:t>
      </w:r>
      <w:r w:rsidR="00AA1200" w:rsidRPr="00AC724E">
        <w:rPr>
          <w:rFonts w:ascii="Arial" w:hAnsi="Arial" w:cs="Arial"/>
        </w:rPr>
        <w:t>ity</w:t>
      </w:r>
      <w:r w:rsidRPr="00AC724E">
        <w:rPr>
          <w:rFonts w:ascii="Arial" w:hAnsi="Arial" w:cs="Arial"/>
        </w:rPr>
        <w:t xml:space="preserve"> </w:t>
      </w:r>
      <w:r w:rsidR="00AA1200" w:rsidRPr="00AC724E">
        <w:rPr>
          <w:rFonts w:ascii="Arial" w:hAnsi="Arial" w:cs="Arial"/>
        </w:rPr>
        <w:t>based on</w:t>
      </w:r>
      <w:r w:rsidRPr="00AC724E">
        <w:rPr>
          <w:rFonts w:ascii="Arial" w:hAnsi="Arial" w:cs="Arial"/>
        </w:rPr>
        <w:t xml:space="preserve"> predictor </w:t>
      </w:r>
      <w:r w:rsidR="00AA1200" w:rsidRPr="00AC724E">
        <w:rPr>
          <w:rFonts w:ascii="Arial" w:hAnsi="Arial" w:cs="Arial"/>
        </w:rPr>
        <w:t xml:space="preserve">algorithms </w:t>
      </w:r>
      <w:r w:rsidRPr="00AC724E">
        <w:rPr>
          <w:rFonts w:ascii="Arial" w:hAnsi="Arial" w:cs="Arial"/>
        </w:rPr>
        <w:t>(SIFT, Polyphen2, LRT, Mutation Taster, Mutation Assessor</w:t>
      </w:r>
      <w:r w:rsidR="00AA1200" w:rsidRPr="00AC724E">
        <w:rPr>
          <w:rFonts w:ascii="Arial" w:hAnsi="Arial" w:cs="Arial"/>
        </w:rPr>
        <w:t>,</w:t>
      </w:r>
      <w:r w:rsidRPr="00AC724E">
        <w:rPr>
          <w:rFonts w:ascii="Arial" w:hAnsi="Arial" w:cs="Arial"/>
        </w:rPr>
        <w:t xml:space="preserve"> and other</w:t>
      </w:r>
      <w:r w:rsidR="00AA1200" w:rsidRPr="00AC724E">
        <w:rPr>
          <w:rFonts w:ascii="Arial" w:hAnsi="Arial" w:cs="Arial"/>
        </w:rPr>
        <w:t xml:space="preserve"> software</w:t>
      </w:r>
      <w:r w:rsidRPr="00AC724E">
        <w:rPr>
          <w:rFonts w:ascii="Arial" w:hAnsi="Arial" w:cs="Arial"/>
        </w:rPr>
        <w:t xml:space="preserve"> pack</w:t>
      </w:r>
      <w:r w:rsidR="00AA1200" w:rsidRPr="00AC724E">
        <w:rPr>
          <w:rFonts w:ascii="Arial" w:hAnsi="Arial" w:cs="Arial"/>
        </w:rPr>
        <w:t>a</w:t>
      </w:r>
      <w:r w:rsidRPr="00AC724E">
        <w:rPr>
          <w:rFonts w:ascii="Arial" w:hAnsi="Arial" w:cs="Arial"/>
        </w:rPr>
        <w:t>ges included in the dbNSFP</w:t>
      </w:r>
      <w:r w:rsidRPr="00AC724E">
        <w:rPr>
          <w:rFonts w:ascii="Arial" w:hAnsi="Arial" w:cs="Arial"/>
          <w:vertAlign w:val="superscript"/>
        </w:rPr>
        <w:t>3</w:t>
      </w:r>
      <w:r w:rsidRPr="00AC724E">
        <w:rPr>
          <w:rFonts w:ascii="Arial" w:hAnsi="Arial" w:cs="Arial"/>
        </w:rPr>
        <w:t>)</w:t>
      </w:r>
      <w:r w:rsidR="00E00C53" w:rsidRPr="00AC724E">
        <w:rPr>
          <w:rFonts w:ascii="Arial" w:hAnsi="Arial" w:cs="Arial"/>
        </w:rPr>
        <w:t>,</w:t>
      </w:r>
      <w:r w:rsidRPr="00AC724E">
        <w:rPr>
          <w:rFonts w:ascii="Arial" w:hAnsi="Arial" w:cs="Arial"/>
        </w:rPr>
        <w:t xml:space="preserve"> </w:t>
      </w:r>
      <w:r w:rsidRPr="00AC724E">
        <w:rPr>
          <w:rFonts w:ascii="Arial" w:hAnsi="Arial" w:cs="Arial"/>
        </w:rPr>
        <w:lastRenderedPageBreak/>
        <w:t>allele frequencies in population studies</w:t>
      </w:r>
      <w:r w:rsidR="00C71F57" w:rsidRPr="00AC724E">
        <w:rPr>
          <w:rFonts w:ascii="Arial" w:hAnsi="Arial" w:cs="Arial"/>
        </w:rPr>
        <w:t>, such</w:t>
      </w:r>
      <w:r w:rsidRPr="00AC724E">
        <w:rPr>
          <w:rFonts w:ascii="Arial" w:hAnsi="Arial" w:cs="Arial"/>
        </w:rPr>
        <w:t xml:space="preserve"> as 1000G and EXAC</w:t>
      </w:r>
      <w:r w:rsidR="00C71F57" w:rsidRPr="00AC724E">
        <w:rPr>
          <w:rFonts w:ascii="Arial" w:hAnsi="Arial" w:cs="Arial"/>
        </w:rPr>
        <w:t>,</w:t>
      </w:r>
      <w:r w:rsidRPr="00AC724E">
        <w:rPr>
          <w:rFonts w:ascii="Arial" w:hAnsi="Arial" w:cs="Arial"/>
        </w:rPr>
        <w:t xml:space="preserve"> and </w:t>
      </w:r>
      <w:r w:rsidR="00C71F57" w:rsidRPr="00AC724E">
        <w:rPr>
          <w:rFonts w:ascii="Arial" w:hAnsi="Arial" w:cs="Arial"/>
        </w:rPr>
        <w:t xml:space="preserve">additional </w:t>
      </w:r>
      <w:r w:rsidRPr="00AC724E">
        <w:rPr>
          <w:rFonts w:ascii="Arial" w:hAnsi="Arial" w:cs="Arial"/>
        </w:rPr>
        <w:t xml:space="preserve">information are </w:t>
      </w:r>
      <w:r w:rsidR="00E00C53" w:rsidRPr="00AC724E">
        <w:rPr>
          <w:rFonts w:ascii="Arial" w:hAnsi="Arial" w:cs="Arial"/>
        </w:rPr>
        <w:t xml:space="preserve">shown </w:t>
      </w:r>
      <w:r w:rsidRPr="00AC724E">
        <w:rPr>
          <w:rFonts w:ascii="Arial" w:hAnsi="Arial" w:cs="Arial"/>
        </w:rPr>
        <w:t>in Table S1</w:t>
      </w:r>
      <w:r w:rsidR="00E00C53" w:rsidRPr="00AC724E">
        <w:rPr>
          <w:rFonts w:ascii="Arial" w:hAnsi="Arial" w:cs="Arial"/>
        </w:rPr>
        <w:t>.</w:t>
      </w:r>
    </w:p>
    <w:p w14:paraId="28D6C222" w14:textId="77777777" w:rsidR="00062D4A" w:rsidRPr="00AC724E" w:rsidRDefault="00062D4A" w:rsidP="00062D4A">
      <w:pPr>
        <w:pStyle w:val="ListParagraph"/>
        <w:numPr>
          <w:ilvl w:val="0"/>
          <w:numId w:val="1"/>
        </w:numPr>
        <w:spacing w:line="480" w:lineRule="auto"/>
        <w:jc w:val="both"/>
        <w:outlineLvl w:val="0"/>
        <w:rPr>
          <w:rFonts w:ascii="Arial" w:hAnsi="Arial" w:cs="Arial"/>
          <w:b/>
        </w:rPr>
      </w:pPr>
      <w:proofErr w:type="spellStart"/>
      <w:r w:rsidRPr="00AC724E">
        <w:rPr>
          <w:rFonts w:ascii="Arial" w:hAnsi="Arial" w:cs="Arial"/>
          <w:b/>
        </w:rPr>
        <w:t>TaqMan</w:t>
      </w:r>
      <w:proofErr w:type="spellEnd"/>
      <w:r w:rsidRPr="00AC724E">
        <w:rPr>
          <w:rFonts w:ascii="Arial" w:hAnsi="Arial" w:cs="Arial"/>
          <w:b/>
        </w:rPr>
        <w:t xml:space="preserve"> SNP genotyping assay</w:t>
      </w:r>
    </w:p>
    <w:p w14:paraId="2DCF13CE" w14:textId="2F800144" w:rsidR="00D70532" w:rsidRPr="00AC724E" w:rsidRDefault="00062D4A" w:rsidP="00D70532">
      <w:pPr>
        <w:spacing w:line="480" w:lineRule="auto"/>
        <w:jc w:val="both"/>
        <w:rPr>
          <w:rFonts w:ascii="Arial" w:hAnsi="Arial" w:cs="Arial"/>
          <w:b/>
        </w:rPr>
      </w:pPr>
      <w:r w:rsidRPr="00AC724E">
        <w:rPr>
          <w:rFonts w:ascii="Arial" w:hAnsi="Arial" w:cs="Arial"/>
        </w:rPr>
        <w:t xml:space="preserve">A custom </w:t>
      </w:r>
      <w:proofErr w:type="spellStart"/>
      <w:r w:rsidRPr="00AC724E">
        <w:rPr>
          <w:rFonts w:ascii="Arial" w:hAnsi="Arial" w:cs="Arial"/>
        </w:rPr>
        <w:t>TaqMan</w:t>
      </w:r>
      <w:proofErr w:type="spellEnd"/>
      <w:r w:rsidRPr="00AC724E">
        <w:rPr>
          <w:rFonts w:ascii="Arial" w:hAnsi="Arial" w:cs="Arial"/>
        </w:rPr>
        <w:t xml:space="preserve">® genotyping assay for the detection of the </w:t>
      </w:r>
      <w:r w:rsidRPr="00AC724E">
        <w:rPr>
          <w:rFonts w:ascii="Arial" w:hAnsi="Arial" w:cs="Arial"/>
          <w:i/>
        </w:rPr>
        <w:t>KDR</w:t>
      </w:r>
      <w:r w:rsidRPr="00AC724E">
        <w:rPr>
          <w:rFonts w:ascii="Arial" w:hAnsi="Arial" w:cs="Arial"/>
        </w:rPr>
        <w:t xml:space="preserve"> c.2518C (L840L) and </w:t>
      </w:r>
      <w:r w:rsidRPr="00AC724E">
        <w:rPr>
          <w:rFonts w:ascii="Arial" w:hAnsi="Arial" w:cs="Arial"/>
          <w:i/>
        </w:rPr>
        <w:t>KDR</w:t>
      </w:r>
      <w:r w:rsidRPr="00AC724E">
        <w:rPr>
          <w:rFonts w:ascii="Arial" w:hAnsi="Arial" w:cs="Arial"/>
        </w:rPr>
        <w:t xml:space="preserve"> c.2518C&gt;T (L840F) alleles was designed using the </w:t>
      </w:r>
      <w:proofErr w:type="spellStart"/>
      <w:r w:rsidRPr="00AC724E">
        <w:rPr>
          <w:rFonts w:ascii="Arial" w:hAnsi="Arial" w:cs="Arial"/>
        </w:rPr>
        <w:t>Thermofisher</w:t>
      </w:r>
      <w:proofErr w:type="spellEnd"/>
      <w:r w:rsidRPr="00AC724E">
        <w:rPr>
          <w:rFonts w:ascii="Arial" w:hAnsi="Arial" w:cs="Arial"/>
        </w:rPr>
        <w:t xml:space="preserve"> online Design Tool (oligonucleotides and probes </w:t>
      </w:r>
      <w:r w:rsidR="00C71F57" w:rsidRPr="00AC724E">
        <w:rPr>
          <w:rFonts w:ascii="Arial" w:hAnsi="Arial" w:cs="Arial"/>
        </w:rPr>
        <w:t>are show</w:t>
      </w:r>
      <w:bookmarkStart w:id="0" w:name="_GoBack"/>
      <w:bookmarkEnd w:id="0"/>
      <w:r w:rsidR="00C71F57" w:rsidRPr="00AC724E">
        <w:rPr>
          <w:rFonts w:ascii="Arial" w:hAnsi="Arial" w:cs="Arial"/>
        </w:rPr>
        <w:t xml:space="preserve">n </w:t>
      </w:r>
      <w:r w:rsidR="00AC0534" w:rsidRPr="00AC724E">
        <w:rPr>
          <w:rFonts w:ascii="Arial" w:hAnsi="Arial" w:cs="Arial"/>
        </w:rPr>
        <w:t xml:space="preserve">in </w:t>
      </w:r>
      <w:r w:rsidR="00D70532" w:rsidRPr="00AC724E">
        <w:rPr>
          <w:rFonts w:ascii="Arial" w:hAnsi="Arial" w:cs="Arial"/>
        </w:rPr>
        <w:t>below</w:t>
      </w:r>
      <w:r w:rsidRPr="00AC724E">
        <w:rPr>
          <w:rFonts w:ascii="Arial" w:hAnsi="Arial" w:cs="Arial"/>
        </w:rPr>
        <w:t>).</w:t>
      </w:r>
      <w:r w:rsidR="00D70532" w:rsidRPr="00AC724E">
        <w:rPr>
          <w:rFonts w:ascii="Arial" w:hAnsi="Arial" w:cs="Arial"/>
        </w:rPr>
        <w:t xml:space="preserve"> </w:t>
      </w:r>
      <w:proofErr w:type="spellStart"/>
      <w:r w:rsidR="00D70532" w:rsidRPr="00AC724E">
        <w:rPr>
          <w:rFonts w:ascii="Arial" w:hAnsi="Arial" w:cs="Arial"/>
        </w:rPr>
        <w:t>TaqMan</w:t>
      </w:r>
      <w:proofErr w:type="spellEnd"/>
      <w:r w:rsidR="00D70532" w:rsidRPr="00AC724E">
        <w:rPr>
          <w:rFonts w:ascii="Arial" w:hAnsi="Arial" w:cs="Arial"/>
        </w:rPr>
        <w:t xml:space="preserve">® MGB (minor groove binder) probes incorporate a 5' reporter (VIC or FAM) and a 3' </w:t>
      </w:r>
      <w:proofErr w:type="spellStart"/>
      <w:r w:rsidR="00D70532" w:rsidRPr="00AC724E">
        <w:rPr>
          <w:rFonts w:ascii="Arial" w:hAnsi="Arial" w:cs="Arial"/>
        </w:rPr>
        <w:t>nonfluorescent</w:t>
      </w:r>
      <w:proofErr w:type="spellEnd"/>
      <w:r w:rsidR="00D70532" w:rsidRPr="00AC724E">
        <w:rPr>
          <w:rFonts w:ascii="Arial" w:hAnsi="Arial" w:cs="Arial"/>
        </w:rPr>
        <w:t xml:space="preserve"> quencher (NFQ).</w:t>
      </w:r>
    </w:p>
    <w:p w14:paraId="7C378D17" w14:textId="77777777" w:rsidR="00D70532" w:rsidRPr="00AC724E" w:rsidRDefault="00D70532" w:rsidP="00D70532">
      <w:pPr>
        <w:spacing w:before="120" w:after="120"/>
        <w:rPr>
          <w:rFonts w:ascii="Arial" w:hAnsi="Arial" w:cs="Arial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03"/>
        <w:gridCol w:w="2163"/>
        <w:gridCol w:w="4096"/>
        <w:gridCol w:w="1564"/>
        <w:gridCol w:w="1564"/>
      </w:tblGrid>
      <w:tr w:rsidR="00D70532" w:rsidRPr="00AC724E" w14:paraId="245308C7" w14:textId="77777777" w:rsidTr="009F7824">
        <w:trPr>
          <w:trHeight w:val="332"/>
        </w:trPr>
        <w:tc>
          <w:tcPr>
            <w:tcW w:w="518" w:type="pct"/>
            <w:vAlign w:val="center"/>
          </w:tcPr>
          <w:p w14:paraId="7A2CA197" w14:textId="77777777" w:rsidR="00D70532" w:rsidRPr="00AC724E" w:rsidRDefault="00D70532" w:rsidP="009F7824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AC724E">
              <w:rPr>
                <w:rFonts w:ascii="Arial" w:hAnsi="Arial" w:cs="Arial"/>
                <w:b/>
              </w:rPr>
              <w:t>Assay ID</w:t>
            </w:r>
          </w:p>
        </w:tc>
        <w:tc>
          <w:tcPr>
            <w:tcW w:w="809" w:type="pct"/>
            <w:vAlign w:val="center"/>
          </w:tcPr>
          <w:p w14:paraId="1D400FF9" w14:textId="77777777" w:rsidR="00D70532" w:rsidRPr="00AC724E" w:rsidRDefault="00D70532" w:rsidP="009F7824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AC724E">
              <w:rPr>
                <w:rFonts w:ascii="Arial" w:hAnsi="Arial" w:cs="Arial"/>
                <w:b/>
              </w:rPr>
              <w:t>Oligonucleotides</w:t>
            </w:r>
          </w:p>
        </w:tc>
        <w:tc>
          <w:tcPr>
            <w:tcW w:w="1071" w:type="pct"/>
          </w:tcPr>
          <w:p w14:paraId="3DB18F82" w14:textId="77777777" w:rsidR="00D70532" w:rsidRPr="00AC724E" w:rsidRDefault="00D70532" w:rsidP="009F7824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AC724E">
              <w:rPr>
                <w:rFonts w:ascii="Arial" w:hAnsi="Arial" w:cs="Arial"/>
                <w:b/>
              </w:rPr>
              <w:t>Sequence</w:t>
            </w:r>
          </w:p>
        </w:tc>
        <w:tc>
          <w:tcPr>
            <w:tcW w:w="1301" w:type="pct"/>
            <w:vAlign w:val="center"/>
          </w:tcPr>
          <w:p w14:paraId="5FDB5613" w14:textId="77777777" w:rsidR="00D70532" w:rsidRPr="00AC724E" w:rsidRDefault="00D70532" w:rsidP="009F7824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AC724E">
              <w:rPr>
                <w:rFonts w:ascii="Arial" w:hAnsi="Arial" w:cs="Arial"/>
                <w:b/>
              </w:rPr>
              <w:t>5´ Reporter</w:t>
            </w:r>
          </w:p>
        </w:tc>
        <w:tc>
          <w:tcPr>
            <w:tcW w:w="1301" w:type="pct"/>
          </w:tcPr>
          <w:p w14:paraId="7C820DA9" w14:textId="77777777" w:rsidR="00D70532" w:rsidRPr="00AC724E" w:rsidRDefault="00D70532" w:rsidP="009F7824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AC724E">
              <w:rPr>
                <w:rFonts w:ascii="Arial" w:hAnsi="Arial" w:cs="Arial"/>
                <w:b/>
              </w:rPr>
              <w:t>3´ Reporter</w:t>
            </w:r>
          </w:p>
        </w:tc>
      </w:tr>
      <w:tr w:rsidR="00D70532" w:rsidRPr="00AC724E" w14:paraId="24864B50" w14:textId="77777777" w:rsidTr="009F7824">
        <w:trPr>
          <w:trHeight w:val="332"/>
        </w:trPr>
        <w:tc>
          <w:tcPr>
            <w:tcW w:w="518" w:type="pct"/>
            <w:vMerge w:val="restart"/>
            <w:vAlign w:val="center"/>
          </w:tcPr>
          <w:p w14:paraId="208481DA" w14:textId="77777777" w:rsidR="00D70532" w:rsidRPr="00AC724E" w:rsidRDefault="00D70532" w:rsidP="009F7824">
            <w:pPr>
              <w:snapToGrid w:val="0"/>
              <w:spacing w:before="120" w:after="120"/>
              <w:jc w:val="center"/>
              <w:rPr>
                <w:rFonts w:ascii="Arial" w:hAnsi="Arial" w:cs="Arial"/>
              </w:rPr>
            </w:pPr>
            <w:r w:rsidRPr="00AC724E">
              <w:rPr>
                <w:rFonts w:ascii="Arial" w:hAnsi="Arial" w:cs="Arial"/>
              </w:rPr>
              <w:t xml:space="preserve">AHRSSQR        </w:t>
            </w:r>
          </w:p>
        </w:tc>
        <w:tc>
          <w:tcPr>
            <w:tcW w:w="809" w:type="pct"/>
            <w:vAlign w:val="center"/>
          </w:tcPr>
          <w:p w14:paraId="16764D95" w14:textId="77777777" w:rsidR="00D70532" w:rsidRPr="00AC724E" w:rsidRDefault="00D70532" w:rsidP="009F7824">
            <w:pPr>
              <w:snapToGrid w:val="0"/>
              <w:spacing w:before="120" w:after="120"/>
              <w:jc w:val="center"/>
              <w:rPr>
                <w:rFonts w:ascii="Arial" w:hAnsi="Arial" w:cs="Arial"/>
              </w:rPr>
            </w:pPr>
            <w:r w:rsidRPr="00AC724E">
              <w:rPr>
                <w:rFonts w:ascii="Arial" w:hAnsi="Arial" w:cs="Arial"/>
              </w:rPr>
              <w:t>primer forward</w:t>
            </w:r>
          </w:p>
        </w:tc>
        <w:tc>
          <w:tcPr>
            <w:tcW w:w="1071" w:type="pct"/>
          </w:tcPr>
          <w:p w14:paraId="538B083F" w14:textId="77777777" w:rsidR="00D70532" w:rsidRPr="00AC724E" w:rsidRDefault="00D70532" w:rsidP="009F7824">
            <w:pPr>
              <w:snapToGrid w:val="0"/>
              <w:spacing w:before="120" w:after="120"/>
              <w:jc w:val="center"/>
              <w:rPr>
                <w:rFonts w:ascii="Arial" w:hAnsi="Arial" w:cs="Arial"/>
              </w:rPr>
            </w:pPr>
            <w:r w:rsidRPr="00AC724E">
              <w:rPr>
                <w:rFonts w:ascii="Arial" w:hAnsi="Arial" w:cs="Arial"/>
              </w:rPr>
              <w:t>CTTGTTGCTGTTGTTGTTGACTCT</w:t>
            </w:r>
          </w:p>
        </w:tc>
        <w:tc>
          <w:tcPr>
            <w:tcW w:w="1301" w:type="pct"/>
            <w:vAlign w:val="center"/>
          </w:tcPr>
          <w:p w14:paraId="17C83ECB" w14:textId="77777777" w:rsidR="00D70532" w:rsidRPr="00AC724E" w:rsidRDefault="00D70532" w:rsidP="009F7824">
            <w:pPr>
              <w:snapToGrid w:val="0"/>
              <w:spacing w:before="120" w:after="120"/>
              <w:jc w:val="center"/>
              <w:rPr>
                <w:rFonts w:ascii="Arial" w:hAnsi="Arial" w:cs="Arial"/>
              </w:rPr>
            </w:pPr>
            <w:r w:rsidRPr="00AC724E">
              <w:rPr>
                <w:rFonts w:ascii="Arial" w:hAnsi="Arial" w:cs="Arial"/>
              </w:rPr>
              <w:t>-</w:t>
            </w:r>
          </w:p>
        </w:tc>
        <w:tc>
          <w:tcPr>
            <w:tcW w:w="1301" w:type="pct"/>
          </w:tcPr>
          <w:p w14:paraId="781DA66B" w14:textId="77777777" w:rsidR="00D70532" w:rsidRPr="00AC724E" w:rsidRDefault="00D70532" w:rsidP="009F7824">
            <w:pPr>
              <w:snapToGrid w:val="0"/>
              <w:spacing w:before="120" w:after="120"/>
              <w:jc w:val="center"/>
              <w:rPr>
                <w:rFonts w:ascii="Arial" w:hAnsi="Arial" w:cs="Arial"/>
              </w:rPr>
            </w:pPr>
            <w:r w:rsidRPr="00AC724E">
              <w:rPr>
                <w:rFonts w:ascii="Arial" w:hAnsi="Arial" w:cs="Arial"/>
              </w:rPr>
              <w:t>-</w:t>
            </w:r>
          </w:p>
        </w:tc>
      </w:tr>
      <w:tr w:rsidR="00D70532" w:rsidRPr="00AC724E" w14:paraId="59A2B50D" w14:textId="77777777" w:rsidTr="009F7824">
        <w:trPr>
          <w:trHeight w:val="332"/>
        </w:trPr>
        <w:tc>
          <w:tcPr>
            <w:tcW w:w="518" w:type="pct"/>
            <w:vMerge/>
            <w:vAlign w:val="center"/>
          </w:tcPr>
          <w:p w14:paraId="4F03FA07" w14:textId="77777777" w:rsidR="00D70532" w:rsidRPr="00AC724E" w:rsidRDefault="00D70532" w:rsidP="009F7824">
            <w:pPr>
              <w:snapToGrid w:val="0"/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809" w:type="pct"/>
            <w:vAlign w:val="center"/>
          </w:tcPr>
          <w:p w14:paraId="669BC0B2" w14:textId="77777777" w:rsidR="00D70532" w:rsidRPr="00AC724E" w:rsidRDefault="00D70532" w:rsidP="009F7824">
            <w:pPr>
              <w:snapToGrid w:val="0"/>
              <w:spacing w:before="120" w:after="120"/>
              <w:jc w:val="center"/>
              <w:rPr>
                <w:rFonts w:ascii="Arial" w:hAnsi="Arial" w:cs="Arial"/>
              </w:rPr>
            </w:pPr>
            <w:r w:rsidRPr="00AC724E">
              <w:rPr>
                <w:rFonts w:ascii="Arial" w:hAnsi="Arial" w:cs="Arial"/>
              </w:rPr>
              <w:t>primer reverse</w:t>
            </w:r>
          </w:p>
        </w:tc>
        <w:tc>
          <w:tcPr>
            <w:tcW w:w="1071" w:type="pct"/>
          </w:tcPr>
          <w:p w14:paraId="003C6AEC" w14:textId="77777777" w:rsidR="00D70532" w:rsidRPr="00AC724E" w:rsidRDefault="00D70532" w:rsidP="009F7824">
            <w:pPr>
              <w:snapToGrid w:val="0"/>
              <w:spacing w:before="120" w:after="120"/>
              <w:jc w:val="center"/>
              <w:rPr>
                <w:rFonts w:ascii="Arial" w:hAnsi="Arial" w:cs="Arial"/>
              </w:rPr>
            </w:pPr>
            <w:r w:rsidRPr="00AC724E">
              <w:rPr>
                <w:rFonts w:ascii="Arial" w:hAnsi="Arial" w:cs="Arial"/>
              </w:rPr>
              <w:t>GCTTCAATCACTTGGCCAAAGG</w:t>
            </w:r>
          </w:p>
        </w:tc>
        <w:tc>
          <w:tcPr>
            <w:tcW w:w="1301" w:type="pct"/>
            <w:vAlign w:val="center"/>
          </w:tcPr>
          <w:p w14:paraId="28DE95AF" w14:textId="77777777" w:rsidR="00D70532" w:rsidRPr="00AC724E" w:rsidRDefault="00D70532" w:rsidP="009F7824">
            <w:pPr>
              <w:snapToGrid w:val="0"/>
              <w:spacing w:before="120" w:after="120"/>
              <w:jc w:val="center"/>
              <w:rPr>
                <w:rFonts w:ascii="Arial" w:hAnsi="Arial" w:cs="Arial"/>
              </w:rPr>
            </w:pPr>
            <w:r w:rsidRPr="00AC724E">
              <w:rPr>
                <w:rFonts w:ascii="Arial" w:hAnsi="Arial" w:cs="Arial"/>
              </w:rPr>
              <w:t>-</w:t>
            </w:r>
          </w:p>
        </w:tc>
        <w:tc>
          <w:tcPr>
            <w:tcW w:w="1301" w:type="pct"/>
          </w:tcPr>
          <w:p w14:paraId="7E212C05" w14:textId="77777777" w:rsidR="00D70532" w:rsidRPr="00AC724E" w:rsidRDefault="00D70532" w:rsidP="009F7824">
            <w:pPr>
              <w:snapToGrid w:val="0"/>
              <w:spacing w:before="120" w:after="120"/>
              <w:jc w:val="center"/>
              <w:rPr>
                <w:rFonts w:ascii="Arial" w:hAnsi="Arial" w:cs="Arial"/>
              </w:rPr>
            </w:pPr>
            <w:r w:rsidRPr="00AC724E">
              <w:rPr>
                <w:rFonts w:ascii="Arial" w:hAnsi="Arial" w:cs="Arial"/>
              </w:rPr>
              <w:t>-</w:t>
            </w:r>
          </w:p>
        </w:tc>
      </w:tr>
      <w:tr w:rsidR="00D70532" w:rsidRPr="00AC724E" w14:paraId="2A572C2F" w14:textId="77777777" w:rsidTr="009F7824">
        <w:trPr>
          <w:trHeight w:val="332"/>
        </w:trPr>
        <w:tc>
          <w:tcPr>
            <w:tcW w:w="518" w:type="pct"/>
            <w:vMerge/>
            <w:vAlign w:val="center"/>
          </w:tcPr>
          <w:p w14:paraId="520889AA" w14:textId="77777777" w:rsidR="00D70532" w:rsidRPr="00AC724E" w:rsidRDefault="00D70532" w:rsidP="009F7824">
            <w:pPr>
              <w:snapToGrid w:val="0"/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809" w:type="pct"/>
            <w:vAlign w:val="center"/>
          </w:tcPr>
          <w:p w14:paraId="2C9625B6" w14:textId="77777777" w:rsidR="00D70532" w:rsidRPr="00AC724E" w:rsidRDefault="00D70532" w:rsidP="009F7824">
            <w:pPr>
              <w:snapToGrid w:val="0"/>
              <w:spacing w:before="120" w:after="120"/>
              <w:jc w:val="center"/>
              <w:rPr>
                <w:rFonts w:ascii="Arial" w:hAnsi="Arial" w:cs="Arial"/>
              </w:rPr>
            </w:pPr>
            <w:r w:rsidRPr="00AC724E">
              <w:rPr>
                <w:rFonts w:ascii="Arial" w:hAnsi="Arial" w:cs="Arial"/>
              </w:rPr>
              <w:t xml:space="preserve">probe </w:t>
            </w:r>
            <w:proofErr w:type="spellStart"/>
            <w:r w:rsidRPr="00AC724E">
              <w:rPr>
                <w:rFonts w:ascii="Arial" w:hAnsi="Arial" w:cs="Arial"/>
              </w:rPr>
              <w:t>wt</w:t>
            </w:r>
            <w:proofErr w:type="spellEnd"/>
          </w:p>
        </w:tc>
        <w:tc>
          <w:tcPr>
            <w:tcW w:w="1071" w:type="pct"/>
          </w:tcPr>
          <w:p w14:paraId="173180A0" w14:textId="77777777" w:rsidR="00D70532" w:rsidRPr="00AC724E" w:rsidRDefault="00D70532" w:rsidP="009F7824">
            <w:pPr>
              <w:snapToGrid w:val="0"/>
              <w:spacing w:before="120" w:after="120"/>
              <w:jc w:val="center"/>
              <w:rPr>
                <w:rFonts w:ascii="Arial" w:hAnsi="Arial" w:cs="Arial"/>
              </w:rPr>
            </w:pPr>
            <w:r w:rsidRPr="00AC724E">
              <w:rPr>
                <w:rFonts w:ascii="Arial" w:hAnsi="Arial" w:cs="Arial"/>
              </w:rPr>
              <w:t>CGGCCAA</w:t>
            </w:r>
            <w:r w:rsidRPr="00AC724E">
              <w:rPr>
                <w:rFonts w:ascii="Arial" w:hAnsi="Arial" w:cs="Arial"/>
                <w:b/>
                <w:u w:val="single"/>
              </w:rPr>
              <w:t>G</w:t>
            </w:r>
            <w:r w:rsidRPr="00AC724E">
              <w:rPr>
                <w:rFonts w:ascii="Arial" w:hAnsi="Arial" w:cs="Arial"/>
              </w:rPr>
              <w:t>AGGCTTA</w:t>
            </w:r>
          </w:p>
        </w:tc>
        <w:tc>
          <w:tcPr>
            <w:tcW w:w="1301" w:type="pct"/>
            <w:vAlign w:val="center"/>
          </w:tcPr>
          <w:p w14:paraId="612034DE" w14:textId="77777777" w:rsidR="00D70532" w:rsidRPr="00AC724E" w:rsidRDefault="00D70532" w:rsidP="009F7824">
            <w:pPr>
              <w:snapToGrid w:val="0"/>
              <w:spacing w:before="120" w:after="120"/>
              <w:jc w:val="center"/>
              <w:rPr>
                <w:rFonts w:ascii="Arial" w:hAnsi="Arial" w:cs="Arial"/>
              </w:rPr>
            </w:pPr>
            <w:r w:rsidRPr="00AC724E">
              <w:rPr>
                <w:rFonts w:ascii="Arial" w:hAnsi="Arial" w:cs="Arial"/>
              </w:rPr>
              <w:t>VIC</w:t>
            </w:r>
          </w:p>
        </w:tc>
        <w:tc>
          <w:tcPr>
            <w:tcW w:w="1301" w:type="pct"/>
          </w:tcPr>
          <w:p w14:paraId="2B991213" w14:textId="77777777" w:rsidR="00D70532" w:rsidRPr="00AC724E" w:rsidRDefault="00D70532" w:rsidP="009F7824">
            <w:pPr>
              <w:snapToGrid w:val="0"/>
              <w:spacing w:before="120" w:after="120"/>
              <w:jc w:val="center"/>
              <w:rPr>
                <w:rFonts w:ascii="Arial" w:hAnsi="Arial" w:cs="Arial"/>
              </w:rPr>
            </w:pPr>
            <w:r w:rsidRPr="00AC724E">
              <w:rPr>
                <w:rFonts w:ascii="Arial" w:hAnsi="Arial" w:cs="Arial"/>
              </w:rPr>
              <w:t>NFQ</w:t>
            </w:r>
          </w:p>
        </w:tc>
      </w:tr>
      <w:tr w:rsidR="00D70532" w:rsidRPr="00AC724E" w14:paraId="65843468" w14:textId="77777777" w:rsidTr="009F7824">
        <w:trPr>
          <w:trHeight w:val="332"/>
        </w:trPr>
        <w:tc>
          <w:tcPr>
            <w:tcW w:w="518" w:type="pct"/>
            <w:vMerge/>
            <w:vAlign w:val="center"/>
          </w:tcPr>
          <w:p w14:paraId="6D46D346" w14:textId="77777777" w:rsidR="00D70532" w:rsidRPr="00AC724E" w:rsidRDefault="00D70532" w:rsidP="009F7824">
            <w:pPr>
              <w:snapToGrid w:val="0"/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809" w:type="pct"/>
            <w:vAlign w:val="center"/>
          </w:tcPr>
          <w:p w14:paraId="51241A37" w14:textId="77777777" w:rsidR="00D70532" w:rsidRPr="00AC724E" w:rsidRDefault="00D70532" w:rsidP="009F7824">
            <w:pPr>
              <w:snapToGrid w:val="0"/>
              <w:spacing w:before="120" w:after="120"/>
              <w:jc w:val="center"/>
              <w:rPr>
                <w:rFonts w:ascii="Arial" w:hAnsi="Arial" w:cs="Arial"/>
              </w:rPr>
            </w:pPr>
            <w:r w:rsidRPr="00AC724E">
              <w:rPr>
                <w:rFonts w:ascii="Arial" w:hAnsi="Arial" w:cs="Arial"/>
              </w:rPr>
              <w:t>probe L840F</w:t>
            </w:r>
          </w:p>
        </w:tc>
        <w:tc>
          <w:tcPr>
            <w:tcW w:w="1071" w:type="pct"/>
          </w:tcPr>
          <w:p w14:paraId="710E9E7F" w14:textId="77777777" w:rsidR="00D70532" w:rsidRPr="00AC724E" w:rsidRDefault="00D70532" w:rsidP="009F7824">
            <w:pPr>
              <w:snapToGrid w:val="0"/>
              <w:spacing w:before="120" w:after="120"/>
              <w:jc w:val="center"/>
              <w:rPr>
                <w:rFonts w:ascii="Arial" w:hAnsi="Arial" w:cs="Arial"/>
              </w:rPr>
            </w:pPr>
            <w:r w:rsidRPr="00AC724E">
              <w:rPr>
                <w:rFonts w:ascii="Arial" w:hAnsi="Arial" w:cs="Arial"/>
              </w:rPr>
              <w:t>CGGCCAA</w:t>
            </w:r>
            <w:r w:rsidRPr="00AC724E">
              <w:rPr>
                <w:rFonts w:ascii="Arial" w:hAnsi="Arial" w:cs="Arial"/>
                <w:b/>
                <w:u w:val="single"/>
              </w:rPr>
              <w:t>A</w:t>
            </w:r>
            <w:r w:rsidRPr="00AC724E">
              <w:rPr>
                <w:rFonts w:ascii="Arial" w:hAnsi="Arial" w:cs="Arial"/>
              </w:rPr>
              <w:t>AGGCTTA</w:t>
            </w:r>
          </w:p>
        </w:tc>
        <w:tc>
          <w:tcPr>
            <w:tcW w:w="1301" w:type="pct"/>
            <w:vAlign w:val="center"/>
          </w:tcPr>
          <w:p w14:paraId="58E36B44" w14:textId="77777777" w:rsidR="00D70532" w:rsidRPr="00AC724E" w:rsidRDefault="00D70532" w:rsidP="009F7824">
            <w:pPr>
              <w:snapToGrid w:val="0"/>
              <w:spacing w:before="120" w:after="120"/>
              <w:jc w:val="center"/>
              <w:rPr>
                <w:rFonts w:ascii="Arial" w:hAnsi="Arial" w:cs="Arial"/>
              </w:rPr>
            </w:pPr>
            <w:r w:rsidRPr="00AC724E">
              <w:rPr>
                <w:rFonts w:ascii="Arial" w:hAnsi="Arial" w:cs="Arial"/>
              </w:rPr>
              <w:t>FAM</w:t>
            </w:r>
          </w:p>
        </w:tc>
        <w:tc>
          <w:tcPr>
            <w:tcW w:w="1301" w:type="pct"/>
          </w:tcPr>
          <w:p w14:paraId="2796F6BB" w14:textId="77777777" w:rsidR="00D70532" w:rsidRPr="00AC724E" w:rsidRDefault="00D70532" w:rsidP="009F7824">
            <w:pPr>
              <w:snapToGrid w:val="0"/>
              <w:spacing w:before="120" w:after="120"/>
              <w:jc w:val="center"/>
              <w:rPr>
                <w:rFonts w:ascii="Arial" w:hAnsi="Arial" w:cs="Arial"/>
              </w:rPr>
            </w:pPr>
            <w:r w:rsidRPr="00AC724E">
              <w:rPr>
                <w:rFonts w:ascii="Arial" w:hAnsi="Arial" w:cs="Arial"/>
              </w:rPr>
              <w:t>NFQ</w:t>
            </w:r>
          </w:p>
        </w:tc>
      </w:tr>
    </w:tbl>
    <w:p w14:paraId="1BDB56C5" w14:textId="77777777" w:rsidR="00D70532" w:rsidRPr="00AC724E" w:rsidRDefault="00D70532" w:rsidP="00D70532">
      <w:pPr>
        <w:rPr>
          <w:rFonts w:ascii="Arial" w:hAnsi="Arial" w:cs="Arial"/>
        </w:rPr>
      </w:pPr>
    </w:p>
    <w:p w14:paraId="6C12F1B1" w14:textId="77777777" w:rsidR="00D70532" w:rsidRPr="00AC724E" w:rsidRDefault="00D70532" w:rsidP="00062D4A">
      <w:pPr>
        <w:spacing w:line="480" w:lineRule="auto"/>
        <w:jc w:val="both"/>
        <w:rPr>
          <w:rFonts w:ascii="Arial" w:hAnsi="Arial" w:cs="Arial"/>
        </w:rPr>
      </w:pPr>
    </w:p>
    <w:p w14:paraId="7138E0B4" w14:textId="3CBB3DD8" w:rsidR="00062D4A" w:rsidRPr="00AC724E" w:rsidRDefault="00062D4A" w:rsidP="00062D4A">
      <w:pPr>
        <w:pStyle w:val="ListParagraph"/>
        <w:numPr>
          <w:ilvl w:val="0"/>
          <w:numId w:val="1"/>
        </w:numPr>
        <w:spacing w:line="480" w:lineRule="auto"/>
        <w:jc w:val="both"/>
        <w:outlineLvl w:val="0"/>
        <w:rPr>
          <w:rFonts w:ascii="Arial" w:hAnsi="Arial" w:cs="Arial"/>
          <w:b/>
        </w:rPr>
      </w:pPr>
      <w:r w:rsidRPr="00AC724E">
        <w:rPr>
          <w:rFonts w:ascii="Arial" w:hAnsi="Arial" w:cs="Arial"/>
          <w:b/>
        </w:rPr>
        <w:t>Genetic/protein database and protein structur</w:t>
      </w:r>
      <w:r w:rsidR="00C71F57" w:rsidRPr="00AC724E">
        <w:rPr>
          <w:rFonts w:ascii="Arial" w:hAnsi="Arial" w:cs="Arial"/>
          <w:b/>
        </w:rPr>
        <w:t>e</w:t>
      </w:r>
      <w:r w:rsidRPr="00AC724E">
        <w:rPr>
          <w:rFonts w:ascii="Arial" w:hAnsi="Arial" w:cs="Arial"/>
          <w:b/>
        </w:rPr>
        <w:t xml:space="preserve"> analyses</w:t>
      </w:r>
    </w:p>
    <w:p w14:paraId="2E113A6D" w14:textId="6457E790" w:rsidR="00062D4A" w:rsidRPr="00AC724E" w:rsidRDefault="00C71F57" w:rsidP="00062D4A">
      <w:pPr>
        <w:spacing w:line="480" w:lineRule="auto"/>
        <w:jc w:val="both"/>
        <w:outlineLvl w:val="0"/>
        <w:rPr>
          <w:rFonts w:ascii="Arial" w:hAnsi="Arial" w:cs="Arial"/>
          <w:b/>
          <w:bCs/>
        </w:rPr>
      </w:pPr>
      <w:r w:rsidRPr="00AC724E">
        <w:rPr>
          <w:rFonts w:ascii="Arial" w:hAnsi="Arial" w:cs="Arial"/>
        </w:rPr>
        <w:t>Previously reported g</w:t>
      </w:r>
      <w:r w:rsidR="00062D4A" w:rsidRPr="00AC724E">
        <w:rPr>
          <w:rFonts w:ascii="Arial" w:hAnsi="Arial" w:cs="Arial"/>
        </w:rPr>
        <w:t xml:space="preserve">ermline and somatic variants in </w:t>
      </w:r>
      <w:r w:rsidR="00062D4A" w:rsidRPr="00AC724E">
        <w:rPr>
          <w:rFonts w:ascii="Arial" w:hAnsi="Arial" w:cs="Arial"/>
          <w:i/>
          <w:iCs/>
        </w:rPr>
        <w:t>KDR</w:t>
      </w:r>
      <w:r w:rsidR="00062D4A" w:rsidRPr="00AC724E">
        <w:rPr>
          <w:rFonts w:ascii="Arial" w:hAnsi="Arial" w:cs="Arial"/>
        </w:rPr>
        <w:t xml:space="preserve"> were retrieved from general population (EXACT</w:t>
      </w:r>
      <w:r w:rsidR="00062D4A" w:rsidRPr="00AC724E">
        <w:rPr>
          <w:rFonts w:ascii="Arial" w:hAnsi="Arial" w:cs="Arial"/>
          <w:vertAlign w:val="superscript"/>
        </w:rPr>
        <w:t>4</w:t>
      </w:r>
      <w:r w:rsidR="00062D4A" w:rsidRPr="00AC724E">
        <w:rPr>
          <w:rFonts w:ascii="Arial" w:hAnsi="Arial" w:cs="Arial"/>
        </w:rPr>
        <w:t xml:space="preserve"> and ESP</w:t>
      </w:r>
      <w:r w:rsidR="00062D4A" w:rsidRPr="00AC724E">
        <w:rPr>
          <w:rFonts w:ascii="Arial" w:hAnsi="Arial" w:cs="Arial"/>
          <w:vertAlign w:val="superscript"/>
        </w:rPr>
        <w:t>5</w:t>
      </w:r>
      <w:r w:rsidR="00062D4A" w:rsidRPr="00AC724E">
        <w:rPr>
          <w:rFonts w:ascii="Arial" w:hAnsi="Arial" w:cs="Arial"/>
        </w:rPr>
        <w:t>) and cancer (COSMIC</w:t>
      </w:r>
      <w:r w:rsidR="00062D4A" w:rsidRPr="00AC724E">
        <w:rPr>
          <w:rFonts w:ascii="Arial" w:hAnsi="Arial" w:cs="Arial"/>
          <w:vertAlign w:val="superscript"/>
        </w:rPr>
        <w:t>6</w:t>
      </w:r>
      <w:r w:rsidR="00062D4A" w:rsidRPr="00AC724E">
        <w:rPr>
          <w:rFonts w:ascii="Arial" w:hAnsi="Arial" w:cs="Arial"/>
        </w:rPr>
        <w:t>, GENIE</w:t>
      </w:r>
      <w:r w:rsidR="00062D4A" w:rsidRPr="00AC724E">
        <w:rPr>
          <w:rFonts w:ascii="Arial" w:hAnsi="Arial" w:cs="Arial"/>
          <w:vertAlign w:val="superscript"/>
        </w:rPr>
        <w:t>7</w:t>
      </w:r>
      <w:r w:rsidR="00062D4A" w:rsidRPr="00AC724E">
        <w:rPr>
          <w:rFonts w:ascii="Arial" w:hAnsi="Arial" w:cs="Arial"/>
        </w:rPr>
        <w:t>, PCAWGS</w:t>
      </w:r>
      <w:r w:rsidR="00062D4A" w:rsidRPr="00AC724E">
        <w:rPr>
          <w:rFonts w:ascii="Arial" w:hAnsi="Arial" w:cs="Arial"/>
          <w:vertAlign w:val="superscript"/>
        </w:rPr>
        <w:t>8</w:t>
      </w:r>
      <w:r w:rsidR="00062D4A" w:rsidRPr="00AC724E">
        <w:rPr>
          <w:rFonts w:ascii="Arial" w:hAnsi="Arial" w:cs="Arial"/>
        </w:rPr>
        <w:t>) sequencing public projects.</w:t>
      </w:r>
      <w:r w:rsidR="00062D4A" w:rsidRPr="00AC724E">
        <w:rPr>
          <w:rFonts w:ascii="Arial" w:hAnsi="Arial" w:cs="Arial"/>
          <w:b/>
          <w:bCs/>
        </w:rPr>
        <w:t xml:space="preserve"> </w:t>
      </w:r>
      <w:r w:rsidRPr="00AC724E">
        <w:rPr>
          <w:rFonts w:ascii="Arial" w:hAnsi="Arial" w:cs="Arial"/>
          <w:bCs/>
        </w:rPr>
        <w:t xml:space="preserve">The </w:t>
      </w:r>
      <w:r w:rsidR="00062D4A" w:rsidRPr="00AC724E">
        <w:rPr>
          <w:rFonts w:ascii="Arial" w:hAnsi="Arial" w:cs="Arial"/>
        </w:rPr>
        <w:t>VEGFR2, EGFR</w:t>
      </w:r>
      <w:r w:rsidRPr="00AC724E">
        <w:rPr>
          <w:rFonts w:ascii="Arial" w:hAnsi="Arial" w:cs="Arial"/>
        </w:rPr>
        <w:t>,</w:t>
      </w:r>
      <w:r w:rsidR="00062D4A" w:rsidRPr="00AC724E">
        <w:rPr>
          <w:rFonts w:ascii="Arial" w:hAnsi="Arial" w:cs="Arial"/>
        </w:rPr>
        <w:t xml:space="preserve"> and ABL1 protein structures were obtained from the RCSB data bank; structurally analogous mutations in other cancer-relevant kinases were identified using MutationAligner</w:t>
      </w:r>
      <w:r w:rsidR="00062D4A" w:rsidRPr="00AC724E">
        <w:rPr>
          <w:rFonts w:ascii="Arial" w:hAnsi="Arial" w:cs="Arial"/>
          <w:vertAlign w:val="superscript"/>
        </w:rPr>
        <w:t>9</w:t>
      </w:r>
      <w:r w:rsidR="00062D4A" w:rsidRPr="00AC724E">
        <w:rPr>
          <w:rFonts w:ascii="Arial" w:hAnsi="Arial" w:cs="Arial"/>
        </w:rPr>
        <w:t xml:space="preserve">; </w:t>
      </w:r>
      <w:r w:rsidRPr="00AC724E">
        <w:rPr>
          <w:rFonts w:ascii="Arial" w:hAnsi="Arial" w:cs="Arial"/>
        </w:rPr>
        <w:t xml:space="preserve">kinase </w:t>
      </w:r>
      <w:r w:rsidR="00062D4A" w:rsidRPr="00AC724E">
        <w:rPr>
          <w:rFonts w:ascii="Arial" w:hAnsi="Arial" w:cs="Arial"/>
        </w:rPr>
        <w:t xml:space="preserve">residues </w:t>
      </w:r>
      <w:r w:rsidRPr="00AC724E">
        <w:rPr>
          <w:rFonts w:ascii="Arial" w:hAnsi="Arial" w:cs="Arial"/>
        </w:rPr>
        <w:t xml:space="preserve">interacting with </w:t>
      </w:r>
      <w:r w:rsidR="00062D4A" w:rsidRPr="00AC724E">
        <w:rPr>
          <w:rFonts w:ascii="Arial" w:hAnsi="Arial" w:cs="Arial"/>
        </w:rPr>
        <w:t>kinase inhibitors were mapped using</w:t>
      </w:r>
      <w:r w:rsidRPr="00AC724E">
        <w:rPr>
          <w:rFonts w:ascii="Arial" w:hAnsi="Arial" w:cs="Arial"/>
        </w:rPr>
        <w:t xml:space="preserve"> the</w:t>
      </w:r>
      <w:r w:rsidR="00062D4A" w:rsidRPr="00AC724E">
        <w:rPr>
          <w:rFonts w:ascii="Arial" w:hAnsi="Arial" w:cs="Arial"/>
        </w:rPr>
        <w:t xml:space="preserve"> LigPlot</w:t>
      </w:r>
      <w:r w:rsidR="00062D4A" w:rsidRPr="00AC724E">
        <w:rPr>
          <w:rFonts w:ascii="Arial" w:hAnsi="Arial" w:cs="Arial"/>
          <w:vertAlign w:val="superscript"/>
        </w:rPr>
        <w:t>10</w:t>
      </w:r>
      <w:r w:rsidR="00062D4A" w:rsidRPr="00AC724E">
        <w:rPr>
          <w:rFonts w:ascii="Arial" w:hAnsi="Arial" w:cs="Arial"/>
        </w:rPr>
        <w:t xml:space="preserve"> software. Computational modeling of</w:t>
      </w:r>
      <w:r w:rsidRPr="00AC724E">
        <w:rPr>
          <w:rFonts w:ascii="Arial" w:hAnsi="Arial" w:cs="Arial"/>
        </w:rPr>
        <w:t xml:space="preserve"> inhibitor binding to WT and L840F</w:t>
      </w:r>
      <w:r w:rsidR="00062D4A" w:rsidRPr="00AC724E">
        <w:rPr>
          <w:rFonts w:ascii="Arial" w:hAnsi="Arial" w:cs="Arial"/>
        </w:rPr>
        <w:t xml:space="preserve"> </w:t>
      </w:r>
      <w:r w:rsidR="0023683D" w:rsidRPr="00AC724E">
        <w:rPr>
          <w:rFonts w:ascii="Arial" w:hAnsi="Arial" w:cs="Arial"/>
        </w:rPr>
        <w:t>VEGFR2</w:t>
      </w:r>
      <w:r w:rsidR="00062D4A" w:rsidRPr="00AC724E">
        <w:rPr>
          <w:rFonts w:ascii="Arial" w:hAnsi="Arial" w:cs="Arial"/>
        </w:rPr>
        <w:t xml:space="preserve"> was performed as previously </w:t>
      </w:r>
      <w:r w:rsidRPr="00AC724E">
        <w:rPr>
          <w:rFonts w:ascii="Arial" w:hAnsi="Arial" w:cs="Arial"/>
        </w:rPr>
        <w:t>described</w:t>
      </w:r>
      <w:r w:rsidR="00F6738D" w:rsidRPr="00AC724E">
        <w:rPr>
          <w:rFonts w:ascii="Arial" w:hAnsi="Arial" w:cs="Arial"/>
        </w:rPr>
        <w:t>.</w:t>
      </w:r>
    </w:p>
    <w:p w14:paraId="65FB23C3" w14:textId="7DC9601B" w:rsidR="00062D4A" w:rsidRPr="00AC724E" w:rsidRDefault="00062D4A" w:rsidP="00062D4A">
      <w:pPr>
        <w:pStyle w:val="ListParagraph"/>
        <w:numPr>
          <w:ilvl w:val="0"/>
          <w:numId w:val="1"/>
        </w:numPr>
        <w:spacing w:line="480" w:lineRule="auto"/>
        <w:jc w:val="both"/>
        <w:outlineLvl w:val="0"/>
        <w:rPr>
          <w:rFonts w:ascii="Arial" w:hAnsi="Arial" w:cs="Arial"/>
          <w:b/>
          <w:bCs/>
        </w:rPr>
      </w:pPr>
      <w:r w:rsidRPr="00AC724E">
        <w:rPr>
          <w:rFonts w:ascii="Arial" w:hAnsi="Arial" w:cs="Arial"/>
          <w:b/>
          <w:bCs/>
        </w:rPr>
        <w:t>Generation and treatment of the Avatar patient-derived xenograft</w:t>
      </w:r>
      <w:r w:rsidR="00BF0748" w:rsidRPr="00AC724E">
        <w:rPr>
          <w:rFonts w:ascii="Arial" w:hAnsi="Arial" w:cs="Arial"/>
          <w:b/>
          <w:bCs/>
        </w:rPr>
        <w:t xml:space="preserve"> (PDX)</w:t>
      </w:r>
      <w:r w:rsidRPr="00AC724E">
        <w:rPr>
          <w:rFonts w:ascii="Arial" w:hAnsi="Arial" w:cs="Arial"/>
          <w:b/>
          <w:bCs/>
        </w:rPr>
        <w:t xml:space="preserve"> model</w:t>
      </w:r>
    </w:p>
    <w:p w14:paraId="6E97EA92" w14:textId="20EB9C5D" w:rsidR="00062D4A" w:rsidRPr="00AC724E" w:rsidRDefault="00062D4A" w:rsidP="00062D4A">
      <w:pPr>
        <w:spacing w:line="480" w:lineRule="auto"/>
        <w:jc w:val="both"/>
        <w:rPr>
          <w:rFonts w:ascii="Arial" w:hAnsi="Arial" w:cs="Arial"/>
        </w:rPr>
      </w:pPr>
      <w:r w:rsidRPr="00AC724E">
        <w:rPr>
          <w:rFonts w:ascii="Arial" w:hAnsi="Arial" w:cs="Arial"/>
        </w:rPr>
        <w:t xml:space="preserve">Liver metastasis biopsy was performed after tumor progression to </w:t>
      </w:r>
      <w:proofErr w:type="spellStart"/>
      <w:r w:rsidRPr="00AC724E">
        <w:rPr>
          <w:rFonts w:ascii="Arial" w:hAnsi="Arial" w:cs="Arial"/>
        </w:rPr>
        <w:t>capecitabine</w:t>
      </w:r>
      <w:proofErr w:type="spellEnd"/>
      <w:r w:rsidRPr="00AC724E">
        <w:rPr>
          <w:rFonts w:ascii="Arial" w:hAnsi="Arial" w:cs="Arial"/>
        </w:rPr>
        <w:t xml:space="preserve">-bevacizumab </w:t>
      </w:r>
      <w:proofErr w:type="spellStart"/>
      <w:r w:rsidRPr="00AC724E">
        <w:rPr>
          <w:rFonts w:ascii="Arial" w:hAnsi="Arial" w:cs="Arial"/>
        </w:rPr>
        <w:t>rechallenge</w:t>
      </w:r>
      <w:proofErr w:type="spellEnd"/>
      <w:r w:rsidRPr="00AC724E">
        <w:rPr>
          <w:rFonts w:ascii="Arial" w:hAnsi="Arial" w:cs="Arial"/>
        </w:rPr>
        <w:t xml:space="preserve"> (Figures 1 and 1S). A fraction of the biopsy was used to generate the Avatar model as previously described by our group</w:t>
      </w:r>
      <w:r w:rsidRPr="00AC724E">
        <w:rPr>
          <w:rFonts w:ascii="Arial" w:hAnsi="Arial" w:cs="Arial"/>
          <w:vertAlign w:val="superscript"/>
        </w:rPr>
        <w:t>11,12</w:t>
      </w:r>
      <w:r w:rsidRPr="00AC724E">
        <w:rPr>
          <w:rFonts w:ascii="Arial" w:hAnsi="Arial" w:cs="Arial"/>
        </w:rPr>
        <w:t xml:space="preserve">. Expanded cohorts (five to six animals per arm) were treated </w:t>
      </w:r>
      <w:r w:rsidRPr="00AC724E">
        <w:rPr>
          <w:rFonts w:ascii="Arial" w:hAnsi="Arial" w:cs="Arial"/>
        </w:rPr>
        <w:lastRenderedPageBreak/>
        <w:t>with: anti-VEGF drugs (B20/murine and bevacizumab/human)</w:t>
      </w:r>
      <w:r w:rsidR="00DD3F9B" w:rsidRPr="00AC724E">
        <w:rPr>
          <w:rFonts w:ascii="Arial" w:hAnsi="Arial" w:cs="Arial"/>
        </w:rPr>
        <w:t>,</w:t>
      </w:r>
      <w:r w:rsidRPr="00AC724E">
        <w:rPr>
          <w:rFonts w:ascii="Arial" w:hAnsi="Arial" w:cs="Arial"/>
        </w:rPr>
        <w:t xml:space="preserve"> VEGFR2 kinase inhibitors (</w:t>
      </w:r>
      <w:proofErr w:type="spellStart"/>
      <w:r w:rsidRPr="00AC724E">
        <w:rPr>
          <w:rFonts w:ascii="Arial" w:hAnsi="Arial" w:cs="Arial"/>
        </w:rPr>
        <w:t>axitinib</w:t>
      </w:r>
      <w:proofErr w:type="spellEnd"/>
      <w:r w:rsidRPr="00AC724E">
        <w:rPr>
          <w:rFonts w:ascii="Arial" w:hAnsi="Arial" w:cs="Arial"/>
        </w:rPr>
        <w:t xml:space="preserve">, </w:t>
      </w:r>
      <w:proofErr w:type="spellStart"/>
      <w:r w:rsidRPr="00AC724E">
        <w:rPr>
          <w:rFonts w:ascii="Arial" w:hAnsi="Arial" w:cs="Arial"/>
        </w:rPr>
        <w:t>cabozantinib</w:t>
      </w:r>
      <w:proofErr w:type="spellEnd"/>
      <w:r w:rsidRPr="00AC724E">
        <w:rPr>
          <w:rFonts w:ascii="Arial" w:hAnsi="Arial" w:cs="Arial"/>
        </w:rPr>
        <w:t xml:space="preserve">, </w:t>
      </w:r>
      <w:proofErr w:type="spellStart"/>
      <w:proofErr w:type="gramStart"/>
      <w:r w:rsidRPr="00AC724E">
        <w:rPr>
          <w:rFonts w:ascii="Arial" w:hAnsi="Arial" w:cs="Arial"/>
        </w:rPr>
        <w:t>cabozantinib:MEK</w:t>
      </w:r>
      <w:proofErr w:type="spellEnd"/>
      <w:proofErr w:type="gramEnd"/>
      <w:r w:rsidRPr="00AC724E">
        <w:rPr>
          <w:rFonts w:ascii="Arial" w:hAnsi="Arial" w:cs="Arial"/>
        </w:rPr>
        <w:t xml:space="preserve"> inhibitor combo, </w:t>
      </w:r>
      <w:proofErr w:type="spellStart"/>
      <w:r w:rsidRPr="00AC724E">
        <w:rPr>
          <w:rFonts w:ascii="Arial" w:hAnsi="Arial" w:cs="Arial"/>
        </w:rPr>
        <w:t>lenvantinib</w:t>
      </w:r>
      <w:proofErr w:type="spellEnd"/>
      <w:r w:rsidRPr="00AC724E">
        <w:rPr>
          <w:rFonts w:ascii="Arial" w:hAnsi="Arial" w:cs="Arial"/>
        </w:rPr>
        <w:t xml:space="preserve">, </w:t>
      </w:r>
      <w:proofErr w:type="spellStart"/>
      <w:r w:rsidRPr="00AC724E">
        <w:rPr>
          <w:rFonts w:ascii="Arial" w:hAnsi="Arial" w:cs="Arial"/>
        </w:rPr>
        <w:t>pazopanib</w:t>
      </w:r>
      <w:proofErr w:type="spellEnd"/>
      <w:r w:rsidRPr="00AC724E">
        <w:rPr>
          <w:rFonts w:ascii="Arial" w:hAnsi="Arial" w:cs="Arial"/>
        </w:rPr>
        <w:t xml:space="preserve">, </w:t>
      </w:r>
      <w:proofErr w:type="spellStart"/>
      <w:r w:rsidRPr="00AC724E">
        <w:rPr>
          <w:rFonts w:ascii="Arial" w:hAnsi="Arial" w:cs="Arial"/>
        </w:rPr>
        <w:t>regorafenib</w:t>
      </w:r>
      <w:proofErr w:type="spellEnd"/>
      <w:r w:rsidRPr="00AC724E">
        <w:rPr>
          <w:rFonts w:ascii="Arial" w:hAnsi="Arial" w:cs="Arial"/>
        </w:rPr>
        <w:t>,</w:t>
      </w:r>
      <w:r w:rsidR="00BF0748" w:rsidRPr="00AC724E">
        <w:rPr>
          <w:rFonts w:ascii="Arial" w:hAnsi="Arial" w:cs="Arial"/>
        </w:rPr>
        <w:t xml:space="preserve"> and</w:t>
      </w:r>
      <w:r w:rsidRPr="00AC724E">
        <w:rPr>
          <w:rFonts w:ascii="Arial" w:hAnsi="Arial" w:cs="Arial"/>
        </w:rPr>
        <w:t xml:space="preserve"> </w:t>
      </w:r>
      <w:proofErr w:type="spellStart"/>
      <w:r w:rsidRPr="00AC724E">
        <w:rPr>
          <w:rFonts w:ascii="Arial" w:hAnsi="Arial" w:cs="Arial"/>
        </w:rPr>
        <w:t>sorafenib</w:t>
      </w:r>
      <w:proofErr w:type="spellEnd"/>
      <w:r w:rsidRPr="00AC724E">
        <w:rPr>
          <w:rFonts w:ascii="Arial" w:hAnsi="Arial" w:cs="Arial"/>
        </w:rPr>
        <w:t>)</w:t>
      </w:r>
      <w:r w:rsidR="00DD3F9B" w:rsidRPr="00AC724E">
        <w:rPr>
          <w:rFonts w:ascii="Arial" w:hAnsi="Arial" w:cs="Arial"/>
        </w:rPr>
        <w:t>,</w:t>
      </w:r>
      <w:r w:rsidRPr="00AC724E">
        <w:rPr>
          <w:rFonts w:ascii="Arial" w:hAnsi="Arial" w:cs="Arial"/>
        </w:rPr>
        <w:t xml:space="preserve"> and inhibitors of other kinases</w:t>
      </w:r>
      <w:r w:rsidR="00DD3F9B" w:rsidRPr="00AC724E">
        <w:rPr>
          <w:rFonts w:ascii="Arial" w:hAnsi="Arial" w:cs="Arial"/>
        </w:rPr>
        <w:t>, such</w:t>
      </w:r>
      <w:r w:rsidRPr="00AC724E">
        <w:rPr>
          <w:rFonts w:ascii="Arial" w:hAnsi="Arial" w:cs="Arial"/>
        </w:rPr>
        <w:t xml:space="preserve"> as </w:t>
      </w:r>
      <w:proofErr w:type="spellStart"/>
      <w:r w:rsidRPr="00AC724E">
        <w:rPr>
          <w:rFonts w:ascii="Arial" w:hAnsi="Arial" w:cs="Arial"/>
        </w:rPr>
        <w:t>afatinib</w:t>
      </w:r>
      <w:proofErr w:type="spellEnd"/>
      <w:r w:rsidRPr="00AC724E">
        <w:rPr>
          <w:rFonts w:ascii="Arial" w:hAnsi="Arial" w:cs="Arial"/>
        </w:rPr>
        <w:t xml:space="preserve"> (EGFR), </w:t>
      </w:r>
      <w:proofErr w:type="spellStart"/>
      <w:r w:rsidRPr="00AC724E">
        <w:rPr>
          <w:rFonts w:ascii="Arial" w:hAnsi="Arial" w:cs="Arial"/>
        </w:rPr>
        <w:t>crizotinib</w:t>
      </w:r>
      <w:proofErr w:type="spellEnd"/>
      <w:r w:rsidRPr="00AC724E">
        <w:rPr>
          <w:rFonts w:ascii="Arial" w:hAnsi="Arial" w:cs="Arial"/>
        </w:rPr>
        <w:t xml:space="preserve"> (MET), and MEK inhibitor (MAPK). Information on</w:t>
      </w:r>
      <w:r w:rsidR="00DD3F9B" w:rsidRPr="00AC724E">
        <w:rPr>
          <w:rFonts w:ascii="Arial" w:hAnsi="Arial" w:cs="Arial"/>
        </w:rPr>
        <w:t xml:space="preserve"> the</w:t>
      </w:r>
      <w:r w:rsidRPr="00AC724E">
        <w:rPr>
          <w:rFonts w:ascii="Arial" w:hAnsi="Arial" w:cs="Arial"/>
        </w:rPr>
        <w:t xml:space="preserve"> treatment regimens is </w:t>
      </w:r>
      <w:r w:rsidR="00DD3F9B" w:rsidRPr="00AC724E">
        <w:rPr>
          <w:rFonts w:ascii="Arial" w:hAnsi="Arial" w:cs="Arial"/>
        </w:rPr>
        <w:t xml:space="preserve">shown </w:t>
      </w:r>
      <w:r w:rsidR="00AC724E">
        <w:rPr>
          <w:rFonts w:ascii="Arial" w:hAnsi="Arial" w:cs="Arial"/>
        </w:rPr>
        <w:t>below</w:t>
      </w:r>
      <w:r w:rsidRPr="00AC724E">
        <w:rPr>
          <w:rFonts w:ascii="Arial" w:hAnsi="Arial" w:cs="Arial"/>
        </w:rPr>
        <w:t>.</w:t>
      </w:r>
    </w:p>
    <w:p w14:paraId="468DC459" w14:textId="09DA637F" w:rsidR="00AC724E" w:rsidRPr="00AC724E" w:rsidRDefault="00AC724E" w:rsidP="00AC724E">
      <w:pPr>
        <w:spacing w:line="276" w:lineRule="auto"/>
        <w:rPr>
          <w:rFonts w:ascii="Arial" w:hAnsi="Arial" w:cs="Arial"/>
        </w:rPr>
      </w:pPr>
    </w:p>
    <w:tbl>
      <w:tblPr>
        <w:tblW w:w="5053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6"/>
        <w:gridCol w:w="2951"/>
        <w:gridCol w:w="1854"/>
        <w:gridCol w:w="1433"/>
        <w:gridCol w:w="1219"/>
        <w:gridCol w:w="1531"/>
      </w:tblGrid>
      <w:tr w:rsidR="00AC724E" w:rsidRPr="00AC724E" w14:paraId="7802BE78" w14:textId="77777777" w:rsidTr="00AC724E">
        <w:trPr>
          <w:cantSplit/>
          <w:trHeight w:val="506"/>
          <w:jc w:val="center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25B68" w14:textId="77777777" w:rsidR="00AC724E" w:rsidRPr="00AC724E" w:rsidRDefault="00AC724E" w:rsidP="009F782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AC724E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Treatment</w:t>
            </w:r>
          </w:p>
        </w:tc>
        <w:tc>
          <w:tcPr>
            <w:tcW w:w="1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96CCA" w14:textId="77777777" w:rsidR="00AC724E" w:rsidRPr="00AC724E" w:rsidRDefault="00AC724E" w:rsidP="009F782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AC724E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Company (catalog)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F4A38" w14:textId="77777777" w:rsidR="00AC724E" w:rsidRPr="00AC724E" w:rsidRDefault="00AC724E" w:rsidP="009F782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AC724E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Administration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EE8BD" w14:textId="77777777" w:rsidR="00AC724E" w:rsidRPr="00AC724E" w:rsidRDefault="00AC724E" w:rsidP="009F782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proofErr w:type="spellStart"/>
            <w:r w:rsidRPr="00AC724E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Dosis</w:t>
            </w:r>
            <w:proofErr w:type="spellEnd"/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35C73" w14:textId="77777777" w:rsidR="00AC724E" w:rsidRPr="00AC724E" w:rsidRDefault="00AC724E" w:rsidP="009F782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AC724E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Schedule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E6DAF" w14:textId="77777777" w:rsidR="00AC724E" w:rsidRPr="00AC724E" w:rsidRDefault="00AC724E" w:rsidP="009F782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AC724E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Period</w:t>
            </w:r>
          </w:p>
        </w:tc>
      </w:tr>
      <w:tr w:rsidR="00AC724E" w:rsidRPr="00AC724E" w14:paraId="14CB7F5E" w14:textId="77777777" w:rsidTr="00AC724E">
        <w:trPr>
          <w:cantSplit/>
          <w:trHeight w:val="506"/>
          <w:jc w:val="center"/>
        </w:trPr>
        <w:tc>
          <w:tcPr>
            <w:tcW w:w="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1F104" w14:textId="77777777" w:rsidR="00AC724E" w:rsidRPr="00AC724E" w:rsidRDefault="00AC724E" w:rsidP="009F7824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AC724E">
              <w:rPr>
                <w:rFonts w:ascii="Arial" w:eastAsia="Times New Roman" w:hAnsi="Arial" w:cs="Arial"/>
                <w:color w:val="000000"/>
                <w:lang w:eastAsia="es-ES"/>
              </w:rPr>
              <w:t>afatinib</w:t>
            </w:r>
            <w:proofErr w:type="spellEnd"/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7DDD4" w14:textId="77777777" w:rsidR="00AC724E" w:rsidRPr="00AC724E" w:rsidRDefault="00AC724E" w:rsidP="009F7824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AC724E">
              <w:rPr>
                <w:rFonts w:ascii="Arial" w:eastAsia="Times New Roman" w:hAnsi="Arial" w:cs="Arial"/>
                <w:color w:val="000000"/>
                <w:lang w:eastAsia="es-ES"/>
              </w:rPr>
              <w:t>MedChem</w:t>
            </w:r>
            <w:proofErr w:type="spellEnd"/>
            <w:r w:rsidRPr="00AC724E">
              <w:rPr>
                <w:rFonts w:ascii="Arial" w:eastAsia="Times New Roman" w:hAnsi="Arial" w:cs="Arial"/>
                <w:color w:val="000000"/>
                <w:lang w:eastAsia="es-ES"/>
              </w:rPr>
              <w:t xml:space="preserve"> Express (HY-10261)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5CA68" w14:textId="77777777" w:rsidR="00AC724E" w:rsidRPr="00AC724E" w:rsidRDefault="00AC724E" w:rsidP="009F7824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AC724E">
              <w:rPr>
                <w:rFonts w:ascii="Arial" w:eastAsia="Times New Roman" w:hAnsi="Arial" w:cs="Arial"/>
                <w:color w:val="000000"/>
                <w:lang w:eastAsia="es-ES"/>
              </w:rPr>
              <w:t>oral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2E10F" w14:textId="77777777" w:rsidR="00AC724E" w:rsidRPr="00AC724E" w:rsidRDefault="00AC724E" w:rsidP="009F7824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AC724E">
              <w:rPr>
                <w:rFonts w:ascii="Arial" w:eastAsia="Times New Roman" w:hAnsi="Arial" w:cs="Arial"/>
                <w:color w:val="000000"/>
                <w:lang w:eastAsia="es-ES"/>
              </w:rPr>
              <w:t>20 mg/kg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0B7DE" w14:textId="77777777" w:rsidR="00AC724E" w:rsidRPr="00AC724E" w:rsidRDefault="00AC724E" w:rsidP="009F7824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AC724E">
              <w:rPr>
                <w:rFonts w:ascii="Arial" w:eastAsia="Times New Roman" w:hAnsi="Arial" w:cs="Arial"/>
                <w:color w:val="000000"/>
                <w:lang w:eastAsia="es-ES"/>
              </w:rPr>
              <w:t>1X daily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A9B11" w14:textId="77777777" w:rsidR="00AC724E" w:rsidRPr="00AC724E" w:rsidRDefault="00AC724E" w:rsidP="009F7824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AC724E">
              <w:rPr>
                <w:rFonts w:ascii="Arial" w:eastAsia="Times New Roman" w:hAnsi="Arial" w:cs="Arial"/>
                <w:color w:val="000000"/>
                <w:lang w:eastAsia="es-ES"/>
              </w:rPr>
              <w:t>3 weeks*</w:t>
            </w:r>
          </w:p>
        </w:tc>
      </w:tr>
      <w:tr w:rsidR="00AC724E" w:rsidRPr="00AC724E" w14:paraId="0E4C279E" w14:textId="77777777" w:rsidTr="00AC724E">
        <w:trPr>
          <w:cantSplit/>
          <w:trHeight w:val="506"/>
          <w:jc w:val="center"/>
        </w:trPr>
        <w:tc>
          <w:tcPr>
            <w:tcW w:w="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208B9" w14:textId="77777777" w:rsidR="00AC724E" w:rsidRPr="00AC724E" w:rsidRDefault="00AC724E" w:rsidP="009F7824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AC724E">
              <w:rPr>
                <w:rFonts w:ascii="Arial" w:eastAsia="Times New Roman" w:hAnsi="Arial" w:cs="Arial"/>
                <w:color w:val="000000"/>
                <w:lang w:eastAsia="es-ES"/>
              </w:rPr>
              <w:t>axitinib</w:t>
            </w:r>
            <w:proofErr w:type="spellEnd"/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582CD" w14:textId="77777777" w:rsidR="00AC724E" w:rsidRPr="00AC724E" w:rsidRDefault="00AC724E" w:rsidP="009F7824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AC724E">
              <w:rPr>
                <w:rFonts w:ascii="Arial" w:eastAsia="Times New Roman" w:hAnsi="Arial" w:cs="Arial"/>
                <w:color w:val="000000"/>
                <w:lang w:eastAsia="es-ES"/>
              </w:rPr>
              <w:t>Selleckchem</w:t>
            </w:r>
            <w:proofErr w:type="spellEnd"/>
            <w:r w:rsidRPr="00AC724E">
              <w:rPr>
                <w:rFonts w:ascii="Arial" w:eastAsia="Times New Roman" w:hAnsi="Arial" w:cs="Arial"/>
                <w:color w:val="000000"/>
                <w:lang w:eastAsia="es-ES"/>
              </w:rPr>
              <w:t xml:space="preserve"> (S1005)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7CFB0" w14:textId="77777777" w:rsidR="00AC724E" w:rsidRPr="00AC724E" w:rsidRDefault="00AC724E" w:rsidP="009F7824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AC724E">
              <w:rPr>
                <w:rFonts w:ascii="Arial" w:eastAsia="Times New Roman" w:hAnsi="Arial" w:cs="Arial"/>
                <w:color w:val="000000"/>
                <w:lang w:eastAsia="es-ES"/>
              </w:rPr>
              <w:t>oral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744EB" w14:textId="77777777" w:rsidR="00AC724E" w:rsidRPr="00AC724E" w:rsidRDefault="00AC724E" w:rsidP="009F7824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AC724E">
              <w:rPr>
                <w:rFonts w:ascii="Arial" w:eastAsia="Times New Roman" w:hAnsi="Arial" w:cs="Arial"/>
                <w:color w:val="000000"/>
                <w:lang w:eastAsia="es-ES"/>
              </w:rPr>
              <w:t>30 mg/kg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BA4C4" w14:textId="77777777" w:rsidR="00AC724E" w:rsidRPr="00AC724E" w:rsidRDefault="00AC724E" w:rsidP="009F7824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AC724E">
              <w:rPr>
                <w:rFonts w:ascii="Arial" w:eastAsia="Times New Roman" w:hAnsi="Arial" w:cs="Arial"/>
                <w:color w:val="000000"/>
                <w:lang w:eastAsia="es-ES"/>
              </w:rPr>
              <w:t>1X daily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CD249" w14:textId="77777777" w:rsidR="00AC724E" w:rsidRPr="00AC724E" w:rsidRDefault="00AC724E" w:rsidP="009F7824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AC724E">
              <w:rPr>
                <w:rFonts w:ascii="Arial" w:eastAsia="Times New Roman" w:hAnsi="Arial" w:cs="Arial"/>
                <w:color w:val="000000"/>
                <w:lang w:eastAsia="es-ES"/>
              </w:rPr>
              <w:t>3 weeks*</w:t>
            </w:r>
          </w:p>
        </w:tc>
      </w:tr>
      <w:tr w:rsidR="00AC724E" w:rsidRPr="00AC724E" w14:paraId="36C59049" w14:textId="77777777" w:rsidTr="00AC724E">
        <w:trPr>
          <w:cantSplit/>
          <w:trHeight w:val="506"/>
          <w:jc w:val="center"/>
        </w:trPr>
        <w:tc>
          <w:tcPr>
            <w:tcW w:w="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89DDC" w14:textId="77777777" w:rsidR="00AC724E" w:rsidRPr="00AC724E" w:rsidRDefault="00AC724E" w:rsidP="009F7824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AC724E">
              <w:rPr>
                <w:rFonts w:ascii="Arial" w:eastAsia="Times New Roman" w:hAnsi="Arial" w:cs="Arial"/>
                <w:color w:val="000000"/>
                <w:lang w:eastAsia="es-ES"/>
              </w:rPr>
              <w:t>B20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CC302" w14:textId="77777777" w:rsidR="00AC724E" w:rsidRPr="00AC724E" w:rsidRDefault="00AC724E" w:rsidP="009F7824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AC724E">
              <w:rPr>
                <w:rFonts w:ascii="Arial" w:eastAsia="Times New Roman" w:hAnsi="Arial" w:cs="Arial"/>
                <w:color w:val="000000"/>
                <w:lang w:eastAsia="es-ES"/>
              </w:rPr>
              <w:t>Merck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20581" w14:textId="77777777" w:rsidR="00AC724E" w:rsidRPr="00AC724E" w:rsidRDefault="00AC724E" w:rsidP="009F7824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AC724E">
              <w:rPr>
                <w:rFonts w:ascii="Arial" w:eastAsia="Times New Roman" w:hAnsi="Arial" w:cs="Arial"/>
                <w:color w:val="000000"/>
                <w:lang w:eastAsia="es-ES"/>
              </w:rPr>
              <w:t>intraperitoneal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A27B6" w14:textId="77777777" w:rsidR="00AC724E" w:rsidRPr="00AC724E" w:rsidRDefault="00AC724E" w:rsidP="009F7824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AC724E">
              <w:rPr>
                <w:rFonts w:ascii="Arial" w:eastAsia="Times New Roman" w:hAnsi="Arial" w:cs="Arial"/>
                <w:color w:val="000000"/>
                <w:lang w:eastAsia="es-ES"/>
              </w:rPr>
              <w:t>5 mg/kg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26913" w14:textId="77777777" w:rsidR="00AC724E" w:rsidRPr="00AC724E" w:rsidRDefault="00AC724E" w:rsidP="009F7824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AC724E">
              <w:rPr>
                <w:rFonts w:ascii="Arial" w:eastAsia="Times New Roman" w:hAnsi="Arial" w:cs="Arial"/>
                <w:color w:val="000000"/>
                <w:lang w:eastAsia="es-ES"/>
              </w:rPr>
              <w:t>2X week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5F6B0" w14:textId="77777777" w:rsidR="00AC724E" w:rsidRPr="00AC724E" w:rsidRDefault="00AC724E" w:rsidP="009F7824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AC724E">
              <w:rPr>
                <w:rFonts w:ascii="Arial" w:eastAsia="Times New Roman" w:hAnsi="Arial" w:cs="Arial"/>
                <w:color w:val="000000"/>
                <w:lang w:eastAsia="es-ES"/>
              </w:rPr>
              <w:t>3 weeks*</w:t>
            </w:r>
          </w:p>
        </w:tc>
      </w:tr>
      <w:tr w:rsidR="00AC724E" w:rsidRPr="00AC724E" w14:paraId="425C7D6B" w14:textId="77777777" w:rsidTr="00AC724E">
        <w:trPr>
          <w:cantSplit/>
          <w:trHeight w:val="506"/>
          <w:jc w:val="center"/>
        </w:trPr>
        <w:tc>
          <w:tcPr>
            <w:tcW w:w="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D0BE6" w14:textId="77777777" w:rsidR="00AC724E" w:rsidRPr="00AC724E" w:rsidRDefault="00AC724E" w:rsidP="009F7824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AC724E">
              <w:rPr>
                <w:rFonts w:ascii="Arial" w:eastAsia="Times New Roman" w:hAnsi="Arial" w:cs="Arial"/>
                <w:color w:val="000000"/>
                <w:lang w:eastAsia="es-ES"/>
              </w:rPr>
              <w:t>bevacizumab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E460E" w14:textId="77777777" w:rsidR="00AC724E" w:rsidRPr="00AC724E" w:rsidRDefault="00AC724E" w:rsidP="009F7824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AC724E">
              <w:rPr>
                <w:rFonts w:ascii="Arial" w:eastAsia="Times New Roman" w:hAnsi="Arial" w:cs="Arial"/>
                <w:color w:val="000000"/>
                <w:lang w:eastAsia="es-ES"/>
              </w:rPr>
              <w:t>Genentech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25635" w14:textId="77777777" w:rsidR="00AC724E" w:rsidRPr="00AC724E" w:rsidRDefault="00AC724E" w:rsidP="009F7824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AC724E">
              <w:rPr>
                <w:rFonts w:ascii="Arial" w:eastAsia="Times New Roman" w:hAnsi="Arial" w:cs="Arial"/>
                <w:color w:val="000000"/>
                <w:lang w:eastAsia="es-ES"/>
              </w:rPr>
              <w:t>intraperitoneal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22843" w14:textId="77777777" w:rsidR="00AC724E" w:rsidRPr="00AC724E" w:rsidRDefault="00AC724E" w:rsidP="009F7824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AC724E">
              <w:rPr>
                <w:rFonts w:ascii="Arial" w:eastAsia="Times New Roman" w:hAnsi="Arial" w:cs="Arial"/>
                <w:color w:val="000000"/>
                <w:lang w:eastAsia="es-ES"/>
              </w:rPr>
              <w:t>50 mg/kg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F7998" w14:textId="77777777" w:rsidR="00AC724E" w:rsidRPr="00AC724E" w:rsidRDefault="00AC724E" w:rsidP="009F7824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AC724E">
              <w:rPr>
                <w:rFonts w:ascii="Arial" w:eastAsia="Times New Roman" w:hAnsi="Arial" w:cs="Arial"/>
                <w:color w:val="000000"/>
                <w:lang w:eastAsia="es-ES"/>
              </w:rPr>
              <w:t>2X week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87B3B" w14:textId="77777777" w:rsidR="00AC724E" w:rsidRPr="00AC724E" w:rsidRDefault="00AC724E" w:rsidP="009F7824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AC724E">
              <w:rPr>
                <w:rFonts w:ascii="Arial" w:eastAsia="Times New Roman" w:hAnsi="Arial" w:cs="Arial"/>
                <w:color w:val="000000"/>
                <w:lang w:eastAsia="es-ES"/>
              </w:rPr>
              <w:t>3 weeks*</w:t>
            </w:r>
          </w:p>
        </w:tc>
      </w:tr>
      <w:tr w:rsidR="00AC724E" w:rsidRPr="00AC724E" w14:paraId="1ED9F2C2" w14:textId="77777777" w:rsidTr="00AC724E">
        <w:trPr>
          <w:cantSplit/>
          <w:trHeight w:val="506"/>
          <w:jc w:val="center"/>
        </w:trPr>
        <w:tc>
          <w:tcPr>
            <w:tcW w:w="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45CCB" w14:textId="77777777" w:rsidR="00AC724E" w:rsidRPr="00AC724E" w:rsidRDefault="00AC724E" w:rsidP="009F7824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AC724E">
              <w:rPr>
                <w:rFonts w:ascii="Arial" w:eastAsia="Times New Roman" w:hAnsi="Arial" w:cs="Arial"/>
                <w:color w:val="000000"/>
                <w:lang w:eastAsia="es-ES"/>
              </w:rPr>
              <w:t>cabozantinib</w:t>
            </w:r>
            <w:proofErr w:type="spellEnd"/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8B94D" w14:textId="77777777" w:rsidR="00AC724E" w:rsidRPr="00AC724E" w:rsidRDefault="00AC724E" w:rsidP="009F7824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AC724E">
              <w:rPr>
                <w:rFonts w:ascii="Arial" w:eastAsia="Times New Roman" w:hAnsi="Arial" w:cs="Arial"/>
                <w:color w:val="000000"/>
                <w:lang w:eastAsia="es-ES"/>
              </w:rPr>
              <w:t>MedChem</w:t>
            </w:r>
            <w:proofErr w:type="spellEnd"/>
            <w:r w:rsidRPr="00AC724E">
              <w:rPr>
                <w:rFonts w:ascii="Arial" w:eastAsia="Times New Roman" w:hAnsi="Arial" w:cs="Arial"/>
                <w:color w:val="000000"/>
                <w:lang w:eastAsia="es-ES"/>
              </w:rPr>
              <w:t xml:space="preserve"> Express (HY-13016)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9ABFE" w14:textId="77777777" w:rsidR="00AC724E" w:rsidRPr="00AC724E" w:rsidRDefault="00AC724E" w:rsidP="009F7824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AC724E">
              <w:rPr>
                <w:rFonts w:ascii="Arial" w:eastAsia="Times New Roman" w:hAnsi="Arial" w:cs="Arial"/>
                <w:color w:val="000000"/>
                <w:lang w:eastAsia="es-ES"/>
              </w:rPr>
              <w:t>oral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81420" w14:textId="77777777" w:rsidR="00AC724E" w:rsidRPr="00AC724E" w:rsidRDefault="00AC724E" w:rsidP="009F7824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AC724E">
              <w:rPr>
                <w:rFonts w:ascii="Arial" w:eastAsia="Times New Roman" w:hAnsi="Arial" w:cs="Arial"/>
                <w:color w:val="000000"/>
                <w:lang w:eastAsia="es-ES"/>
              </w:rPr>
              <w:t>10 mg/kg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8FC59" w14:textId="77777777" w:rsidR="00AC724E" w:rsidRPr="00AC724E" w:rsidRDefault="00AC724E" w:rsidP="009F7824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AC724E">
              <w:rPr>
                <w:rFonts w:ascii="Arial" w:eastAsia="Times New Roman" w:hAnsi="Arial" w:cs="Arial"/>
                <w:color w:val="000000"/>
                <w:lang w:eastAsia="es-ES"/>
              </w:rPr>
              <w:t>1X daily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5AB51" w14:textId="77777777" w:rsidR="00AC724E" w:rsidRPr="00AC724E" w:rsidRDefault="00AC724E" w:rsidP="009F7824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AC724E">
              <w:rPr>
                <w:rFonts w:ascii="Arial" w:eastAsia="Times New Roman" w:hAnsi="Arial" w:cs="Arial"/>
                <w:color w:val="000000"/>
                <w:lang w:eastAsia="es-ES"/>
              </w:rPr>
              <w:t>3 weeks*</w:t>
            </w:r>
          </w:p>
        </w:tc>
      </w:tr>
      <w:tr w:rsidR="00AC724E" w:rsidRPr="00AC724E" w14:paraId="46A14396" w14:textId="77777777" w:rsidTr="00AC724E">
        <w:trPr>
          <w:cantSplit/>
          <w:trHeight w:val="506"/>
          <w:jc w:val="center"/>
        </w:trPr>
        <w:tc>
          <w:tcPr>
            <w:tcW w:w="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2B606" w14:textId="77777777" w:rsidR="00AC724E" w:rsidRPr="00AC724E" w:rsidRDefault="00AC724E" w:rsidP="009F7824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AC724E">
              <w:rPr>
                <w:rFonts w:ascii="Arial" w:eastAsia="Times New Roman" w:hAnsi="Arial" w:cs="Arial"/>
                <w:color w:val="000000"/>
                <w:lang w:eastAsia="es-ES"/>
              </w:rPr>
              <w:t>cabozantinib</w:t>
            </w:r>
            <w:proofErr w:type="spellEnd"/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DCAD6" w14:textId="77777777" w:rsidR="00AC724E" w:rsidRPr="00AC724E" w:rsidRDefault="00AC724E" w:rsidP="009F7824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AC724E">
              <w:rPr>
                <w:rFonts w:ascii="Arial" w:eastAsia="Times New Roman" w:hAnsi="Arial" w:cs="Arial"/>
                <w:color w:val="000000"/>
                <w:lang w:eastAsia="es-ES"/>
              </w:rPr>
              <w:t>MedChem</w:t>
            </w:r>
            <w:proofErr w:type="spellEnd"/>
            <w:r w:rsidRPr="00AC724E">
              <w:rPr>
                <w:rFonts w:ascii="Arial" w:eastAsia="Times New Roman" w:hAnsi="Arial" w:cs="Arial"/>
                <w:color w:val="000000"/>
                <w:lang w:eastAsia="es-ES"/>
              </w:rPr>
              <w:t xml:space="preserve"> Express (HY-13016)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B5899" w14:textId="77777777" w:rsidR="00AC724E" w:rsidRPr="00AC724E" w:rsidRDefault="00AC724E" w:rsidP="009F7824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AC724E">
              <w:rPr>
                <w:rFonts w:ascii="Arial" w:eastAsia="Times New Roman" w:hAnsi="Arial" w:cs="Arial"/>
                <w:color w:val="000000"/>
                <w:lang w:eastAsia="es-ES"/>
              </w:rPr>
              <w:t>oral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2ABCA" w14:textId="77777777" w:rsidR="00AC724E" w:rsidRPr="00AC724E" w:rsidRDefault="00AC724E" w:rsidP="009F7824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AC724E">
              <w:rPr>
                <w:rFonts w:ascii="Arial" w:eastAsia="Times New Roman" w:hAnsi="Arial" w:cs="Arial"/>
                <w:color w:val="000000"/>
                <w:lang w:eastAsia="es-ES"/>
              </w:rPr>
              <w:t>30 mg/kg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545CA" w14:textId="77777777" w:rsidR="00AC724E" w:rsidRPr="00AC724E" w:rsidRDefault="00AC724E" w:rsidP="009F7824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AC724E">
              <w:rPr>
                <w:rFonts w:ascii="Arial" w:eastAsia="Times New Roman" w:hAnsi="Arial" w:cs="Arial"/>
                <w:color w:val="000000"/>
                <w:lang w:eastAsia="es-ES"/>
              </w:rPr>
              <w:t>1X daily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33551" w14:textId="77777777" w:rsidR="00AC724E" w:rsidRPr="00AC724E" w:rsidRDefault="00AC724E" w:rsidP="009F7824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AC724E">
              <w:rPr>
                <w:rFonts w:ascii="Arial" w:eastAsia="Times New Roman" w:hAnsi="Arial" w:cs="Arial"/>
                <w:color w:val="000000"/>
                <w:lang w:eastAsia="es-ES"/>
              </w:rPr>
              <w:t>3 weeks*</w:t>
            </w:r>
          </w:p>
        </w:tc>
      </w:tr>
      <w:tr w:rsidR="00AC724E" w:rsidRPr="00AC724E" w14:paraId="3EBA3A86" w14:textId="77777777" w:rsidTr="00AC724E">
        <w:trPr>
          <w:cantSplit/>
          <w:trHeight w:val="506"/>
          <w:jc w:val="center"/>
        </w:trPr>
        <w:tc>
          <w:tcPr>
            <w:tcW w:w="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A9F32" w14:textId="77777777" w:rsidR="00AC724E" w:rsidRPr="00AC724E" w:rsidRDefault="00AC724E" w:rsidP="009F7824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AC724E">
              <w:rPr>
                <w:rFonts w:ascii="Arial" w:eastAsia="Times New Roman" w:hAnsi="Arial" w:cs="Arial"/>
                <w:color w:val="000000"/>
                <w:lang w:eastAsia="es-ES"/>
              </w:rPr>
              <w:t>crizotinib</w:t>
            </w:r>
            <w:proofErr w:type="spellEnd"/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A0281" w14:textId="77777777" w:rsidR="00AC724E" w:rsidRPr="00AC724E" w:rsidRDefault="00AC724E" w:rsidP="009F7824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AC724E">
              <w:rPr>
                <w:rFonts w:ascii="Arial" w:eastAsia="Times New Roman" w:hAnsi="Arial" w:cs="Arial"/>
                <w:color w:val="000000"/>
                <w:lang w:eastAsia="es-ES"/>
              </w:rPr>
              <w:t>Selleckchem</w:t>
            </w:r>
            <w:proofErr w:type="spellEnd"/>
            <w:r w:rsidRPr="00AC724E">
              <w:rPr>
                <w:rFonts w:ascii="Arial" w:eastAsia="Times New Roman" w:hAnsi="Arial" w:cs="Arial"/>
                <w:color w:val="000000"/>
                <w:lang w:eastAsia="es-ES"/>
              </w:rPr>
              <w:t xml:space="preserve"> (S1068)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ED154" w14:textId="77777777" w:rsidR="00AC724E" w:rsidRPr="00AC724E" w:rsidRDefault="00AC724E" w:rsidP="009F7824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AC724E">
              <w:rPr>
                <w:rFonts w:ascii="Arial" w:eastAsia="Times New Roman" w:hAnsi="Arial" w:cs="Arial"/>
                <w:color w:val="000000"/>
                <w:lang w:eastAsia="es-ES"/>
              </w:rPr>
              <w:t>oral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13B69" w14:textId="77777777" w:rsidR="00AC724E" w:rsidRPr="00AC724E" w:rsidRDefault="00AC724E" w:rsidP="009F7824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AC724E">
              <w:rPr>
                <w:rFonts w:ascii="Arial" w:eastAsia="Times New Roman" w:hAnsi="Arial" w:cs="Arial"/>
                <w:color w:val="000000"/>
                <w:lang w:eastAsia="es-ES"/>
              </w:rPr>
              <w:t>50 mg/kg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11850" w14:textId="77777777" w:rsidR="00AC724E" w:rsidRPr="00AC724E" w:rsidRDefault="00AC724E" w:rsidP="009F7824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AC724E">
              <w:rPr>
                <w:rFonts w:ascii="Arial" w:eastAsia="Times New Roman" w:hAnsi="Arial" w:cs="Arial"/>
                <w:color w:val="000000"/>
                <w:lang w:eastAsia="es-ES"/>
              </w:rPr>
              <w:t>1X daily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EA7DA" w14:textId="77777777" w:rsidR="00AC724E" w:rsidRPr="00AC724E" w:rsidRDefault="00AC724E" w:rsidP="009F7824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AC724E">
              <w:rPr>
                <w:rFonts w:ascii="Arial" w:eastAsia="Times New Roman" w:hAnsi="Arial" w:cs="Arial"/>
                <w:color w:val="000000"/>
                <w:lang w:eastAsia="es-ES"/>
              </w:rPr>
              <w:t>3 weeks*</w:t>
            </w:r>
          </w:p>
        </w:tc>
      </w:tr>
      <w:tr w:rsidR="00AC724E" w:rsidRPr="00AC724E" w14:paraId="761B7660" w14:textId="77777777" w:rsidTr="00AC724E">
        <w:trPr>
          <w:cantSplit/>
          <w:trHeight w:val="506"/>
          <w:jc w:val="center"/>
        </w:trPr>
        <w:tc>
          <w:tcPr>
            <w:tcW w:w="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408D7" w14:textId="77777777" w:rsidR="00AC724E" w:rsidRPr="00AC724E" w:rsidRDefault="00AC724E" w:rsidP="009F7824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AC724E">
              <w:rPr>
                <w:rFonts w:ascii="Arial" w:eastAsia="Times New Roman" w:hAnsi="Arial" w:cs="Arial"/>
                <w:color w:val="000000"/>
                <w:lang w:eastAsia="es-ES"/>
              </w:rPr>
              <w:t>MEKi</w:t>
            </w:r>
            <w:proofErr w:type="spellEnd"/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3D1A2" w14:textId="77777777" w:rsidR="00AC724E" w:rsidRPr="00AC724E" w:rsidRDefault="00AC724E" w:rsidP="009F7824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AC724E">
              <w:rPr>
                <w:rFonts w:ascii="Arial" w:eastAsia="Times New Roman" w:hAnsi="Arial" w:cs="Arial"/>
                <w:color w:val="000000"/>
                <w:lang w:eastAsia="es-ES"/>
              </w:rPr>
              <w:t>Selleckchem</w:t>
            </w:r>
            <w:proofErr w:type="spellEnd"/>
            <w:r w:rsidRPr="00AC724E">
              <w:rPr>
                <w:rFonts w:ascii="Arial" w:eastAsia="Times New Roman" w:hAnsi="Arial" w:cs="Arial"/>
                <w:color w:val="000000"/>
                <w:lang w:eastAsia="es-ES"/>
              </w:rPr>
              <w:t xml:space="preserve"> (S1036)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E102A" w14:textId="77777777" w:rsidR="00AC724E" w:rsidRPr="00AC724E" w:rsidRDefault="00AC724E" w:rsidP="009F7824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AC724E">
              <w:rPr>
                <w:rFonts w:ascii="Arial" w:eastAsia="Times New Roman" w:hAnsi="Arial" w:cs="Arial"/>
                <w:color w:val="000000"/>
                <w:lang w:eastAsia="es-ES"/>
              </w:rPr>
              <w:t>oral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EECB5" w14:textId="77777777" w:rsidR="00AC724E" w:rsidRPr="00AC724E" w:rsidRDefault="00AC724E" w:rsidP="009F7824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AC724E">
              <w:rPr>
                <w:rFonts w:ascii="Arial" w:eastAsia="Times New Roman" w:hAnsi="Arial" w:cs="Arial"/>
                <w:color w:val="000000"/>
                <w:lang w:eastAsia="es-ES"/>
              </w:rPr>
              <w:t>1 mg/kg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BA03D" w14:textId="77777777" w:rsidR="00AC724E" w:rsidRPr="00AC724E" w:rsidRDefault="00AC724E" w:rsidP="009F7824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AC724E">
              <w:rPr>
                <w:rFonts w:ascii="Arial" w:eastAsia="Times New Roman" w:hAnsi="Arial" w:cs="Arial"/>
                <w:color w:val="000000"/>
                <w:lang w:eastAsia="es-ES"/>
              </w:rPr>
              <w:t>1X daily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F1EC1" w14:textId="77777777" w:rsidR="00AC724E" w:rsidRPr="00AC724E" w:rsidRDefault="00AC724E" w:rsidP="009F7824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AC724E">
              <w:rPr>
                <w:rFonts w:ascii="Arial" w:eastAsia="Times New Roman" w:hAnsi="Arial" w:cs="Arial"/>
                <w:color w:val="000000"/>
                <w:lang w:eastAsia="es-ES"/>
              </w:rPr>
              <w:t>3 weeks*</w:t>
            </w:r>
          </w:p>
        </w:tc>
      </w:tr>
      <w:tr w:rsidR="00AC724E" w:rsidRPr="00AC724E" w14:paraId="501FD8AE" w14:textId="77777777" w:rsidTr="00AC724E">
        <w:trPr>
          <w:cantSplit/>
          <w:trHeight w:val="506"/>
          <w:jc w:val="center"/>
        </w:trPr>
        <w:tc>
          <w:tcPr>
            <w:tcW w:w="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93DC9" w14:textId="77777777" w:rsidR="00AC724E" w:rsidRPr="00AC724E" w:rsidRDefault="00AC724E" w:rsidP="009F7824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AC724E">
              <w:rPr>
                <w:rFonts w:ascii="Arial" w:eastAsia="Times New Roman" w:hAnsi="Arial" w:cs="Arial"/>
                <w:color w:val="000000"/>
                <w:lang w:eastAsia="es-ES"/>
              </w:rPr>
              <w:t>MEKi</w:t>
            </w:r>
            <w:proofErr w:type="spellEnd"/>
            <w:r w:rsidRPr="00AC724E">
              <w:rPr>
                <w:rFonts w:ascii="Arial" w:eastAsia="Times New Roman" w:hAnsi="Arial" w:cs="Arial"/>
                <w:color w:val="000000"/>
                <w:lang w:eastAsia="es-ES"/>
              </w:rPr>
              <w:t xml:space="preserve"> + </w:t>
            </w:r>
            <w:proofErr w:type="spellStart"/>
            <w:r w:rsidRPr="00AC724E">
              <w:rPr>
                <w:rFonts w:ascii="Arial" w:eastAsia="Times New Roman" w:hAnsi="Arial" w:cs="Arial"/>
                <w:color w:val="000000"/>
                <w:lang w:eastAsia="es-ES"/>
              </w:rPr>
              <w:t>Cabozantinib</w:t>
            </w:r>
            <w:proofErr w:type="spellEnd"/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40AA2" w14:textId="77777777" w:rsidR="00AC724E" w:rsidRPr="00AC724E" w:rsidRDefault="00AC724E" w:rsidP="009F7824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AC724E">
              <w:rPr>
                <w:rFonts w:ascii="Arial" w:eastAsia="Times New Roman" w:hAnsi="Arial" w:cs="Arial"/>
                <w:color w:val="000000"/>
                <w:lang w:eastAsia="es-ES"/>
              </w:rPr>
              <w:t>Selleckchem</w:t>
            </w:r>
            <w:proofErr w:type="spellEnd"/>
            <w:r w:rsidRPr="00AC724E">
              <w:rPr>
                <w:rFonts w:ascii="Arial" w:eastAsia="Times New Roman" w:hAnsi="Arial" w:cs="Arial"/>
                <w:color w:val="000000"/>
                <w:lang w:eastAsia="es-ES"/>
              </w:rPr>
              <w:t xml:space="preserve"> (S1036), </w:t>
            </w:r>
            <w:proofErr w:type="spellStart"/>
            <w:r w:rsidRPr="00AC724E">
              <w:rPr>
                <w:rFonts w:ascii="Arial" w:eastAsia="Times New Roman" w:hAnsi="Arial" w:cs="Arial"/>
                <w:color w:val="000000"/>
                <w:lang w:eastAsia="es-ES"/>
              </w:rPr>
              <w:t>MedChem</w:t>
            </w:r>
            <w:proofErr w:type="spellEnd"/>
            <w:r w:rsidRPr="00AC724E">
              <w:rPr>
                <w:rFonts w:ascii="Arial" w:eastAsia="Times New Roman" w:hAnsi="Arial" w:cs="Arial"/>
                <w:color w:val="000000"/>
                <w:lang w:eastAsia="es-ES"/>
              </w:rPr>
              <w:t xml:space="preserve"> Express (HY-13016)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8AEAF" w14:textId="77777777" w:rsidR="00AC724E" w:rsidRPr="00AC724E" w:rsidRDefault="00AC724E" w:rsidP="009F7824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AC724E">
              <w:rPr>
                <w:rFonts w:ascii="Arial" w:eastAsia="Times New Roman" w:hAnsi="Arial" w:cs="Arial"/>
                <w:color w:val="000000"/>
                <w:lang w:eastAsia="es-ES"/>
              </w:rPr>
              <w:t>oral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25481" w14:textId="77777777" w:rsidR="00AC724E" w:rsidRPr="00AC724E" w:rsidRDefault="00AC724E" w:rsidP="009F7824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AC724E">
              <w:rPr>
                <w:rFonts w:ascii="Arial" w:eastAsia="Times New Roman" w:hAnsi="Arial" w:cs="Arial"/>
                <w:color w:val="000000"/>
                <w:lang w:eastAsia="es-ES"/>
              </w:rPr>
              <w:t>1 mg/kg + 30 mg/kg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0A60B" w14:textId="77777777" w:rsidR="00AC724E" w:rsidRPr="00AC724E" w:rsidRDefault="00AC724E" w:rsidP="009F7824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AC724E">
              <w:rPr>
                <w:rFonts w:ascii="Arial" w:eastAsia="Times New Roman" w:hAnsi="Arial" w:cs="Arial"/>
                <w:color w:val="000000"/>
                <w:lang w:eastAsia="es-ES"/>
              </w:rPr>
              <w:t>1X daily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EAAEC" w14:textId="77777777" w:rsidR="00AC724E" w:rsidRPr="00AC724E" w:rsidRDefault="00AC724E" w:rsidP="009F7824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AC724E">
              <w:rPr>
                <w:rFonts w:ascii="Arial" w:eastAsia="Times New Roman" w:hAnsi="Arial" w:cs="Arial"/>
                <w:color w:val="000000"/>
                <w:lang w:eastAsia="es-ES"/>
              </w:rPr>
              <w:t>3 weeks*</w:t>
            </w:r>
          </w:p>
        </w:tc>
      </w:tr>
      <w:tr w:rsidR="00AC724E" w:rsidRPr="00AC724E" w14:paraId="747428F5" w14:textId="77777777" w:rsidTr="00AC724E">
        <w:trPr>
          <w:cantSplit/>
          <w:trHeight w:val="506"/>
          <w:jc w:val="center"/>
        </w:trPr>
        <w:tc>
          <w:tcPr>
            <w:tcW w:w="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866D8" w14:textId="77777777" w:rsidR="00AC724E" w:rsidRPr="00AC724E" w:rsidRDefault="00AC724E" w:rsidP="009F7824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AC724E">
              <w:rPr>
                <w:rFonts w:ascii="Arial" w:eastAsia="Times New Roman" w:hAnsi="Arial" w:cs="Arial"/>
                <w:color w:val="000000"/>
                <w:lang w:eastAsia="es-ES"/>
              </w:rPr>
              <w:t>pazopanib</w:t>
            </w:r>
            <w:proofErr w:type="spellEnd"/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E724A" w14:textId="77777777" w:rsidR="00AC724E" w:rsidRPr="00AC724E" w:rsidRDefault="00AC724E" w:rsidP="009F7824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AC724E">
              <w:rPr>
                <w:rFonts w:ascii="Arial" w:eastAsia="Times New Roman" w:hAnsi="Arial" w:cs="Arial"/>
                <w:color w:val="000000"/>
                <w:lang w:eastAsia="es-ES"/>
              </w:rPr>
              <w:t>MedChem</w:t>
            </w:r>
            <w:proofErr w:type="spellEnd"/>
            <w:r w:rsidRPr="00AC724E">
              <w:rPr>
                <w:rFonts w:ascii="Arial" w:eastAsia="Times New Roman" w:hAnsi="Arial" w:cs="Arial"/>
                <w:color w:val="000000"/>
                <w:lang w:eastAsia="es-ES"/>
              </w:rPr>
              <w:t xml:space="preserve"> Express (HY-10208)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36A9B" w14:textId="77777777" w:rsidR="00AC724E" w:rsidRPr="00AC724E" w:rsidRDefault="00AC724E" w:rsidP="009F7824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AC724E">
              <w:rPr>
                <w:rFonts w:ascii="Arial" w:eastAsia="Times New Roman" w:hAnsi="Arial" w:cs="Arial"/>
                <w:color w:val="000000"/>
                <w:lang w:eastAsia="es-ES"/>
              </w:rPr>
              <w:t>oral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DA176" w14:textId="77777777" w:rsidR="00AC724E" w:rsidRPr="00AC724E" w:rsidRDefault="00AC724E" w:rsidP="009F7824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AC724E">
              <w:rPr>
                <w:rFonts w:ascii="Arial" w:eastAsia="Times New Roman" w:hAnsi="Arial" w:cs="Arial"/>
                <w:color w:val="000000"/>
                <w:lang w:eastAsia="es-ES"/>
              </w:rPr>
              <w:t>50 mg/kg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80DF3" w14:textId="77777777" w:rsidR="00AC724E" w:rsidRPr="00AC724E" w:rsidRDefault="00AC724E" w:rsidP="009F7824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AC724E">
              <w:rPr>
                <w:rFonts w:ascii="Arial" w:eastAsia="Times New Roman" w:hAnsi="Arial" w:cs="Arial"/>
                <w:color w:val="000000"/>
                <w:lang w:eastAsia="es-ES"/>
              </w:rPr>
              <w:t>1X daily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BF433" w14:textId="77777777" w:rsidR="00AC724E" w:rsidRPr="00AC724E" w:rsidRDefault="00AC724E" w:rsidP="009F7824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AC724E">
              <w:rPr>
                <w:rFonts w:ascii="Arial" w:eastAsia="Times New Roman" w:hAnsi="Arial" w:cs="Arial"/>
                <w:color w:val="000000"/>
                <w:lang w:eastAsia="es-ES"/>
              </w:rPr>
              <w:t>3 weeks*</w:t>
            </w:r>
          </w:p>
        </w:tc>
      </w:tr>
      <w:tr w:rsidR="00AC724E" w:rsidRPr="00AC724E" w14:paraId="5941F829" w14:textId="77777777" w:rsidTr="00AC724E">
        <w:trPr>
          <w:cantSplit/>
          <w:trHeight w:val="506"/>
          <w:jc w:val="center"/>
        </w:trPr>
        <w:tc>
          <w:tcPr>
            <w:tcW w:w="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43671" w14:textId="77777777" w:rsidR="00AC724E" w:rsidRPr="00AC724E" w:rsidRDefault="00AC724E" w:rsidP="009F7824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AC724E">
              <w:rPr>
                <w:rFonts w:ascii="Arial" w:eastAsia="Times New Roman" w:hAnsi="Arial" w:cs="Arial"/>
                <w:color w:val="000000"/>
                <w:lang w:eastAsia="es-ES"/>
              </w:rPr>
              <w:t>regorafenib</w:t>
            </w:r>
            <w:proofErr w:type="spellEnd"/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95534" w14:textId="77777777" w:rsidR="00AC724E" w:rsidRPr="00AC724E" w:rsidRDefault="00AC724E" w:rsidP="009F7824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AC724E">
              <w:rPr>
                <w:rFonts w:ascii="Arial" w:eastAsia="Times New Roman" w:hAnsi="Arial" w:cs="Arial"/>
                <w:color w:val="000000"/>
                <w:lang w:eastAsia="es-ES"/>
              </w:rPr>
              <w:t>Selleckchem</w:t>
            </w:r>
            <w:proofErr w:type="spellEnd"/>
            <w:r w:rsidRPr="00AC724E">
              <w:rPr>
                <w:rFonts w:ascii="Arial" w:eastAsia="Times New Roman" w:hAnsi="Arial" w:cs="Arial"/>
                <w:color w:val="000000"/>
                <w:lang w:eastAsia="es-ES"/>
              </w:rPr>
              <w:t xml:space="preserve"> (S1178)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6A906" w14:textId="77777777" w:rsidR="00AC724E" w:rsidRPr="00AC724E" w:rsidRDefault="00AC724E" w:rsidP="009F7824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AC724E">
              <w:rPr>
                <w:rFonts w:ascii="Arial" w:eastAsia="Times New Roman" w:hAnsi="Arial" w:cs="Arial"/>
                <w:color w:val="000000"/>
                <w:lang w:eastAsia="es-ES"/>
              </w:rPr>
              <w:t>oral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F0BB1" w14:textId="77777777" w:rsidR="00AC724E" w:rsidRPr="00AC724E" w:rsidRDefault="00AC724E" w:rsidP="009F7824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AC724E">
              <w:rPr>
                <w:rFonts w:ascii="Arial" w:eastAsia="Times New Roman" w:hAnsi="Arial" w:cs="Arial"/>
                <w:color w:val="000000"/>
                <w:lang w:eastAsia="es-ES"/>
              </w:rPr>
              <w:t>10 mg/kg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06E34" w14:textId="77777777" w:rsidR="00AC724E" w:rsidRPr="00AC724E" w:rsidRDefault="00AC724E" w:rsidP="009F7824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AC724E">
              <w:rPr>
                <w:rFonts w:ascii="Arial" w:eastAsia="Times New Roman" w:hAnsi="Arial" w:cs="Arial"/>
                <w:color w:val="000000"/>
                <w:lang w:eastAsia="es-ES"/>
              </w:rPr>
              <w:t>1X daily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07FC2" w14:textId="77777777" w:rsidR="00AC724E" w:rsidRPr="00AC724E" w:rsidRDefault="00AC724E" w:rsidP="009F7824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AC724E">
              <w:rPr>
                <w:rFonts w:ascii="Arial" w:eastAsia="Times New Roman" w:hAnsi="Arial" w:cs="Arial"/>
                <w:color w:val="000000"/>
                <w:lang w:eastAsia="es-ES"/>
              </w:rPr>
              <w:t>3 weeks*</w:t>
            </w:r>
          </w:p>
        </w:tc>
      </w:tr>
      <w:tr w:rsidR="00AC724E" w:rsidRPr="00AC724E" w14:paraId="16A9B4D0" w14:textId="77777777" w:rsidTr="00AC724E">
        <w:trPr>
          <w:cantSplit/>
          <w:trHeight w:val="549"/>
          <w:jc w:val="center"/>
        </w:trPr>
        <w:tc>
          <w:tcPr>
            <w:tcW w:w="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A300F" w14:textId="77777777" w:rsidR="00AC724E" w:rsidRPr="00AC724E" w:rsidRDefault="00AC724E" w:rsidP="009F7824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AC724E">
              <w:rPr>
                <w:rFonts w:ascii="Arial" w:eastAsia="Times New Roman" w:hAnsi="Arial" w:cs="Arial"/>
                <w:color w:val="000000"/>
                <w:lang w:eastAsia="es-ES"/>
              </w:rPr>
              <w:t>sorafenib</w:t>
            </w:r>
            <w:proofErr w:type="spellEnd"/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29042" w14:textId="77777777" w:rsidR="00AC724E" w:rsidRPr="00AC724E" w:rsidRDefault="00AC724E" w:rsidP="009F7824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AC724E">
              <w:rPr>
                <w:rFonts w:ascii="Arial" w:eastAsia="Times New Roman" w:hAnsi="Arial" w:cs="Arial"/>
                <w:color w:val="000000"/>
                <w:lang w:eastAsia="es-ES"/>
              </w:rPr>
              <w:t>Selleckchem</w:t>
            </w:r>
            <w:proofErr w:type="spellEnd"/>
            <w:r w:rsidRPr="00AC724E">
              <w:rPr>
                <w:rFonts w:ascii="Arial" w:eastAsia="Times New Roman" w:hAnsi="Arial" w:cs="Arial"/>
                <w:color w:val="000000"/>
                <w:lang w:eastAsia="es-ES"/>
              </w:rPr>
              <w:t xml:space="preserve"> (S7397)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50188" w14:textId="77777777" w:rsidR="00AC724E" w:rsidRPr="00AC724E" w:rsidRDefault="00AC724E" w:rsidP="009F7824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AC724E">
              <w:rPr>
                <w:rFonts w:ascii="Arial" w:eastAsia="Times New Roman" w:hAnsi="Arial" w:cs="Arial"/>
                <w:color w:val="000000"/>
                <w:lang w:eastAsia="es-ES"/>
              </w:rPr>
              <w:t>oral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871CF" w14:textId="77777777" w:rsidR="00AC724E" w:rsidRPr="00AC724E" w:rsidRDefault="00AC724E" w:rsidP="009F7824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AC724E">
              <w:rPr>
                <w:rFonts w:ascii="Arial" w:eastAsia="Times New Roman" w:hAnsi="Arial" w:cs="Arial"/>
                <w:color w:val="000000"/>
                <w:lang w:eastAsia="es-ES"/>
              </w:rPr>
              <w:t>60 mg/kg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2DCE8" w14:textId="77777777" w:rsidR="00AC724E" w:rsidRPr="00AC724E" w:rsidRDefault="00AC724E" w:rsidP="009F7824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AC724E">
              <w:rPr>
                <w:rFonts w:ascii="Arial" w:eastAsia="Times New Roman" w:hAnsi="Arial" w:cs="Arial"/>
                <w:color w:val="000000"/>
                <w:lang w:eastAsia="es-ES"/>
              </w:rPr>
              <w:t>1X daily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1676F" w14:textId="77777777" w:rsidR="00AC724E" w:rsidRPr="00AC724E" w:rsidRDefault="00AC724E" w:rsidP="009F7824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AC724E">
              <w:rPr>
                <w:rFonts w:ascii="Arial" w:eastAsia="Times New Roman" w:hAnsi="Arial" w:cs="Arial"/>
                <w:color w:val="000000"/>
                <w:lang w:eastAsia="es-ES"/>
              </w:rPr>
              <w:t>3 weeks*</w:t>
            </w:r>
          </w:p>
        </w:tc>
      </w:tr>
    </w:tbl>
    <w:p w14:paraId="11BB2391" w14:textId="1BA6ED71" w:rsidR="00AC724E" w:rsidRPr="00AC724E" w:rsidRDefault="00AC724E" w:rsidP="00AC724E">
      <w:pPr>
        <w:rPr>
          <w:rFonts w:ascii="Arial" w:hAnsi="Arial" w:cs="Arial"/>
        </w:rPr>
      </w:pPr>
      <w:r w:rsidRPr="00AC724E">
        <w:rPr>
          <w:rFonts w:ascii="Arial" w:eastAsia="Times New Roman" w:hAnsi="Arial" w:cs="Arial"/>
          <w:color w:val="000000"/>
          <w:lang w:eastAsia="es-ES"/>
        </w:rPr>
        <w:t>*or un</w:t>
      </w:r>
      <w:r>
        <w:rPr>
          <w:rFonts w:ascii="Arial" w:eastAsia="Times New Roman" w:hAnsi="Arial" w:cs="Arial"/>
          <w:color w:val="000000"/>
          <w:lang w:eastAsia="es-ES"/>
        </w:rPr>
        <w:t xml:space="preserve">til the tumors reach the humane </w:t>
      </w:r>
      <w:r w:rsidRPr="00AC724E">
        <w:rPr>
          <w:rFonts w:ascii="Arial" w:eastAsia="Times New Roman" w:hAnsi="Arial" w:cs="Arial"/>
          <w:color w:val="000000"/>
          <w:lang w:eastAsia="es-ES"/>
        </w:rPr>
        <w:t>endpoint</w:t>
      </w:r>
    </w:p>
    <w:p w14:paraId="71D4D356" w14:textId="77777777" w:rsidR="00AC724E" w:rsidRPr="00AC724E" w:rsidRDefault="00AC724E" w:rsidP="00062D4A">
      <w:pPr>
        <w:spacing w:line="480" w:lineRule="auto"/>
        <w:jc w:val="both"/>
        <w:rPr>
          <w:rFonts w:ascii="Arial" w:hAnsi="Arial" w:cs="Arial"/>
        </w:rPr>
      </w:pPr>
    </w:p>
    <w:p w14:paraId="550ED11C" w14:textId="77777777" w:rsidR="00062D4A" w:rsidRPr="00AC724E" w:rsidRDefault="00062D4A" w:rsidP="00062D4A">
      <w:pPr>
        <w:pStyle w:val="ListParagraph"/>
        <w:numPr>
          <w:ilvl w:val="0"/>
          <w:numId w:val="1"/>
        </w:numPr>
        <w:spacing w:line="480" w:lineRule="auto"/>
        <w:jc w:val="both"/>
        <w:outlineLvl w:val="0"/>
        <w:rPr>
          <w:rFonts w:ascii="Arial" w:hAnsi="Arial" w:cs="Arial"/>
          <w:b/>
        </w:rPr>
      </w:pPr>
      <w:r w:rsidRPr="00AC724E">
        <w:rPr>
          <w:rFonts w:ascii="Arial" w:hAnsi="Arial" w:cs="Arial"/>
          <w:b/>
        </w:rPr>
        <w:t>Cell lines</w:t>
      </w:r>
    </w:p>
    <w:p w14:paraId="3478F291" w14:textId="50A7C35F" w:rsidR="00062D4A" w:rsidRPr="00AC724E" w:rsidRDefault="00062D4A" w:rsidP="00062D4A">
      <w:pPr>
        <w:spacing w:line="480" w:lineRule="auto"/>
        <w:jc w:val="both"/>
        <w:rPr>
          <w:rFonts w:ascii="Arial" w:hAnsi="Arial" w:cs="Arial"/>
        </w:rPr>
      </w:pPr>
      <w:r w:rsidRPr="00AC724E">
        <w:rPr>
          <w:rFonts w:ascii="Arial" w:hAnsi="Arial" w:cs="Arial"/>
        </w:rPr>
        <w:t xml:space="preserve">The human CRC cell lines used </w:t>
      </w:r>
      <w:r w:rsidR="003A73F0" w:rsidRPr="00AC724E">
        <w:rPr>
          <w:rFonts w:ascii="Arial" w:hAnsi="Arial" w:cs="Arial"/>
        </w:rPr>
        <w:t>in</w:t>
      </w:r>
      <w:r w:rsidRPr="00AC724E">
        <w:rPr>
          <w:rFonts w:ascii="Arial" w:hAnsi="Arial" w:cs="Arial"/>
        </w:rPr>
        <w:t xml:space="preserve"> the current study were selected </w:t>
      </w:r>
      <w:r w:rsidR="00BF0748" w:rsidRPr="00AC724E">
        <w:rPr>
          <w:rFonts w:ascii="Arial" w:hAnsi="Arial" w:cs="Arial"/>
        </w:rPr>
        <w:t>based on</w:t>
      </w:r>
      <w:r w:rsidRPr="00AC724E">
        <w:rPr>
          <w:rFonts w:ascii="Arial" w:hAnsi="Arial" w:cs="Arial"/>
        </w:rPr>
        <w:t xml:space="preserve"> their genotype </w:t>
      </w:r>
      <w:r w:rsidR="00BF0748" w:rsidRPr="00AC724E">
        <w:rPr>
          <w:rFonts w:ascii="Arial" w:hAnsi="Arial" w:cs="Arial"/>
        </w:rPr>
        <w:t xml:space="preserve">in order </w:t>
      </w:r>
      <w:r w:rsidR="003A73F0" w:rsidRPr="00AC724E">
        <w:rPr>
          <w:rFonts w:ascii="Arial" w:hAnsi="Arial" w:cs="Arial"/>
        </w:rPr>
        <w:t xml:space="preserve">to be as </w:t>
      </w:r>
      <w:r w:rsidRPr="00AC724E">
        <w:rPr>
          <w:rFonts w:ascii="Arial" w:hAnsi="Arial" w:cs="Arial"/>
        </w:rPr>
        <w:t>informative</w:t>
      </w:r>
      <w:r w:rsidR="003A73F0" w:rsidRPr="00AC724E">
        <w:rPr>
          <w:rFonts w:ascii="Arial" w:hAnsi="Arial" w:cs="Arial"/>
        </w:rPr>
        <w:t xml:space="preserve"> as</w:t>
      </w:r>
      <w:r w:rsidRPr="00AC724E">
        <w:rPr>
          <w:rFonts w:ascii="Arial" w:hAnsi="Arial" w:cs="Arial"/>
        </w:rPr>
        <w:t xml:space="preserve"> possible for each experiment. </w:t>
      </w:r>
      <w:r w:rsidR="007A3B89" w:rsidRPr="00AC724E">
        <w:rPr>
          <w:rFonts w:ascii="Arial" w:hAnsi="Arial" w:cs="Arial"/>
        </w:rPr>
        <w:t>Thus, w</w:t>
      </w:r>
      <w:r w:rsidRPr="00AC724E">
        <w:rPr>
          <w:rFonts w:ascii="Arial" w:hAnsi="Arial" w:cs="Arial"/>
        </w:rPr>
        <w:t xml:space="preserve">e chose the Colo-320 cell line to interrogate the phenotypic changes caused </w:t>
      </w:r>
      <w:r w:rsidR="004438AF" w:rsidRPr="00AC724E">
        <w:rPr>
          <w:rFonts w:ascii="Arial" w:hAnsi="Arial" w:cs="Arial"/>
        </w:rPr>
        <w:t xml:space="preserve">by the </w:t>
      </w:r>
      <w:r w:rsidRPr="00AC724E">
        <w:rPr>
          <w:rFonts w:ascii="Arial" w:hAnsi="Arial" w:cs="Arial"/>
        </w:rPr>
        <w:t xml:space="preserve">overexpression of VEGFR2 mutants because it </w:t>
      </w:r>
      <w:r w:rsidR="004438AF" w:rsidRPr="00AC724E">
        <w:rPr>
          <w:rFonts w:ascii="Arial" w:hAnsi="Arial" w:cs="Arial"/>
        </w:rPr>
        <w:t xml:space="preserve">has </w:t>
      </w:r>
      <w:r w:rsidRPr="00AC724E">
        <w:rPr>
          <w:rFonts w:ascii="Arial" w:hAnsi="Arial" w:cs="Arial"/>
        </w:rPr>
        <w:t xml:space="preserve">the same </w:t>
      </w:r>
      <w:r w:rsidRPr="00AC724E">
        <w:rPr>
          <w:rFonts w:ascii="Arial" w:hAnsi="Arial" w:cs="Arial"/>
        </w:rPr>
        <w:lastRenderedPageBreak/>
        <w:t xml:space="preserve">genetic background </w:t>
      </w:r>
      <w:r w:rsidR="004438AF" w:rsidRPr="00AC724E">
        <w:rPr>
          <w:rFonts w:ascii="Arial" w:hAnsi="Arial" w:cs="Arial"/>
        </w:rPr>
        <w:t xml:space="preserve">as </w:t>
      </w:r>
      <w:r w:rsidRPr="00AC724E">
        <w:rPr>
          <w:rFonts w:ascii="Arial" w:hAnsi="Arial" w:cs="Arial"/>
        </w:rPr>
        <w:t>the patient´s tumor (</w:t>
      </w:r>
      <w:r w:rsidR="007A3B89" w:rsidRPr="00AC724E">
        <w:rPr>
          <w:rFonts w:ascii="Arial" w:hAnsi="Arial" w:cs="Arial"/>
        </w:rPr>
        <w:t xml:space="preserve">mutated </w:t>
      </w:r>
      <w:r w:rsidRPr="00AC724E">
        <w:rPr>
          <w:rFonts w:ascii="Arial" w:hAnsi="Arial" w:cs="Arial"/>
          <w:i/>
          <w:iCs/>
        </w:rPr>
        <w:t>TP53</w:t>
      </w:r>
      <w:r w:rsidRPr="00AC724E">
        <w:rPr>
          <w:rFonts w:ascii="Arial" w:hAnsi="Arial" w:cs="Arial"/>
        </w:rPr>
        <w:t>/</w:t>
      </w:r>
      <w:r w:rsidRPr="00AC724E">
        <w:rPr>
          <w:rFonts w:ascii="Arial" w:hAnsi="Arial" w:cs="Arial"/>
          <w:i/>
          <w:iCs/>
        </w:rPr>
        <w:t>APC</w:t>
      </w:r>
      <w:r w:rsidRPr="00AC724E">
        <w:rPr>
          <w:rFonts w:ascii="Arial" w:hAnsi="Arial" w:cs="Arial"/>
        </w:rPr>
        <w:t xml:space="preserve"> and</w:t>
      </w:r>
      <w:r w:rsidR="007A3B89" w:rsidRPr="00AC724E">
        <w:rPr>
          <w:rFonts w:ascii="Arial" w:hAnsi="Arial" w:cs="Arial"/>
        </w:rPr>
        <w:t xml:space="preserve"> WT</w:t>
      </w:r>
      <w:r w:rsidRPr="00AC724E">
        <w:rPr>
          <w:rFonts w:ascii="Arial" w:hAnsi="Arial" w:cs="Arial"/>
        </w:rPr>
        <w:t xml:space="preserve"> </w:t>
      </w:r>
      <w:r w:rsidRPr="00AC724E">
        <w:rPr>
          <w:rFonts w:ascii="Arial" w:hAnsi="Arial" w:cs="Arial"/>
          <w:i/>
          <w:iCs/>
        </w:rPr>
        <w:t>KRAS</w:t>
      </w:r>
      <w:r w:rsidRPr="00AC724E">
        <w:rPr>
          <w:rFonts w:ascii="Arial" w:hAnsi="Arial" w:cs="Arial"/>
        </w:rPr>
        <w:t>/</w:t>
      </w:r>
      <w:r w:rsidRPr="00AC724E">
        <w:rPr>
          <w:rFonts w:ascii="Arial" w:hAnsi="Arial" w:cs="Arial"/>
          <w:i/>
          <w:iCs/>
        </w:rPr>
        <w:t>BRAF</w:t>
      </w:r>
      <w:r w:rsidRPr="00AC724E">
        <w:rPr>
          <w:rFonts w:ascii="Arial" w:hAnsi="Arial" w:cs="Arial"/>
        </w:rPr>
        <w:t xml:space="preserve">). The MDST8 CRC cell line was used for drug sensitivity studies because it naturally harbors the </w:t>
      </w:r>
      <w:r w:rsidRPr="00AC724E">
        <w:rPr>
          <w:rFonts w:ascii="Arial" w:hAnsi="Arial" w:cs="Arial"/>
          <w:i/>
          <w:iCs/>
        </w:rPr>
        <w:t>KDR</w:t>
      </w:r>
      <w:r w:rsidRPr="00AC724E">
        <w:rPr>
          <w:rFonts w:ascii="Arial" w:hAnsi="Arial" w:cs="Arial"/>
        </w:rPr>
        <w:t xml:space="preserve">/VEGFR2 R1032Q mutation, which we found to be </w:t>
      </w:r>
      <w:r w:rsidR="007A3B89" w:rsidRPr="00AC724E">
        <w:rPr>
          <w:rFonts w:ascii="Arial" w:hAnsi="Arial" w:cs="Arial"/>
        </w:rPr>
        <w:t>a</w:t>
      </w:r>
      <w:r w:rsidRPr="00AC724E">
        <w:rPr>
          <w:rFonts w:ascii="Arial" w:hAnsi="Arial" w:cs="Arial"/>
        </w:rPr>
        <w:t xml:space="preserve"> hot-spot</w:t>
      </w:r>
      <w:r w:rsidR="007A3B89" w:rsidRPr="00AC724E">
        <w:rPr>
          <w:rFonts w:ascii="Arial" w:hAnsi="Arial" w:cs="Arial"/>
        </w:rPr>
        <w:t xml:space="preserve"> VEGFR2</w:t>
      </w:r>
      <w:r w:rsidRPr="00AC724E">
        <w:rPr>
          <w:rFonts w:ascii="Arial" w:hAnsi="Arial" w:cs="Arial"/>
        </w:rPr>
        <w:t xml:space="preserve"> mutation in human cancers. </w:t>
      </w:r>
    </w:p>
    <w:p w14:paraId="1EFE84E3" w14:textId="4E5FC613" w:rsidR="00062D4A" w:rsidRPr="00AC724E" w:rsidRDefault="00062D4A" w:rsidP="00062D4A">
      <w:pPr>
        <w:spacing w:line="480" w:lineRule="auto"/>
        <w:jc w:val="both"/>
        <w:rPr>
          <w:rFonts w:ascii="Arial" w:hAnsi="Arial" w:cs="Arial"/>
        </w:rPr>
      </w:pPr>
      <w:r w:rsidRPr="00AC724E">
        <w:rPr>
          <w:rFonts w:ascii="Arial" w:hAnsi="Arial" w:cs="Arial"/>
        </w:rPr>
        <w:t>Colo320 and MDST8 colorectal cell lines were obtained from ATCC and cultured at 37°C in 5% CO</w:t>
      </w:r>
      <w:r w:rsidRPr="00AC724E">
        <w:rPr>
          <w:rFonts w:ascii="Arial" w:hAnsi="Arial" w:cs="Arial"/>
          <w:vertAlign w:val="subscript"/>
        </w:rPr>
        <w:t>2</w:t>
      </w:r>
      <w:r w:rsidR="007A3B89" w:rsidRPr="00AC724E">
        <w:rPr>
          <w:rFonts w:ascii="Arial" w:hAnsi="Arial" w:cs="Arial"/>
        </w:rPr>
        <w:t>,</w:t>
      </w:r>
      <w:r w:rsidR="00A30B41" w:rsidRPr="00AC724E">
        <w:rPr>
          <w:rFonts w:ascii="Arial" w:hAnsi="Arial" w:cs="Arial"/>
        </w:rPr>
        <w:t xml:space="preserve"> </w:t>
      </w:r>
      <w:r w:rsidRPr="00AC724E">
        <w:rPr>
          <w:rFonts w:ascii="Arial" w:hAnsi="Arial" w:cs="Arial"/>
        </w:rPr>
        <w:t xml:space="preserve">in </w:t>
      </w:r>
      <w:proofErr w:type="spellStart"/>
      <w:r w:rsidR="00304E8C" w:rsidRPr="00AC724E">
        <w:rPr>
          <w:rFonts w:ascii="Arial" w:hAnsi="Arial" w:cs="Arial"/>
        </w:rPr>
        <w:t>Roswelll</w:t>
      </w:r>
      <w:proofErr w:type="spellEnd"/>
      <w:r w:rsidR="00304E8C" w:rsidRPr="00AC724E">
        <w:rPr>
          <w:rFonts w:ascii="Arial" w:hAnsi="Arial" w:cs="Arial"/>
        </w:rPr>
        <w:t xml:space="preserve"> Park Memorial Institute (</w:t>
      </w:r>
      <w:r w:rsidRPr="00AC724E">
        <w:rPr>
          <w:rFonts w:ascii="Arial" w:hAnsi="Arial" w:cs="Arial"/>
        </w:rPr>
        <w:t>RPMI</w:t>
      </w:r>
      <w:r w:rsidR="00304E8C" w:rsidRPr="00AC724E">
        <w:rPr>
          <w:rFonts w:ascii="Arial" w:hAnsi="Arial" w:cs="Arial"/>
        </w:rPr>
        <w:t>)</w:t>
      </w:r>
      <w:r w:rsidRPr="00AC724E">
        <w:rPr>
          <w:rFonts w:ascii="Arial" w:hAnsi="Arial" w:cs="Arial"/>
        </w:rPr>
        <w:t xml:space="preserve"> Medium 1640 </w:t>
      </w:r>
      <w:r w:rsidR="004438AF" w:rsidRPr="00AC724E">
        <w:rPr>
          <w:rFonts w:ascii="Arial" w:hAnsi="Arial" w:cs="Arial"/>
        </w:rPr>
        <w:t xml:space="preserve">+ </w:t>
      </w:r>
      <w:proofErr w:type="spellStart"/>
      <w:r w:rsidRPr="00AC724E">
        <w:rPr>
          <w:rFonts w:ascii="Arial" w:hAnsi="Arial" w:cs="Arial"/>
        </w:rPr>
        <w:t>GlutaMAX</w:t>
      </w:r>
      <w:proofErr w:type="spellEnd"/>
      <w:r w:rsidRPr="00AC724E">
        <w:rPr>
          <w:rFonts w:ascii="Arial" w:hAnsi="Arial" w:cs="Arial"/>
        </w:rPr>
        <w:t xml:space="preserve"> (</w:t>
      </w:r>
      <w:proofErr w:type="spellStart"/>
      <w:r w:rsidRPr="00AC724E">
        <w:rPr>
          <w:rFonts w:ascii="Arial" w:hAnsi="Arial" w:cs="Arial"/>
        </w:rPr>
        <w:t>Gibco</w:t>
      </w:r>
      <w:proofErr w:type="spellEnd"/>
      <w:r w:rsidRPr="00AC724E">
        <w:rPr>
          <w:rFonts w:ascii="Arial" w:hAnsi="Arial" w:cs="Arial"/>
        </w:rPr>
        <w:t xml:space="preserve">, USA) and </w:t>
      </w:r>
      <w:proofErr w:type="spellStart"/>
      <w:r w:rsidR="00304E8C" w:rsidRPr="00AC724E">
        <w:rPr>
          <w:rFonts w:ascii="Arial" w:hAnsi="Arial" w:cs="Arial"/>
        </w:rPr>
        <w:t>Dulbeccos</w:t>
      </w:r>
      <w:proofErr w:type="spellEnd"/>
      <w:r w:rsidR="00304E8C" w:rsidRPr="00AC724E">
        <w:rPr>
          <w:rFonts w:ascii="Arial" w:hAnsi="Arial" w:cs="Arial"/>
        </w:rPr>
        <w:t>’ modified Eagle’s medium (</w:t>
      </w:r>
      <w:r w:rsidRPr="00AC724E">
        <w:rPr>
          <w:rFonts w:ascii="Arial" w:hAnsi="Arial" w:cs="Arial"/>
        </w:rPr>
        <w:t>DMEM</w:t>
      </w:r>
      <w:r w:rsidR="00304E8C" w:rsidRPr="00AC724E">
        <w:rPr>
          <w:rFonts w:ascii="Arial" w:hAnsi="Arial" w:cs="Arial"/>
        </w:rPr>
        <w:t>)</w:t>
      </w:r>
      <w:r w:rsidRPr="00AC724E">
        <w:rPr>
          <w:rFonts w:ascii="Arial" w:hAnsi="Arial" w:cs="Arial"/>
        </w:rPr>
        <w:t xml:space="preserve"> + 2</w:t>
      </w:r>
      <w:r w:rsidR="007A3B89" w:rsidRPr="00AC724E">
        <w:rPr>
          <w:rFonts w:ascii="Arial" w:hAnsi="Arial" w:cs="Arial"/>
        </w:rPr>
        <w:t xml:space="preserve"> </w:t>
      </w:r>
      <w:proofErr w:type="spellStart"/>
      <w:r w:rsidRPr="00AC724E">
        <w:rPr>
          <w:rFonts w:ascii="Arial" w:hAnsi="Arial" w:cs="Arial"/>
        </w:rPr>
        <w:t>mM</w:t>
      </w:r>
      <w:proofErr w:type="spellEnd"/>
      <w:r w:rsidRPr="00AC724E">
        <w:rPr>
          <w:rFonts w:ascii="Arial" w:hAnsi="Arial" w:cs="Arial"/>
        </w:rPr>
        <w:t xml:space="preserve"> Glutamine (</w:t>
      </w:r>
      <w:proofErr w:type="spellStart"/>
      <w:r w:rsidRPr="00AC724E">
        <w:rPr>
          <w:rFonts w:ascii="Arial" w:hAnsi="Arial" w:cs="Arial"/>
        </w:rPr>
        <w:t>Gibco</w:t>
      </w:r>
      <w:proofErr w:type="spellEnd"/>
      <w:r w:rsidRPr="00AC724E">
        <w:rPr>
          <w:rFonts w:ascii="Arial" w:hAnsi="Arial" w:cs="Arial"/>
        </w:rPr>
        <w:t xml:space="preserve">, USA), respectively, </w:t>
      </w:r>
      <w:r w:rsidR="004438AF" w:rsidRPr="00AC724E">
        <w:rPr>
          <w:rFonts w:ascii="Arial" w:hAnsi="Arial" w:cs="Arial"/>
        </w:rPr>
        <w:t xml:space="preserve">supplemented </w:t>
      </w:r>
      <w:r w:rsidRPr="00AC724E">
        <w:rPr>
          <w:rFonts w:ascii="Arial" w:hAnsi="Arial" w:cs="Arial"/>
        </w:rPr>
        <w:t xml:space="preserve">with 10% </w:t>
      </w:r>
      <w:r w:rsidR="00304E8C" w:rsidRPr="00AC724E">
        <w:rPr>
          <w:rFonts w:ascii="Arial" w:hAnsi="Arial" w:cs="Arial"/>
        </w:rPr>
        <w:t>fetal bovine serum (</w:t>
      </w:r>
      <w:r w:rsidRPr="00AC724E">
        <w:rPr>
          <w:rFonts w:ascii="Arial" w:hAnsi="Arial" w:cs="Arial"/>
        </w:rPr>
        <w:t>FBS</w:t>
      </w:r>
      <w:r w:rsidR="00304E8C" w:rsidRPr="00AC724E">
        <w:rPr>
          <w:rFonts w:ascii="Arial" w:hAnsi="Arial" w:cs="Arial"/>
        </w:rPr>
        <w:t>)</w:t>
      </w:r>
      <w:r w:rsidRPr="00AC724E">
        <w:rPr>
          <w:rFonts w:ascii="Arial" w:hAnsi="Arial" w:cs="Arial"/>
        </w:rPr>
        <w:t xml:space="preserve"> (</w:t>
      </w:r>
      <w:proofErr w:type="spellStart"/>
      <w:r w:rsidRPr="00AC724E">
        <w:rPr>
          <w:rFonts w:ascii="Arial" w:hAnsi="Arial" w:cs="Arial"/>
        </w:rPr>
        <w:t>Thermo</w:t>
      </w:r>
      <w:proofErr w:type="spellEnd"/>
      <w:r w:rsidRPr="00AC724E">
        <w:rPr>
          <w:rFonts w:ascii="Arial" w:hAnsi="Arial" w:cs="Arial"/>
        </w:rPr>
        <w:t xml:space="preserve"> Fisher Scientific, USA). Porcine aortic endothelial (PAE) cell lines, </w:t>
      </w:r>
      <w:r w:rsidR="004438AF" w:rsidRPr="00AC724E">
        <w:rPr>
          <w:rFonts w:ascii="Arial" w:hAnsi="Arial" w:cs="Arial"/>
        </w:rPr>
        <w:t>kindly provide</w:t>
      </w:r>
      <w:r w:rsidR="009D4A74" w:rsidRPr="00AC724E">
        <w:rPr>
          <w:rFonts w:ascii="Arial" w:hAnsi="Arial" w:cs="Arial"/>
        </w:rPr>
        <w:t>d</w:t>
      </w:r>
      <w:r w:rsidR="004438AF" w:rsidRPr="00AC724E">
        <w:rPr>
          <w:rFonts w:ascii="Arial" w:hAnsi="Arial" w:cs="Arial"/>
        </w:rPr>
        <w:t xml:space="preserve"> by</w:t>
      </w:r>
      <w:r w:rsidRPr="00AC724E">
        <w:rPr>
          <w:rFonts w:ascii="Arial" w:hAnsi="Arial" w:cs="Arial"/>
        </w:rPr>
        <w:t xml:space="preserve"> Dr. Kurt Ballmer</w:t>
      </w:r>
      <w:r w:rsidR="004438AF" w:rsidRPr="00AC724E">
        <w:rPr>
          <w:rFonts w:ascii="Arial" w:hAnsi="Arial" w:cs="Arial"/>
        </w:rPr>
        <w:t>-Hofer</w:t>
      </w:r>
      <w:r w:rsidRPr="00AC724E">
        <w:rPr>
          <w:rFonts w:ascii="Arial" w:hAnsi="Arial" w:cs="Arial"/>
        </w:rPr>
        <w:t xml:space="preserve">, were grown in DMEM supplemented with 10% </w:t>
      </w:r>
      <w:r w:rsidR="007A3B89" w:rsidRPr="00AC724E">
        <w:rPr>
          <w:rFonts w:ascii="Arial" w:hAnsi="Arial" w:cs="Arial"/>
        </w:rPr>
        <w:t>FBS</w:t>
      </w:r>
      <w:r w:rsidRPr="00AC724E">
        <w:rPr>
          <w:rFonts w:ascii="Arial" w:hAnsi="Arial" w:cs="Arial"/>
        </w:rPr>
        <w:t>.</w:t>
      </w:r>
    </w:p>
    <w:p w14:paraId="253CB4A2" w14:textId="77777777" w:rsidR="00062D4A" w:rsidRPr="00AC724E" w:rsidRDefault="00062D4A" w:rsidP="00062D4A">
      <w:pPr>
        <w:pStyle w:val="ListParagraph"/>
        <w:numPr>
          <w:ilvl w:val="0"/>
          <w:numId w:val="1"/>
        </w:numPr>
        <w:spacing w:line="480" w:lineRule="auto"/>
        <w:jc w:val="both"/>
        <w:outlineLvl w:val="0"/>
        <w:rPr>
          <w:rFonts w:ascii="Arial" w:hAnsi="Arial" w:cs="Arial"/>
          <w:b/>
        </w:rPr>
      </w:pPr>
      <w:r w:rsidRPr="00AC724E">
        <w:rPr>
          <w:rFonts w:ascii="Arial" w:hAnsi="Arial" w:cs="Arial"/>
          <w:b/>
        </w:rPr>
        <w:t xml:space="preserve">Generation of stable colorectal and endothelial cell lines </w:t>
      </w:r>
    </w:p>
    <w:p w14:paraId="24EA7F39" w14:textId="4F824340" w:rsidR="00062D4A" w:rsidRPr="00AC724E" w:rsidRDefault="00062D4A" w:rsidP="00062D4A">
      <w:pPr>
        <w:spacing w:line="480" w:lineRule="auto"/>
        <w:jc w:val="both"/>
        <w:outlineLvl w:val="0"/>
        <w:rPr>
          <w:rFonts w:ascii="Arial" w:hAnsi="Arial" w:cs="Arial"/>
        </w:rPr>
      </w:pPr>
      <w:r w:rsidRPr="00AC724E">
        <w:rPr>
          <w:rFonts w:ascii="Arial" w:eastAsia="Times New Roman" w:hAnsi="Arial" w:cs="Arial"/>
        </w:rPr>
        <w:t xml:space="preserve">Colo-320 and </w:t>
      </w:r>
      <w:r w:rsidRPr="00AC724E">
        <w:rPr>
          <w:rFonts w:ascii="Arial" w:hAnsi="Arial" w:cs="Arial"/>
        </w:rPr>
        <w:t xml:space="preserve">PAE cell lines were used to </w:t>
      </w:r>
      <w:r w:rsidR="009D4A74" w:rsidRPr="00AC724E">
        <w:rPr>
          <w:rFonts w:ascii="Arial" w:hAnsi="Arial" w:cs="Arial"/>
        </w:rPr>
        <w:t>generate</w:t>
      </w:r>
      <w:r w:rsidRPr="00AC724E">
        <w:rPr>
          <w:rFonts w:ascii="Arial" w:hAnsi="Arial" w:cs="Arial"/>
        </w:rPr>
        <w:t xml:space="preserve"> cell lines stably expressing the VEGFR2 mutants using </w:t>
      </w:r>
      <w:r w:rsidR="007A3B89" w:rsidRPr="00AC724E">
        <w:rPr>
          <w:rFonts w:ascii="Arial" w:hAnsi="Arial" w:cs="Arial"/>
        </w:rPr>
        <w:t>a previously described</w:t>
      </w:r>
      <w:r w:rsidRPr="00AC724E">
        <w:rPr>
          <w:rFonts w:ascii="Arial" w:hAnsi="Arial" w:cs="Arial"/>
        </w:rPr>
        <w:t xml:space="preserve"> protocol</w:t>
      </w:r>
      <w:r w:rsidRPr="00AC724E">
        <w:rPr>
          <w:rFonts w:ascii="Arial" w:hAnsi="Arial" w:cs="Arial"/>
          <w:vertAlign w:val="superscript"/>
        </w:rPr>
        <w:t>12</w:t>
      </w:r>
      <w:r w:rsidRPr="00AC724E">
        <w:rPr>
          <w:rFonts w:ascii="Arial" w:hAnsi="Arial" w:cs="Arial"/>
        </w:rPr>
        <w:t xml:space="preserve">. </w:t>
      </w:r>
      <w:r w:rsidR="007A3B89" w:rsidRPr="00AC724E">
        <w:rPr>
          <w:rFonts w:ascii="Arial" w:hAnsi="Arial" w:cs="Arial"/>
        </w:rPr>
        <w:t>Briefly, c</w:t>
      </w:r>
      <w:r w:rsidRPr="00AC724E">
        <w:rPr>
          <w:rFonts w:ascii="Arial" w:hAnsi="Arial" w:cs="Arial"/>
        </w:rPr>
        <w:t>ells were seeded in 10</w:t>
      </w:r>
      <w:r w:rsidR="009D4A74" w:rsidRPr="00AC724E">
        <w:rPr>
          <w:rFonts w:ascii="Arial" w:hAnsi="Arial" w:cs="Arial"/>
        </w:rPr>
        <w:t>-</w:t>
      </w:r>
      <w:r w:rsidRPr="00AC724E">
        <w:rPr>
          <w:rFonts w:ascii="Arial" w:hAnsi="Arial" w:cs="Arial"/>
        </w:rPr>
        <w:t>cm plates in</w:t>
      </w:r>
      <w:r w:rsidR="004E6AB8" w:rsidRPr="00AC724E">
        <w:rPr>
          <w:rFonts w:ascii="Arial" w:hAnsi="Arial" w:cs="Arial"/>
        </w:rPr>
        <w:t xml:space="preserve"> the</w:t>
      </w:r>
      <w:r w:rsidRPr="00AC724E">
        <w:rPr>
          <w:rFonts w:ascii="Arial" w:hAnsi="Arial" w:cs="Arial"/>
        </w:rPr>
        <w:t xml:space="preserve"> appropriate medium and were grown to 70% confluenc</w:t>
      </w:r>
      <w:r w:rsidR="007A3B89" w:rsidRPr="00AC724E">
        <w:rPr>
          <w:rFonts w:ascii="Arial" w:hAnsi="Arial" w:cs="Arial"/>
        </w:rPr>
        <w:t>e</w:t>
      </w:r>
      <w:r w:rsidRPr="00AC724E">
        <w:rPr>
          <w:rFonts w:ascii="Arial" w:hAnsi="Arial" w:cs="Arial"/>
        </w:rPr>
        <w:t xml:space="preserve">. Transfection </w:t>
      </w:r>
      <w:r w:rsidRPr="00AC724E">
        <w:rPr>
          <w:rFonts w:ascii="Arial" w:eastAsia="Times New Roman" w:hAnsi="Arial" w:cs="Arial"/>
        </w:rPr>
        <w:t>with constructs carrying</w:t>
      </w:r>
      <w:r w:rsidR="009D4A74" w:rsidRPr="00AC724E">
        <w:rPr>
          <w:rFonts w:ascii="Arial" w:eastAsia="Times New Roman" w:hAnsi="Arial" w:cs="Arial"/>
        </w:rPr>
        <w:t xml:space="preserve"> either</w:t>
      </w:r>
      <w:r w:rsidRPr="00AC724E">
        <w:rPr>
          <w:rFonts w:ascii="Arial" w:eastAsia="Times New Roman" w:hAnsi="Arial" w:cs="Arial"/>
        </w:rPr>
        <w:t xml:space="preserve"> the empty vector </w:t>
      </w:r>
      <w:r w:rsidR="007A3B89" w:rsidRPr="00AC724E">
        <w:rPr>
          <w:rFonts w:ascii="Arial" w:eastAsia="Times New Roman" w:hAnsi="Arial" w:cs="Arial"/>
        </w:rPr>
        <w:t xml:space="preserve">or </w:t>
      </w:r>
      <w:r w:rsidRPr="00AC724E">
        <w:rPr>
          <w:rFonts w:ascii="Arial" w:eastAsia="Times New Roman" w:hAnsi="Arial" w:cs="Arial"/>
        </w:rPr>
        <w:t xml:space="preserve">VEGFR2 </w:t>
      </w:r>
      <w:r w:rsidR="007A3B89" w:rsidRPr="00AC724E">
        <w:rPr>
          <w:rFonts w:ascii="Arial" w:eastAsia="Times New Roman" w:hAnsi="Arial" w:cs="Arial"/>
        </w:rPr>
        <w:t xml:space="preserve">(WT or </w:t>
      </w:r>
      <w:r w:rsidRPr="00AC724E">
        <w:rPr>
          <w:rFonts w:ascii="Arial" w:eastAsia="Times New Roman" w:hAnsi="Arial" w:cs="Arial"/>
        </w:rPr>
        <w:t>mutant</w:t>
      </w:r>
      <w:r w:rsidR="007A3B89" w:rsidRPr="00AC724E">
        <w:rPr>
          <w:rFonts w:ascii="Arial" w:eastAsia="Times New Roman" w:hAnsi="Arial" w:cs="Arial"/>
        </w:rPr>
        <w:t>)</w:t>
      </w:r>
      <w:r w:rsidRPr="00AC724E">
        <w:rPr>
          <w:rFonts w:ascii="Arial" w:hAnsi="Arial" w:cs="Arial"/>
        </w:rPr>
        <w:t xml:space="preserve"> was performed with </w:t>
      </w:r>
      <w:proofErr w:type="spellStart"/>
      <w:r w:rsidRPr="00AC724E">
        <w:rPr>
          <w:rFonts w:ascii="Arial" w:hAnsi="Arial" w:cs="Arial"/>
        </w:rPr>
        <w:t>polyethylenimine</w:t>
      </w:r>
      <w:proofErr w:type="spellEnd"/>
      <w:r w:rsidRPr="00AC724E">
        <w:rPr>
          <w:rFonts w:ascii="Arial" w:hAnsi="Arial" w:cs="Arial"/>
        </w:rPr>
        <w:t xml:space="preserve"> (PEI) as previously described</w:t>
      </w:r>
      <w:r w:rsidR="004B6430" w:rsidRPr="00AC724E">
        <w:rPr>
          <w:rFonts w:ascii="Arial" w:hAnsi="Arial" w:cs="Arial"/>
          <w:vertAlign w:val="superscript"/>
        </w:rPr>
        <w:t>13</w:t>
      </w:r>
      <w:r w:rsidR="004B6430" w:rsidRPr="00AC724E">
        <w:rPr>
          <w:rFonts w:ascii="Arial" w:hAnsi="Arial" w:cs="Arial"/>
        </w:rPr>
        <w:t xml:space="preserve">. </w:t>
      </w:r>
      <w:r w:rsidRPr="00AC724E">
        <w:rPr>
          <w:rFonts w:ascii="Arial" w:hAnsi="Arial" w:cs="Arial"/>
        </w:rPr>
        <w:t>Briefly, 30</w:t>
      </w:r>
      <w:r w:rsidR="009D4A74" w:rsidRPr="00AC724E">
        <w:rPr>
          <w:rFonts w:ascii="Arial" w:hAnsi="Arial" w:cs="Arial"/>
        </w:rPr>
        <w:t xml:space="preserve"> µ</w:t>
      </w:r>
      <w:r w:rsidRPr="00AC724E">
        <w:rPr>
          <w:rFonts w:ascii="Arial" w:hAnsi="Arial" w:cs="Arial"/>
        </w:rPr>
        <w:t xml:space="preserve">g of WT or </w:t>
      </w:r>
      <w:r w:rsidR="003803F6" w:rsidRPr="00AC724E">
        <w:rPr>
          <w:rFonts w:ascii="Arial" w:hAnsi="Arial" w:cs="Arial"/>
        </w:rPr>
        <w:t xml:space="preserve">mutant </w:t>
      </w:r>
      <w:r w:rsidR="009D4A74" w:rsidRPr="00AC724E">
        <w:rPr>
          <w:rFonts w:ascii="Arial" w:hAnsi="Arial" w:cs="Arial"/>
        </w:rPr>
        <w:t>VEGFR2</w:t>
      </w:r>
      <w:r w:rsidRPr="00AC724E">
        <w:rPr>
          <w:rFonts w:ascii="Arial" w:hAnsi="Arial" w:cs="Arial"/>
        </w:rPr>
        <w:t xml:space="preserve"> plasmid (in the </w:t>
      </w:r>
      <w:proofErr w:type="spellStart"/>
      <w:r w:rsidRPr="00AC724E">
        <w:rPr>
          <w:rFonts w:ascii="Arial" w:hAnsi="Arial" w:cs="Arial"/>
        </w:rPr>
        <w:t>pBE</w:t>
      </w:r>
      <w:proofErr w:type="spellEnd"/>
      <w:r w:rsidRPr="00AC724E">
        <w:rPr>
          <w:rFonts w:ascii="Arial" w:hAnsi="Arial" w:cs="Arial"/>
        </w:rPr>
        <w:t xml:space="preserve"> vector containing the </w:t>
      </w:r>
      <w:proofErr w:type="spellStart"/>
      <w:r w:rsidRPr="00AC724E">
        <w:rPr>
          <w:rFonts w:ascii="Arial" w:hAnsi="Arial" w:cs="Arial"/>
        </w:rPr>
        <w:t>neomycine</w:t>
      </w:r>
      <w:proofErr w:type="spellEnd"/>
      <w:r w:rsidRPr="00AC724E">
        <w:rPr>
          <w:rFonts w:ascii="Arial" w:hAnsi="Arial" w:cs="Arial"/>
        </w:rPr>
        <w:t xml:space="preserve"> resistance gene, which confers resistance to the selection antibiotic G418) was mixed with 60</w:t>
      </w:r>
      <w:r w:rsidR="009D4A74" w:rsidRPr="00AC724E">
        <w:rPr>
          <w:rFonts w:ascii="Arial" w:hAnsi="Arial" w:cs="Arial"/>
        </w:rPr>
        <w:t xml:space="preserve"> µ</w:t>
      </w:r>
      <w:r w:rsidRPr="00AC724E">
        <w:rPr>
          <w:rFonts w:ascii="Arial" w:hAnsi="Arial" w:cs="Arial"/>
        </w:rPr>
        <w:t>l PEI (1</w:t>
      </w:r>
      <w:r w:rsidR="009D4A74" w:rsidRPr="00AC724E">
        <w:rPr>
          <w:rFonts w:ascii="Arial" w:hAnsi="Arial" w:cs="Arial"/>
        </w:rPr>
        <w:t xml:space="preserve"> </w:t>
      </w:r>
      <w:r w:rsidRPr="00AC724E">
        <w:rPr>
          <w:rFonts w:ascii="Arial" w:hAnsi="Arial" w:cs="Arial"/>
        </w:rPr>
        <w:t>mg/ml in H</w:t>
      </w:r>
      <w:r w:rsidRPr="00AC724E">
        <w:rPr>
          <w:rFonts w:ascii="Arial" w:hAnsi="Arial" w:cs="Arial"/>
          <w:vertAlign w:val="subscript"/>
        </w:rPr>
        <w:t>2</w:t>
      </w:r>
      <w:r w:rsidRPr="00AC724E">
        <w:rPr>
          <w:rFonts w:ascii="Arial" w:hAnsi="Arial" w:cs="Arial"/>
        </w:rPr>
        <w:t>O) in 2</w:t>
      </w:r>
      <w:r w:rsidR="009D4A74" w:rsidRPr="00AC724E">
        <w:rPr>
          <w:rFonts w:ascii="Arial" w:hAnsi="Arial" w:cs="Arial"/>
        </w:rPr>
        <w:t xml:space="preserve"> </w:t>
      </w:r>
      <w:r w:rsidRPr="00AC724E">
        <w:rPr>
          <w:rFonts w:ascii="Arial" w:hAnsi="Arial" w:cs="Arial"/>
        </w:rPr>
        <w:t>ml serum-free DMEM, incubated for 10</w:t>
      </w:r>
      <w:r w:rsidR="009D4A74" w:rsidRPr="00AC724E">
        <w:rPr>
          <w:rFonts w:ascii="Arial" w:hAnsi="Arial" w:cs="Arial"/>
        </w:rPr>
        <w:t xml:space="preserve"> </w:t>
      </w:r>
      <w:r w:rsidRPr="00AC724E">
        <w:rPr>
          <w:rFonts w:ascii="Arial" w:hAnsi="Arial" w:cs="Arial"/>
        </w:rPr>
        <w:t>min at room temperature and added to the cells. Following a 3</w:t>
      </w:r>
      <w:r w:rsidR="004E6AB8" w:rsidRPr="00AC724E">
        <w:rPr>
          <w:rFonts w:ascii="Arial" w:hAnsi="Arial" w:cs="Arial"/>
        </w:rPr>
        <w:t>-</w:t>
      </w:r>
      <w:r w:rsidRPr="00AC724E">
        <w:rPr>
          <w:rFonts w:ascii="Arial" w:hAnsi="Arial" w:cs="Arial"/>
        </w:rPr>
        <w:t>h incubation at 37</w:t>
      </w:r>
      <w:r w:rsidR="009D4A74" w:rsidRPr="00AC724E">
        <w:rPr>
          <w:rFonts w:ascii="Arial" w:hAnsi="Arial" w:cs="Arial"/>
        </w:rPr>
        <w:t>°</w:t>
      </w:r>
      <w:r w:rsidRPr="00AC724E">
        <w:rPr>
          <w:rFonts w:ascii="Arial" w:hAnsi="Arial" w:cs="Arial"/>
        </w:rPr>
        <w:t>C, the medium was changed</w:t>
      </w:r>
      <w:r w:rsidR="003803F6" w:rsidRPr="00AC724E">
        <w:rPr>
          <w:rFonts w:ascii="Arial" w:hAnsi="Arial" w:cs="Arial"/>
        </w:rPr>
        <w:t>,</w:t>
      </w:r>
      <w:r w:rsidRPr="00AC724E">
        <w:rPr>
          <w:rFonts w:ascii="Arial" w:hAnsi="Arial" w:cs="Arial"/>
        </w:rPr>
        <w:t xml:space="preserve"> and the cells were allowed to grow to 100% confluence. Cells were re-seeded at a series of dilutions (1:1000 - 1:5000) in antibiotic selection medium (1</w:t>
      </w:r>
      <w:r w:rsidR="009D4A74" w:rsidRPr="00AC724E">
        <w:rPr>
          <w:rFonts w:ascii="Arial" w:hAnsi="Arial" w:cs="Arial"/>
        </w:rPr>
        <w:t xml:space="preserve"> </w:t>
      </w:r>
      <w:r w:rsidRPr="00AC724E">
        <w:rPr>
          <w:rFonts w:ascii="Arial" w:hAnsi="Arial" w:cs="Arial"/>
        </w:rPr>
        <w:t xml:space="preserve">mg/ml G418) to allow for single colonies to grow, while non-transfected cells were dying. Individual colonies were consecutively transferred to 24-well and 6-well plates and screened by </w:t>
      </w:r>
      <w:r w:rsidR="009D4A74" w:rsidRPr="00AC724E">
        <w:rPr>
          <w:rFonts w:ascii="Arial" w:hAnsi="Arial" w:cs="Arial"/>
        </w:rPr>
        <w:t>w</w:t>
      </w:r>
      <w:r w:rsidRPr="00AC724E">
        <w:rPr>
          <w:rFonts w:ascii="Arial" w:hAnsi="Arial" w:cs="Arial"/>
        </w:rPr>
        <w:t xml:space="preserve">estern blotting for </w:t>
      </w:r>
      <w:r w:rsidR="009D4A74" w:rsidRPr="00AC724E">
        <w:rPr>
          <w:rFonts w:ascii="Arial" w:hAnsi="Arial" w:cs="Arial"/>
        </w:rPr>
        <w:t>VEGFR2</w:t>
      </w:r>
      <w:r w:rsidRPr="00AC724E">
        <w:rPr>
          <w:rFonts w:ascii="Arial" w:hAnsi="Arial" w:cs="Arial"/>
        </w:rPr>
        <w:t xml:space="preserve"> expression. To reduce </w:t>
      </w:r>
      <w:proofErr w:type="spellStart"/>
      <w:r w:rsidRPr="00AC724E">
        <w:rPr>
          <w:rFonts w:ascii="Arial" w:hAnsi="Arial" w:cs="Arial"/>
        </w:rPr>
        <w:t>polyclonality</w:t>
      </w:r>
      <w:proofErr w:type="spellEnd"/>
      <w:r w:rsidRPr="00AC724E">
        <w:rPr>
          <w:rFonts w:ascii="Arial" w:hAnsi="Arial" w:cs="Arial"/>
        </w:rPr>
        <w:t xml:space="preserve">, colonies with the highest expression levels were subjected to 3 additional rounds of </w:t>
      </w:r>
      <w:proofErr w:type="spellStart"/>
      <w:r w:rsidRPr="00AC724E">
        <w:rPr>
          <w:rFonts w:ascii="Arial" w:hAnsi="Arial" w:cs="Arial"/>
        </w:rPr>
        <w:t>subcloning</w:t>
      </w:r>
      <w:proofErr w:type="spellEnd"/>
      <w:r w:rsidRPr="00AC724E">
        <w:rPr>
          <w:rFonts w:ascii="Arial" w:hAnsi="Arial" w:cs="Arial"/>
        </w:rPr>
        <w:t>.</w:t>
      </w:r>
    </w:p>
    <w:p w14:paraId="531F756A" w14:textId="6531D94B" w:rsidR="00062D4A" w:rsidRPr="00AC724E" w:rsidRDefault="00062D4A" w:rsidP="00062D4A">
      <w:pPr>
        <w:pStyle w:val="ListParagraph"/>
        <w:numPr>
          <w:ilvl w:val="0"/>
          <w:numId w:val="1"/>
        </w:numPr>
        <w:spacing w:line="480" w:lineRule="auto"/>
        <w:jc w:val="both"/>
        <w:outlineLvl w:val="0"/>
        <w:rPr>
          <w:rFonts w:ascii="Arial" w:hAnsi="Arial" w:cs="Arial"/>
          <w:b/>
        </w:rPr>
      </w:pPr>
      <w:r w:rsidRPr="00AC724E">
        <w:rPr>
          <w:rFonts w:ascii="Arial" w:hAnsi="Arial" w:cs="Arial"/>
          <w:b/>
        </w:rPr>
        <w:t xml:space="preserve">VEGF stimulation and </w:t>
      </w:r>
      <w:r w:rsidR="003803F6" w:rsidRPr="00AC724E">
        <w:rPr>
          <w:rFonts w:ascii="Arial" w:hAnsi="Arial" w:cs="Arial"/>
          <w:b/>
        </w:rPr>
        <w:t>w</w:t>
      </w:r>
      <w:r w:rsidRPr="00AC724E">
        <w:rPr>
          <w:rFonts w:ascii="Arial" w:hAnsi="Arial" w:cs="Arial"/>
          <w:b/>
        </w:rPr>
        <w:t>estern blotting</w:t>
      </w:r>
    </w:p>
    <w:p w14:paraId="78E836D3" w14:textId="54B1C27F" w:rsidR="00062D4A" w:rsidRPr="00AC724E" w:rsidRDefault="00062D4A" w:rsidP="00062D4A">
      <w:pPr>
        <w:spacing w:line="480" w:lineRule="auto"/>
        <w:jc w:val="both"/>
        <w:outlineLvl w:val="0"/>
        <w:rPr>
          <w:rFonts w:ascii="Arial" w:hAnsi="Arial" w:cs="Arial"/>
        </w:rPr>
      </w:pPr>
      <w:r w:rsidRPr="00AC724E">
        <w:rPr>
          <w:rFonts w:ascii="Arial" w:hAnsi="Arial" w:cs="Arial"/>
        </w:rPr>
        <w:t>Transiently transfected HEK293 cells or stable PAE cell lines expressing WT or L840F-KDR were starved in DMEM supplemented with 1% bovine serum albumin (BSA) for 4h at 37</w:t>
      </w:r>
      <w:r w:rsidR="003803F6" w:rsidRPr="00AC724E">
        <w:rPr>
          <w:rFonts w:ascii="Arial" w:hAnsi="Arial" w:cs="Arial"/>
        </w:rPr>
        <w:t>°</w:t>
      </w:r>
      <w:r w:rsidRPr="00AC724E">
        <w:rPr>
          <w:rFonts w:ascii="Arial" w:hAnsi="Arial" w:cs="Arial"/>
        </w:rPr>
        <w:t xml:space="preserve">C and were </w:t>
      </w:r>
      <w:r w:rsidRPr="00AC724E">
        <w:rPr>
          <w:rFonts w:ascii="Arial" w:hAnsi="Arial" w:cs="Arial"/>
        </w:rPr>
        <w:lastRenderedPageBreak/>
        <w:t>subsequently stimulated with 1.5</w:t>
      </w:r>
      <w:r w:rsidR="003803F6" w:rsidRPr="00AC724E">
        <w:rPr>
          <w:rFonts w:ascii="Arial" w:hAnsi="Arial" w:cs="Arial"/>
        </w:rPr>
        <w:t xml:space="preserve"> </w:t>
      </w:r>
      <w:proofErr w:type="spellStart"/>
      <w:r w:rsidRPr="00AC724E">
        <w:rPr>
          <w:rFonts w:ascii="Arial" w:hAnsi="Arial" w:cs="Arial"/>
        </w:rPr>
        <w:t>nM</w:t>
      </w:r>
      <w:proofErr w:type="spellEnd"/>
      <w:r w:rsidR="003803F6" w:rsidRPr="00AC724E">
        <w:rPr>
          <w:rFonts w:ascii="Arial" w:hAnsi="Arial" w:cs="Arial"/>
        </w:rPr>
        <w:t xml:space="preserve"> (60 ng/ml)</w:t>
      </w:r>
      <w:r w:rsidRPr="00AC724E">
        <w:rPr>
          <w:rFonts w:ascii="Arial" w:hAnsi="Arial" w:cs="Arial"/>
        </w:rPr>
        <w:t xml:space="preserve"> VEGF</w:t>
      </w:r>
      <w:r w:rsidRPr="00AC724E">
        <w:rPr>
          <w:rFonts w:ascii="Arial" w:hAnsi="Arial" w:cs="Arial"/>
          <w:vertAlign w:val="subscript"/>
        </w:rPr>
        <w:t>165</w:t>
      </w:r>
      <w:r w:rsidRPr="00AC724E">
        <w:rPr>
          <w:rFonts w:ascii="Arial" w:hAnsi="Arial" w:cs="Arial"/>
        </w:rPr>
        <w:t xml:space="preserve"> for 10</w:t>
      </w:r>
      <w:r w:rsidR="003803F6" w:rsidRPr="00AC724E">
        <w:rPr>
          <w:rFonts w:ascii="Arial" w:hAnsi="Arial" w:cs="Arial"/>
        </w:rPr>
        <w:t xml:space="preserve"> </w:t>
      </w:r>
      <w:r w:rsidRPr="00AC724E">
        <w:rPr>
          <w:rFonts w:ascii="Arial" w:hAnsi="Arial" w:cs="Arial"/>
        </w:rPr>
        <w:t>min at 37</w:t>
      </w:r>
      <w:r w:rsidR="003803F6" w:rsidRPr="00AC724E">
        <w:rPr>
          <w:rFonts w:ascii="Arial" w:hAnsi="Arial" w:cs="Arial"/>
        </w:rPr>
        <w:t>°</w:t>
      </w:r>
      <w:r w:rsidRPr="00AC724E">
        <w:rPr>
          <w:rFonts w:ascii="Arial" w:hAnsi="Arial" w:cs="Arial"/>
        </w:rPr>
        <w:t>C. Following stimulation, the cells were scraped in lysis buffer (50</w:t>
      </w:r>
      <w:r w:rsidR="003803F6" w:rsidRPr="00AC724E">
        <w:rPr>
          <w:rFonts w:ascii="Arial" w:hAnsi="Arial" w:cs="Arial"/>
        </w:rPr>
        <w:t xml:space="preserve"> </w:t>
      </w:r>
      <w:proofErr w:type="spellStart"/>
      <w:r w:rsidRPr="00AC724E">
        <w:rPr>
          <w:rFonts w:ascii="Arial" w:hAnsi="Arial" w:cs="Arial"/>
        </w:rPr>
        <w:t>mM</w:t>
      </w:r>
      <w:proofErr w:type="spellEnd"/>
      <w:r w:rsidRPr="00AC724E">
        <w:rPr>
          <w:rFonts w:ascii="Arial" w:hAnsi="Arial" w:cs="Arial"/>
        </w:rPr>
        <w:t xml:space="preserve"> </w:t>
      </w:r>
      <w:proofErr w:type="spellStart"/>
      <w:r w:rsidRPr="00AC724E">
        <w:rPr>
          <w:rFonts w:ascii="Arial" w:hAnsi="Arial" w:cs="Arial"/>
        </w:rPr>
        <w:t>Tris</w:t>
      </w:r>
      <w:proofErr w:type="spellEnd"/>
      <w:r w:rsidRPr="00AC724E">
        <w:rPr>
          <w:rFonts w:ascii="Arial" w:hAnsi="Arial" w:cs="Arial"/>
        </w:rPr>
        <w:t xml:space="preserve"> pH = 8.0, 120</w:t>
      </w:r>
      <w:r w:rsidR="003803F6" w:rsidRPr="00AC724E">
        <w:rPr>
          <w:rFonts w:ascii="Arial" w:hAnsi="Arial" w:cs="Arial"/>
        </w:rPr>
        <w:t xml:space="preserve"> </w:t>
      </w:r>
      <w:proofErr w:type="spellStart"/>
      <w:r w:rsidRPr="00AC724E">
        <w:rPr>
          <w:rFonts w:ascii="Arial" w:hAnsi="Arial" w:cs="Arial"/>
        </w:rPr>
        <w:t>mM</w:t>
      </w:r>
      <w:proofErr w:type="spellEnd"/>
      <w:r w:rsidRPr="00AC724E">
        <w:rPr>
          <w:rFonts w:ascii="Arial" w:hAnsi="Arial" w:cs="Arial"/>
        </w:rPr>
        <w:t xml:space="preserve"> </w:t>
      </w:r>
      <w:proofErr w:type="spellStart"/>
      <w:r w:rsidRPr="00AC724E">
        <w:rPr>
          <w:rFonts w:ascii="Arial" w:hAnsi="Arial" w:cs="Arial"/>
        </w:rPr>
        <w:t>NaCl</w:t>
      </w:r>
      <w:proofErr w:type="spellEnd"/>
      <w:r w:rsidRPr="00AC724E">
        <w:rPr>
          <w:rFonts w:ascii="Arial" w:hAnsi="Arial" w:cs="Arial"/>
        </w:rPr>
        <w:t xml:space="preserve">, 1% NP-40) supplemented with protease inhibitors (Roche, cat. </w:t>
      </w:r>
      <w:proofErr w:type="spellStart"/>
      <w:r w:rsidRPr="00AC724E">
        <w:rPr>
          <w:rFonts w:ascii="Arial" w:hAnsi="Arial" w:cs="Arial"/>
        </w:rPr>
        <w:t>Nr</w:t>
      </w:r>
      <w:proofErr w:type="spellEnd"/>
      <w:r w:rsidRPr="00AC724E">
        <w:rPr>
          <w:rFonts w:ascii="Arial" w:hAnsi="Arial" w:cs="Arial"/>
        </w:rPr>
        <w:t xml:space="preserve"> 04693159001) and phosphatase inhibitors (1</w:t>
      </w:r>
      <w:r w:rsidR="003803F6" w:rsidRPr="00AC724E">
        <w:rPr>
          <w:rFonts w:ascii="Arial" w:hAnsi="Arial" w:cs="Arial"/>
        </w:rPr>
        <w:t xml:space="preserve"> </w:t>
      </w:r>
      <w:proofErr w:type="spellStart"/>
      <w:r w:rsidRPr="00AC724E">
        <w:rPr>
          <w:rFonts w:ascii="Arial" w:hAnsi="Arial" w:cs="Arial"/>
        </w:rPr>
        <w:t>mM</w:t>
      </w:r>
      <w:proofErr w:type="spellEnd"/>
      <w:r w:rsidRPr="00AC724E">
        <w:rPr>
          <w:rFonts w:ascii="Arial" w:hAnsi="Arial" w:cs="Arial"/>
        </w:rPr>
        <w:t xml:space="preserve"> sodium </w:t>
      </w:r>
      <w:proofErr w:type="spellStart"/>
      <w:r w:rsidRPr="00AC724E">
        <w:rPr>
          <w:rFonts w:ascii="Arial" w:hAnsi="Arial" w:cs="Arial"/>
        </w:rPr>
        <w:t>orthovanadate</w:t>
      </w:r>
      <w:proofErr w:type="spellEnd"/>
      <w:r w:rsidRPr="00AC724E">
        <w:rPr>
          <w:rFonts w:ascii="Arial" w:hAnsi="Arial" w:cs="Arial"/>
        </w:rPr>
        <w:t xml:space="preserve"> and 20</w:t>
      </w:r>
      <w:r w:rsidR="004E6AB8" w:rsidRPr="00AC724E">
        <w:rPr>
          <w:rFonts w:ascii="Arial" w:hAnsi="Arial" w:cs="Arial"/>
        </w:rPr>
        <w:t xml:space="preserve"> </w:t>
      </w:r>
      <w:proofErr w:type="spellStart"/>
      <w:r w:rsidRPr="00AC724E">
        <w:rPr>
          <w:rFonts w:ascii="Arial" w:hAnsi="Arial" w:cs="Arial"/>
        </w:rPr>
        <w:t>uM</w:t>
      </w:r>
      <w:proofErr w:type="spellEnd"/>
      <w:r w:rsidRPr="00AC724E">
        <w:rPr>
          <w:rFonts w:ascii="Arial" w:hAnsi="Arial" w:cs="Arial"/>
        </w:rPr>
        <w:t xml:space="preserve"> </w:t>
      </w:r>
      <w:proofErr w:type="spellStart"/>
      <w:r w:rsidRPr="00AC724E">
        <w:rPr>
          <w:rFonts w:ascii="Arial" w:hAnsi="Arial" w:cs="Arial"/>
        </w:rPr>
        <w:t>phernylarsine</w:t>
      </w:r>
      <w:proofErr w:type="spellEnd"/>
      <w:r w:rsidRPr="00AC724E">
        <w:rPr>
          <w:rFonts w:ascii="Arial" w:hAnsi="Arial" w:cs="Arial"/>
        </w:rPr>
        <w:t xml:space="preserve"> oxide) and incubated for 30</w:t>
      </w:r>
      <w:r w:rsidR="003803F6" w:rsidRPr="00AC724E">
        <w:rPr>
          <w:rFonts w:ascii="Arial" w:hAnsi="Arial" w:cs="Arial"/>
        </w:rPr>
        <w:t xml:space="preserve"> </w:t>
      </w:r>
      <w:r w:rsidRPr="00AC724E">
        <w:rPr>
          <w:rFonts w:ascii="Arial" w:hAnsi="Arial" w:cs="Arial"/>
        </w:rPr>
        <w:t xml:space="preserve">min on ice. Cell lysates were collected as the </w:t>
      </w:r>
      <w:proofErr w:type="spellStart"/>
      <w:r w:rsidRPr="00AC724E">
        <w:rPr>
          <w:rFonts w:ascii="Arial" w:hAnsi="Arial" w:cs="Arial"/>
        </w:rPr>
        <w:t>supernanant</w:t>
      </w:r>
      <w:proofErr w:type="spellEnd"/>
      <w:r w:rsidRPr="00AC724E">
        <w:rPr>
          <w:rFonts w:ascii="Arial" w:hAnsi="Arial" w:cs="Arial"/>
        </w:rPr>
        <w:t xml:space="preserve"> of a centrifugation at 30,000</w:t>
      </w:r>
      <w:r w:rsidR="003803F6" w:rsidRPr="00AC724E">
        <w:rPr>
          <w:rFonts w:ascii="Arial" w:hAnsi="Arial" w:cs="Arial"/>
        </w:rPr>
        <w:t xml:space="preserve"> </w:t>
      </w:r>
      <w:r w:rsidR="00597755" w:rsidRPr="00AC724E">
        <w:rPr>
          <w:rFonts w:ascii="Arial" w:hAnsi="Arial" w:cs="Arial"/>
        </w:rPr>
        <w:t xml:space="preserve">× </w:t>
      </w:r>
      <w:r w:rsidRPr="00AC724E">
        <w:rPr>
          <w:rFonts w:ascii="Arial" w:hAnsi="Arial" w:cs="Arial"/>
          <w:i/>
        </w:rPr>
        <w:t>g</w:t>
      </w:r>
      <w:r w:rsidRPr="00AC724E">
        <w:rPr>
          <w:rFonts w:ascii="Arial" w:hAnsi="Arial" w:cs="Arial"/>
        </w:rPr>
        <w:t xml:space="preserve"> for 15</w:t>
      </w:r>
      <w:r w:rsidR="003803F6" w:rsidRPr="00AC724E">
        <w:rPr>
          <w:rFonts w:ascii="Arial" w:hAnsi="Arial" w:cs="Arial"/>
        </w:rPr>
        <w:t xml:space="preserve"> </w:t>
      </w:r>
      <w:r w:rsidRPr="00AC724E">
        <w:rPr>
          <w:rFonts w:ascii="Arial" w:hAnsi="Arial" w:cs="Arial"/>
        </w:rPr>
        <w:t xml:space="preserve">min and subjected to </w:t>
      </w:r>
      <w:r w:rsidR="003803F6" w:rsidRPr="00AC724E">
        <w:rPr>
          <w:rFonts w:ascii="Arial" w:hAnsi="Arial" w:cs="Arial"/>
        </w:rPr>
        <w:t>w</w:t>
      </w:r>
      <w:r w:rsidRPr="00AC724E">
        <w:rPr>
          <w:rFonts w:ascii="Arial" w:hAnsi="Arial" w:cs="Arial"/>
        </w:rPr>
        <w:t xml:space="preserve">estern blot analysis. The following antibodies were used to probe receptor activation: total KDR (Cell Signaling, cat. </w:t>
      </w:r>
      <w:proofErr w:type="spellStart"/>
      <w:r w:rsidRPr="00AC724E">
        <w:rPr>
          <w:rFonts w:ascii="Arial" w:hAnsi="Arial" w:cs="Arial"/>
        </w:rPr>
        <w:t>Nr</w:t>
      </w:r>
      <w:proofErr w:type="spellEnd"/>
      <w:r w:rsidRPr="00AC724E">
        <w:rPr>
          <w:rFonts w:ascii="Arial" w:hAnsi="Arial" w:cs="Arial"/>
        </w:rPr>
        <w:t xml:space="preserve"> 2479), </w:t>
      </w:r>
      <w:proofErr w:type="spellStart"/>
      <w:r w:rsidRPr="00AC724E">
        <w:rPr>
          <w:rFonts w:ascii="Arial" w:hAnsi="Arial" w:cs="Arial"/>
        </w:rPr>
        <w:t>phospho</w:t>
      </w:r>
      <w:proofErr w:type="spellEnd"/>
      <w:r w:rsidRPr="00AC724E">
        <w:rPr>
          <w:rFonts w:ascii="Arial" w:hAnsi="Arial" w:cs="Arial"/>
        </w:rPr>
        <w:t xml:space="preserve"> KDR at Y1175 (Cell Signaling, cat. </w:t>
      </w:r>
      <w:proofErr w:type="spellStart"/>
      <w:r w:rsidRPr="00AC724E">
        <w:rPr>
          <w:rFonts w:ascii="Arial" w:hAnsi="Arial" w:cs="Arial"/>
        </w:rPr>
        <w:t>Nr</w:t>
      </w:r>
      <w:proofErr w:type="spellEnd"/>
      <w:r w:rsidRPr="00AC724E">
        <w:rPr>
          <w:rFonts w:ascii="Arial" w:hAnsi="Arial" w:cs="Arial"/>
        </w:rPr>
        <w:t xml:space="preserve"> 2478). </w:t>
      </w:r>
      <w:r w:rsidR="004E6AB8" w:rsidRPr="00AC724E">
        <w:rPr>
          <w:rFonts w:ascii="Arial" w:hAnsi="Arial" w:cs="Arial"/>
        </w:rPr>
        <w:t>The s</w:t>
      </w:r>
      <w:r w:rsidRPr="00AC724E">
        <w:rPr>
          <w:rFonts w:ascii="Arial" w:hAnsi="Arial" w:cs="Arial"/>
        </w:rPr>
        <w:t>econdary antibodies</w:t>
      </w:r>
      <w:r w:rsidR="004E6AB8" w:rsidRPr="00AC724E">
        <w:rPr>
          <w:rFonts w:ascii="Arial" w:hAnsi="Arial" w:cs="Arial"/>
        </w:rPr>
        <w:t xml:space="preserve"> used</w:t>
      </w:r>
      <w:r w:rsidRPr="00AC724E">
        <w:rPr>
          <w:rFonts w:ascii="Arial" w:hAnsi="Arial" w:cs="Arial"/>
        </w:rPr>
        <w:t xml:space="preserve"> were alkaline phosphatase (AP) conjugated (Southern Biotech). All antibodies were diluted at a 1:1000 ratio in 5% BSA in </w:t>
      </w:r>
      <w:proofErr w:type="spellStart"/>
      <w:r w:rsidRPr="00AC724E">
        <w:rPr>
          <w:rFonts w:ascii="Arial" w:hAnsi="Arial" w:cs="Arial"/>
        </w:rPr>
        <w:t>Tris</w:t>
      </w:r>
      <w:proofErr w:type="spellEnd"/>
      <w:r w:rsidRPr="00AC724E">
        <w:rPr>
          <w:rFonts w:ascii="Arial" w:hAnsi="Arial" w:cs="Arial"/>
        </w:rPr>
        <w:t xml:space="preserve">-buffered saline, containing 0.05% Tween20 (TBST) buffer. The </w:t>
      </w:r>
      <w:proofErr w:type="spellStart"/>
      <w:r w:rsidRPr="00AC724E">
        <w:rPr>
          <w:rFonts w:ascii="Arial" w:hAnsi="Arial" w:cs="Arial"/>
        </w:rPr>
        <w:t>chemiluminescence</w:t>
      </w:r>
      <w:proofErr w:type="spellEnd"/>
      <w:r w:rsidRPr="00AC724E">
        <w:rPr>
          <w:rFonts w:ascii="Arial" w:hAnsi="Arial" w:cs="Arial"/>
        </w:rPr>
        <w:t xml:space="preserve"> signal was developed with the </w:t>
      </w:r>
      <w:proofErr w:type="spellStart"/>
      <w:r w:rsidRPr="00AC724E">
        <w:rPr>
          <w:rFonts w:ascii="Arial" w:hAnsi="Arial" w:cs="Arial"/>
        </w:rPr>
        <w:t>Novex</w:t>
      </w:r>
      <w:proofErr w:type="spellEnd"/>
      <w:r w:rsidRPr="00AC724E">
        <w:rPr>
          <w:rFonts w:ascii="Arial" w:hAnsi="Arial" w:cs="Arial"/>
        </w:rPr>
        <w:t xml:space="preserve"> AP </w:t>
      </w:r>
      <w:proofErr w:type="spellStart"/>
      <w:r w:rsidRPr="00AC724E">
        <w:rPr>
          <w:rFonts w:ascii="Arial" w:hAnsi="Arial" w:cs="Arial"/>
        </w:rPr>
        <w:t>Chemiluminescence</w:t>
      </w:r>
      <w:proofErr w:type="spellEnd"/>
      <w:r w:rsidRPr="00AC724E">
        <w:rPr>
          <w:rFonts w:ascii="Arial" w:hAnsi="Arial" w:cs="Arial"/>
        </w:rPr>
        <w:t xml:space="preserve"> substrate (Invitrogen, cat. </w:t>
      </w:r>
      <w:proofErr w:type="spellStart"/>
      <w:r w:rsidRPr="00AC724E">
        <w:rPr>
          <w:rFonts w:ascii="Arial" w:hAnsi="Arial" w:cs="Arial"/>
        </w:rPr>
        <w:t>Nr</w:t>
      </w:r>
      <w:proofErr w:type="spellEnd"/>
      <w:r w:rsidRPr="00AC724E">
        <w:rPr>
          <w:rFonts w:ascii="Arial" w:hAnsi="Arial" w:cs="Arial"/>
        </w:rPr>
        <w:t xml:space="preserve"> 100002906), recorde</w:t>
      </w:r>
      <w:r w:rsidR="004E6AB8" w:rsidRPr="00AC724E">
        <w:rPr>
          <w:rFonts w:ascii="Arial" w:hAnsi="Arial" w:cs="Arial"/>
        </w:rPr>
        <w:t>d</w:t>
      </w:r>
      <w:r w:rsidRPr="00AC724E">
        <w:rPr>
          <w:rFonts w:ascii="Arial" w:hAnsi="Arial" w:cs="Arial"/>
        </w:rPr>
        <w:t xml:space="preserve"> with an </w:t>
      </w:r>
      <w:proofErr w:type="spellStart"/>
      <w:r w:rsidRPr="00AC724E">
        <w:rPr>
          <w:rFonts w:ascii="Arial" w:hAnsi="Arial" w:cs="Arial"/>
        </w:rPr>
        <w:t>Amersham</w:t>
      </w:r>
      <w:proofErr w:type="spellEnd"/>
      <w:r w:rsidRPr="00AC724E">
        <w:rPr>
          <w:rFonts w:ascii="Arial" w:hAnsi="Arial" w:cs="Arial"/>
        </w:rPr>
        <w:t xml:space="preserve"> Imager 600 (</w:t>
      </w:r>
      <w:proofErr w:type="spellStart"/>
      <w:r w:rsidRPr="00AC724E">
        <w:rPr>
          <w:rFonts w:ascii="Arial" w:hAnsi="Arial" w:cs="Arial"/>
        </w:rPr>
        <w:t>Amersham</w:t>
      </w:r>
      <w:proofErr w:type="spellEnd"/>
      <w:r w:rsidRPr="00AC724E">
        <w:rPr>
          <w:rFonts w:ascii="Arial" w:hAnsi="Arial" w:cs="Arial"/>
        </w:rPr>
        <w:t>)</w:t>
      </w:r>
      <w:r w:rsidR="004E6AB8" w:rsidRPr="00AC724E">
        <w:rPr>
          <w:rFonts w:ascii="Arial" w:hAnsi="Arial" w:cs="Arial"/>
        </w:rPr>
        <w:t>,</w:t>
      </w:r>
      <w:r w:rsidRPr="00AC724E">
        <w:rPr>
          <w:rFonts w:ascii="Arial" w:hAnsi="Arial" w:cs="Arial"/>
        </w:rPr>
        <w:t xml:space="preserve"> and quantified by ImageJ (NIH). Activation of KDR was assessed by the ratio of </w:t>
      </w:r>
      <w:proofErr w:type="spellStart"/>
      <w:r w:rsidRPr="00AC724E">
        <w:rPr>
          <w:rFonts w:ascii="Arial" w:hAnsi="Arial" w:cs="Arial"/>
        </w:rPr>
        <w:t>phospho</w:t>
      </w:r>
      <w:proofErr w:type="spellEnd"/>
      <w:r w:rsidRPr="00AC724E">
        <w:rPr>
          <w:rFonts w:ascii="Arial" w:hAnsi="Arial" w:cs="Arial"/>
        </w:rPr>
        <w:t>-to-total signal.</w:t>
      </w:r>
    </w:p>
    <w:p w14:paraId="1B291336" w14:textId="1D520954" w:rsidR="004351A0" w:rsidRPr="00AC724E" w:rsidRDefault="004351A0" w:rsidP="004351A0">
      <w:pPr>
        <w:pStyle w:val="ListParagraph"/>
        <w:numPr>
          <w:ilvl w:val="0"/>
          <w:numId w:val="1"/>
        </w:numPr>
        <w:spacing w:line="480" w:lineRule="auto"/>
        <w:jc w:val="both"/>
        <w:outlineLvl w:val="0"/>
        <w:rPr>
          <w:rFonts w:ascii="Arial" w:hAnsi="Arial" w:cs="Arial"/>
          <w:b/>
        </w:rPr>
      </w:pPr>
      <w:r w:rsidRPr="00AC724E">
        <w:rPr>
          <w:rFonts w:ascii="Arial" w:hAnsi="Arial" w:cs="Arial"/>
          <w:b/>
        </w:rPr>
        <w:t>Tissue immunofluorescence</w:t>
      </w:r>
    </w:p>
    <w:p w14:paraId="0E384F56" w14:textId="17DF003D" w:rsidR="004351A0" w:rsidRPr="00AC724E" w:rsidRDefault="004351A0" w:rsidP="00062D4A">
      <w:pPr>
        <w:spacing w:line="480" w:lineRule="auto"/>
        <w:jc w:val="both"/>
        <w:outlineLvl w:val="0"/>
        <w:rPr>
          <w:rFonts w:ascii="Arial" w:hAnsi="Arial" w:cs="Arial"/>
        </w:rPr>
      </w:pPr>
      <w:r w:rsidRPr="00AC724E">
        <w:rPr>
          <w:rFonts w:ascii="Arial" w:hAnsi="Arial" w:cs="Arial"/>
        </w:rPr>
        <w:t xml:space="preserve">Immunofluorescence staining was </w:t>
      </w:r>
      <w:r w:rsidR="00A83510" w:rsidRPr="00AC724E">
        <w:rPr>
          <w:rFonts w:ascii="Arial" w:hAnsi="Arial" w:cs="Arial"/>
        </w:rPr>
        <w:t>performed to detect</w:t>
      </w:r>
      <w:r w:rsidRPr="00AC724E">
        <w:rPr>
          <w:rFonts w:ascii="Arial" w:hAnsi="Arial" w:cs="Arial"/>
        </w:rPr>
        <w:t xml:space="preserve"> p-ERK and p-AKT. Formalin-fixed and paraffin-embedded tumors from Avatar models were cut into 3-mm-thick sections, </w:t>
      </w:r>
      <w:proofErr w:type="spellStart"/>
      <w:r w:rsidRPr="00AC724E">
        <w:rPr>
          <w:rFonts w:ascii="Arial" w:hAnsi="Arial" w:cs="Arial"/>
        </w:rPr>
        <w:t>deparaffinized</w:t>
      </w:r>
      <w:proofErr w:type="spellEnd"/>
      <w:r w:rsidRPr="00AC724E">
        <w:rPr>
          <w:rFonts w:ascii="Arial" w:hAnsi="Arial" w:cs="Arial"/>
        </w:rPr>
        <w:t xml:space="preserve">, and </w:t>
      </w:r>
      <w:proofErr w:type="spellStart"/>
      <w:r w:rsidRPr="00AC724E">
        <w:rPr>
          <w:rFonts w:ascii="Arial" w:hAnsi="Arial" w:cs="Arial"/>
        </w:rPr>
        <w:t>preincubated</w:t>
      </w:r>
      <w:proofErr w:type="spellEnd"/>
      <w:r w:rsidRPr="00AC724E">
        <w:rPr>
          <w:rFonts w:ascii="Arial" w:hAnsi="Arial" w:cs="Arial"/>
        </w:rPr>
        <w:t xml:space="preserve"> with </w:t>
      </w:r>
      <w:r w:rsidR="006353B8" w:rsidRPr="00AC724E">
        <w:rPr>
          <w:rFonts w:ascii="Arial" w:hAnsi="Arial" w:cs="Arial"/>
        </w:rPr>
        <w:t>FBS</w:t>
      </w:r>
      <w:r w:rsidRPr="00AC724E">
        <w:rPr>
          <w:rFonts w:ascii="Arial" w:hAnsi="Arial" w:cs="Arial"/>
        </w:rPr>
        <w:t xml:space="preserve"> to prevent nonspecific binding. The sections were incubated at room temperature for 30 min with</w:t>
      </w:r>
      <w:r w:rsidR="006353B8" w:rsidRPr="00AC724E">
        <w:rPr>
          <w:rFonts w:ascii="Arial" w:hAnsi="Arial" w:cs="Arial"/>
        </w:rPr>
        <w:t xml:space="preserve"> a</w:t>
      </w:r>
      <w:r w:rsidRPr="00AC724E">
        <w:rPr>
          <w:rFonts w:ascii="Arial" w:hAnsi="Arial" w:cs="Arial"/>
        </w:rPr>
        <w:t xml:space="preserve"> rabbit polyclonal antibody to p-ERK (1:300; Cell Signaling #9101) or</w:t>
      </w:r>
      <w:r w:rsidR="006353B8" w:rsidRPr="00AC724E">
        <w:rPr>
          <w:rFonts w:ascii="Arial" w:hAnsi="Arial" w:cs="Arial"/>
        </w:rPr>
        <w:t xml:space="preserve"> a</w:t>
      </w:r>
      <w:r w:rsidRPr="00AC724E">
        <w:rPr>
          <w:rFonts w:ascii="Arial" w:hAnsi="Arial" w:cs="Arial"/>
        </w:rPr>
        <w:t xml:space="preserve"> rabbit monoclonal antibody (D9E) to p-AKT (1:300, Cell Signaling #4060)</w:t>
      </w:r>
      <w:r w:rsidR="006353B8" w:rsidRPr="00AC724E">
        <w:rPr>
          <w:rFonts w:ascii="Arial" w:hAnsi="Arial" w:cs="Arial"/>
        </w:rPr>
        <w:t>,</w:t>
      </w:r>
      <w:r w:rsidRPr="00AC724E">
        <w:rPr>
          <w:rFonts w:ascii="Arial" w:hAnsi="Arial" w:cs="Arial"/>
        </w:rPr>
        <w:t xml:space="preserve"> followed by incubation with Alexa Fluor 555–conjugated donkey anti</w:t>
      </w:r>
      <w:r w:rsidR="006353B8" w:rsidRPr="00AC724E">
        <w:rPr>
          <w:rFonts w:ascii="Arial" w:hAnsi="Arial" w:cs="Arial"/>
        </w:rPr>
        <w:t>-</w:t>
      </w:r>
      <w:r w:rsidRPr="00AC724E">
        <w:rPr>
          <w:rFonts w:ascii="Arial" w:hAnsi="Arial" w:cs="Arial"/>
        </w:rPr>
        <w:t xml:space="preserve">rabbit IgG (1:400; Life Technologies#A27039) at 37ºC for 20 min. Nuclei were counterstained with DAPI (Molecular Probes) at </w:t>
      </w:r>
      <w:proofErr w:type="gramStart"/>
      <w:r w:rsidRPr="00AC724E">
        <w:rPr>
          <w:rFonts w:ascii="Arial" w:hAnsi="Arial" w:cs="Arial"/>
        </w:rPr>
        <w:t>1:1,000</w:t>
      </w:r>
      <w:proofErr w:type="gramEnd"/>
      <w:r w:rsidRPr="00AC724E">
        <w:rPr>
          <w:rFonts w:ascii="Arial" w:hAnsi="Arial" w:cs="Arial"/>
        </w:rPr>
        <w:t xml:space="preserve"> dilution</w:t>
      </w:r>
      <w:r w:rsidR="006353B8" w:rsidRPr="00AC724E">
        <w:rPr>
          <w:rFonts w:ascii="Arial" w:hAnsi="Arial" w:cs="Arial"/>
        </w:rPr>
        <w:t>,</w:t>
      </w:r>
      <w:r w:rsidRPr="00AC724E">
        <w:rPr>
          <w:rFonts w:ascii="Arial" w:hAnsi="Arial" w:cs="Arial"/>
        </w:rPr>
        <w:t xml:space="preserve"> and </w:t>
      </w:r>
      <w:r w:rsidR="006353B8" w:rsidRPr="00AC724E">
        <w:rPr>
          <w:rFonts w:ascii="Arial" w:hAnsi="Arial" w:cs="Arial"/>
        </w:rPr>
        <w:t xml:space="preserve">the </w:t>
      </w:r>
      <w:r w:rsidRPr="00AC724E">
        <w:rPr>
          <w:rFonts w:ascii="Arial" w:hAnsi="Arial" w:cs="Arial"/>
        </w:rPr>
        <w:t xml:space="preserve">slides were mounted with </w:t>
      </w:r>
      <w:proofErr w:type="spellStart"/>
      <w:r w:rsidRPr="00AC724E">
        <w:rPr>
          <w:rFonts w:ascii="Arial" w:hAnsi="Arial" w:cs="Arial"/>
        </w:rPr>
        <w:t>Mowiol</w:t>
      </w:r>
      <w:proofErr w:type="spellEnd"/>
      <w:r w:rsidRPr="00AC724E">
        <w:rPr>
          <w:rFonts w:ascii="Arial" w:hAnsi="Arial" w:cs="Arial"/>
        </w:rPr>
        <w:t xml:space="preserve"> 4-88 (</w:t>
      </w:r>
      <w:proofErr w:type="spellStart"/>
      <w:r w:rsidRPr="00AC724E">
        <w:rPr>
          <w:rFonts w:ascii="Arial" w:hAnsi="Arial" w:cs="Arial"/>
        </w:rPr>
        <w:t>Calbiochem</w:t>
      </w:r>
      <w:proofErr w:type="spellEnd"/>
      <w:r w:rsidRPr="00AC724E">
        <w:rPr>
          <w:rFonts w:ascii="Arial" w:hAnsi="Arial" w:cs="Arial"/>
        </w:rPr>
        <w:t xml:space="preserve">). Images were acquired </w:t>
      </w:r>
      <w:r w:rsidR="006353B8" w:rsidRPr="00AC724E">
        <w:rPr>
          <w:rFonts w:ascii="Arial" w:hAnsi="Arial" w:cs="Arial"/>
        </w:rPr>
        <w:t xml:space="preserve">with a confocal TCS-SP5 (AOBS-UV) (Leica Microsystems) confocal microscope, equipped with a </w:t>
      </w:r>
      <w:r w:rsidRPr="00AC724E">
        <w:rPr>
          <w:rFonts w:ascii="Arial" w:hAnsi="Arial" w:cs="Arial"/>
        </w:rPr>
        <w:t>20xHCX PL APO 0.7 N.A. objective.</w:t>
      </w:r>
    </w:p>
    <w:p w14:paraId="7F8C3C40" w14:textId="77777777" w:rsidR="00062D4A" w:rsidRPr="00AC724E" w:rsidRDefault="00062D4A" w:rsidP="00062D4A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Arial" w:eastAsia="Calibri" w:hAnsi="Arial" w:cs="Arial"/>
          <w:b/>
          <w:bCs/>
          <w:lang w:val="en"/>
        </w:rPr>
      </w:pPr>
      <w:r w:rsidRPr="00AC724E">
        <w:rPr>
          <w:rFonts w:ascii="Arial" w:eastAsia="Calibri" w:hAnsi="Arial" w:cs="Arial"/>
          <w:b/>
          <w:bCs/>
          <w:lang w:val="en"/>
        </w:rPr>
        <w:t>Proliferation assays</w:t>
      </w:r>
    </w:p>
    <w:p w14:paraId="41F07057" w14:textId="47FF71B2" w:rsidR="00062D4A" w:rsidRPr="00AC724E" w:rsidRDefault="00062D4A" w:rsidP="00062D4A">
      <w:pPr>
        <w:spacing w:line="480" w:lineRule="auto"/>
        <w:jc w:val="both"/>
        <w:rPr>
          <w:rFonts w:ascii="Arial" w:eastAsia="Calibri" w:hAnsi="Arial" w:cs="Arial"/>
        </w:rPr>
      </w:pPr>
      <w:r w:rsidRPr="00AC724E">
        <w:rPr>
          <w:rFonts w:ascii="Arial" w:eastAsia="Calibri" w:hAnsi="Arial" w:cs="Arial"/>
        </w:rPr>
        <w:t>Proliferation assays were performed using</w:t>
      </w:r>
      <w:r w:rsidR="00597755" w:rsidRPr="00AC724E">
        <w:rPr>
          <w:rFonts w:ascii="Arial" w:eastAsia="Calibri" w:hAnsi="Arial" w:cs="Arial"/>
        </w:rPr>
        <w:t xml:space="preserve"> the</w:t>
      </w:r>
      <w:r w:rsidRPr="00AC724E">
        <w:rPr>
          <w:rFonts w:ascii="Arial" w:eastAsia="Calibri" w:hAnsi="Arial" w:cs="Arial"/>
        </w:rPr>
        <w:t xml:space="preserve"> </w:t>
      </w:r>
      <w:proofErr w:type="spellStart"/>
      <w:r w:rsidRPr="00AC724E">
        <w:rPr>
          <w:rFonts w:ascii="Arial" w:eastAsia="Calibri" w:hAnsi="Arial" w:cs="Arial"/>
        </w:rPr>
        <w:t>CellTiter-Glo</w:t>
      </w:r>
      <w:proofErr w:type="spellEnd"/>
      <w:r w:rsidRPr="00AC724E">
        <w:rPr>
          <w:rFonts w:ascii="Arial" w:eastAsia="Calibri" w:hAnsi="Arial" w:cs="Arial"/>
        </w:rPr>
        <w:t>® Luminescent Cell Viability Assay (</w:t>
      </w:r>
      <w:proofErr w:type="spellStart"/>
      <w:r w:rsidRPr="00AC724E">
        <w:rPr>
          <w:rFonts w:ascii="Arial" w:eastAsia="Calibri" w:hAnsi="Arial" w:cs="Arial"/>
        </w:rPr>
        <w:t>Promega</w:t>
      </w:r>
      <w:proofErr w:type="spellEnd"/>
      <w:r w:rsidRPr="00AC724E">
        <w:rPr>
          <w:rFonts w:ascii="Arial" w:eastAsia="Calibri" w:hAnsi="Arial" w:cs="Arial"/>
        </w:rPr>
        <w:t>). Briefly, cell lines were seeded in 96-well micro</w:t>
      </w:r>
      <w:r w:rsidR="005E509B" w:rsidRPr="00AC724E">
        <w:rPr>
          <w:rFonts w:ascii="Arial" w:eastAsia="Calibri" w:hAnsi="Arial" w:cs="Arial"/>
        </w:rPr>
        <w:t>t</w:t>
      </w:r>
      <w:r w:rsidRPr="00AC724E">
        <w:rPr>
          <w:rFonts w:ascii="Arial" w:eastAsia="Calibri" w:hAnsi="Arial" w:cs="Arial"/>
        </w:rPr>
        <w:t xml:space="preserve">iter plates at a density of 10000 cells/well </w:t>
      </w:r>
      <w:r w:rsidRPr="00AC724E">
        <w:rPr>
          <w:rFonts w:ascii="Arial" w:eastAsia="Calibri" w:hAnsi="Arial" w:cs="Arial"/>
        </w:rPr>
        <w:lastRenderedPageBreak/>
        <w:t>and were incubated for 24 h before adding the</w:t>
      </w:r>
      <w:r w:rsidR="005E509B" w:rsidRPr="00AC724E">
        <w:rPr>
          <w:rFonts w:ascii="Arial" w:eastAsia="Calibri" w:hAnsi="Arial" w:cs="Arial"/>
        </w:rPr>
        <w:t xml:space="preserve"> </w:t>
      </w:r>
      <w:r w:rsidR="00865F76" w:rsidRPr="00AC724E">
        <w:rPr>
          <w:rFonts w:ascii="Arial" w:eastAsia="Calibri" w:hAnsi="Arial" w:cs="Arial"/>
        </w:rPr>
        <w:t>various drugs</w:t>
      </w:r>
      <w:r w:rsidRPr="00AC724E">
        <w:rPr>
          <w:rFonts w:ascii="Arial" w:eastAsia="Calibri" w:hAnsi="Arial" w:cs="Arial"/>
        </w:rPr>
        <w:t xml:space="preserve">. </w:t>
      </w:r>
      <w:r w:rsidR="00C75038" w:rsidRPr="00AC724E">
        <w:rPr>
          <w:rFonts w:ascii="Arial" w:eastAsia="Calibri" w:hAnsi="Arial" w:cs="Arial"/>
        </w:rPr>
        <w:t>A “mother plate” containing drugs at a concentration 200× higher than the final concentration to be used in the cell culture was prepared by serial dilutions of</w:t>
      </w:r>
      <w:r w:rsidR="00E461C3" w:rsidRPr="00AC724E">
        <w:rPr>
          <w:rFonts w:ascii="Arial" w:eastAsia="Calibri" w:hAnsi="Arial" w:cs="Arial"/>
        </w:rPr>
        <w:t xml:space="preserve"> s</w:t>
      </w:r>
      <w:r w:rsidR="00C32179" w:rsidRPr="00AC724E">
        <w:rPr>
          <w:rFonts w:ascii="Arial" w:eastAsia="Calibri" w:hAnsi="Arial" w:cs="Arial"/>
        </w:rPr>
        <w:t>tock s</w:t>
      </w:r>
      <w:r w:rsidR="001304C6" w:rsidRPr="00AC724E">
        <w:rPr>
          <w:rFonts w:ascii="Arial" w:eastAsia="Calibri" w:hAnsi="Arial" w:cs="Arial"/>
        </w:rPr>
        <w:t xml:space="preserve">olutions of </w:t>
      </w:r>
      <w:r w:rsidR="00E461C3" w:rsidRPr="00AC724E">
        <w:rPr>
          <w:rFonts w:ascii="Arial" w:eastAsia="Calibri" w:hAnsi="Arial" w:cs="Arial"/>
        </w:rPr>
        <w:t xml:space="preserve">the drugs (10 </w:t>
      </w:r>
      <w:proofErr w:type="spellStart"/>
      <w:r w:rsidR="00E461C3" w:rsidRPr="00AC724E">
        <w:rPr>
          <w:rFonts w:ascii="Arial" w:eastAsia="Calibri" w:hAnsi="Arial" w:cs="Arial"/>
        </w:rPr>
        <w:t>mM</w:t>
      </w:r>
      <w:proofErr w:type="spellEnd"/>
      <w:r w:rsidR="00E461C3" w:rsidRPr="00AC724E">
        <w:rPr>
          <w:rFonts w:ascii="Arial" w:eastAsia="Calibri" w:hAnsi="Arial" w:cs="Arial"/>
        </w:rPr>
        <w:t xml:space="preserve">) </w:t>
      </w:r>
      <w:r w:rsidR="001304C6" w:rsidRPr="00AC724E">
        <w:rPr>
          <w:rFonts w:ascii="Arial" w:eastAsia="Calibri" w:hAnsi="Arial" w:cs="Arial"/>
        </w:rPr>
        <w:t>in</w:t>
      </w:r>
      <w:r w:rsidRPr="00AC724E">
        <w:rPr>
          <w:rFonts w:ascii="Arial" w:eastAsia="Calibri" w:hAnsi="Arial" w:cs="Arial"/>
        </w:rPr>
        <w:t xml:space="preserve"> DMSO. </w:t>
      </w:r>
      <w:r w:rsidR="00521DDB" w:rsidRPr="00AC724E">
        <w:rPr>
          <w:rFonts w:ascii="Arial" w:eastAsia="Calibri" w:hAnsi="Arial" w:cs="Arial"/>
        </w:rPr>
        <w:t>T</w:t>
      </w:r>
      <w:r w:rsidRPr="00AC724E">
        <w:rPr>
          <w:rFonts w:ascii="Arial" w:eastAsia="Calibri" w:hAnsi="Arial" w:cs="Arial"/>
        </w:rPr>
        <w:t xml:space="preserve">he appropriate volume </w:t>
      </w:r>
      <w:r w:rsidR="001545CB" w:rsidRPr="00AC724E">
        <w:rPr>
          <w:rFonts w:ascii="Arial" w:eastAsia="Calibri" w:hAnsi="Arial" w:cs="Arial"/>
        </w:rPr>
        <w:t xml:space="preserve">from each drug </w:t>
      </w:r>
      <w:r w:rsidRPr="00AC724E">
        <w:rPr>
          <w:rFonts w:ascii="Arial" w:eastAsia="Calibri" w:hAnsi="Arial" w:cs="Arial"/>
        </w:rPr>
        <w:t>(usually 2</w:t>
      </w:r>
      <w:r w:rsidR="001304C6" w:rsidRPr="00AC724E">
        <w:rPr>
          <w:rFonts w:ascii="Arial" w:eastAsia="Calibri" w:hAnsi="Arial" w:cs="Arial"/>
        </w:rPr>
        <w:t xml:space="preserve"> </w:t>
      </w:r>
      <w:proofErr w:type="spellStart"/>
      <w:r w:rsidRPr="00AC724E">
        <w:rPr>
          <w:rFonts w:ascii="Arial" w:eastAsia="Calibri" w:hAnsi="Arial" w:cs="Arial"/>
        </w:rPr>
        <w:t>μL</w:t>
      </w:r>
      <w:proofErr w:type="spellEnd"/>
      <w:r w:rsidRPr="00AC724E">
        <w:rPr>
          <w:rFonts w:ascii="Arial" w:eastAsia="Calibri" w:hAnsi="Arial" w:cs="Arial"/>
        </w:rPr>
        <w:t xml:space="preserve">) was added automatically (Beckman FX 96 tip) </w:t>
      </w:r>
      <w:r w:rsidR="00521DDB" w:rsidRPr="00AC724E">
        <w:rPr>
          <w:rFonts w:ascii="Arial" w:eastAsia="Calibri" w:hAnsi="Arial" w:cs="Arial"/>
        </w:rPr>
        <w:t xml:space="preserve">from this plate </w:t>
      </w:r>
      <w:r w:rsidRPr="00AC724E">
        <w:rPr>
          <w:rFonts w:ascii="Arial" w:eastAsia="Calibri" w:hAnsi="Arial" w:cs="Arial"/>
        </w:rPr>
        <w:t>to</w:t>
      </w:r>
      <w:r w:rsidR="001545CB" w:rsidRPr="00AC724E">
        <w:rPr>
          <w:rFonts w:ascii="Arial" w:eastAsia="Calibri" w:hAnsi="Arial" w:cs="Arial"/>
        </w:rPr>
        <w:t xml:space="preserve"> the cell culture</w:t>
      </w:r>
      <w:r w:rsidRPr="00AC724E">
        <w:rPr>
          <w:rFonts w:ascii="Arial" w:eastAsia="Calibri" w:hAnsi="Arial" w:cs="Arial"/>
        </w:rPr>
        <w:t xml:space="preserve"> </w:t>
      </w:r>
      <w:r w:rsidR="00521DDB" w:rsidRPr="00AC724E">
        <w:rPr>
          <w:rFonts w:ascii="Arial" w:eastAsia="Calibri" w:hAnsi="Arial" w:cs="Arial"/>
        </w:rPr>
        <w:t xml:space="preserve">plate </w:t>
      </w:r>
      <w:r w:rsidRPr="00AC724E">
        <w:rPr>
          <w:rFonts w:ascii="Arial" w:eastAsia="Calibri" w:hAnsi="Arial" w:cs="Arial"/>
        </w:rPr>
        <w:t xml:space="preserve">to </w:t>
      </w:r>
      <w:r w:rsidR="00E461C3" w:rsidRPr="00AC724E">
        <w:rPr>
          <w:rFonts w:ascii="Arial" w:eastAsia="Calibri" w:hAnsi="Arial" w:cs="Arial"/>
        </w:rPr>
        <w:t>reach</w:t>
      </w:r>
      <w:r w:rsidRPr="00AC724E">
        <w:rPr>
          <w:rFonts w:ascii="Arial" w:eastAsia="Calibri" w:hAnsi="Arial" w:cs="Arial"/>
        </w:rPr>
        <w:t xml:space="preserve"> the final concentration for each drug. Each concentration was assayed </w:t>
      </w:r>
      <w:r w:rsidR="00C75038" w:rsidRPr="00AC724E">
        <w:rPr>
          <w:rFonts w:ascii="Arial" w:eastAsia="Calibri" w:hAnsi="Arial" w:cs="Arial"/>
        </w:rPr>
        <w:t>twice</w:t>
      </w:r>
      <w:r w:rsidRPr="00AC724E">
        <w:rPr>
          <w:rFonts w:ascii="Arial" w:eastAsia="Calibri" w:hAnsi="Arial" w:cs="Arial"/>
        </w:rPr>
        <w:t>.</w:t>
      </w:r>
      <w:r w:rsidR="001545CB" w:rsidRPr="00AC724E">
        <w:rPr>
          <w:rFonts w:ascii="Arial" w:eastAsia="Calibri" w:hAnsi="Arial" w:cs="Arial"/>
        </w:rPr>
        <w:t xml:space="preserve"> The final concentration of DMSO in the tissue culture media did not exceed 1%.</w:t>
      </w:r>
      <w:r w:rsidRPr="00AC724E">
        <w:rPr>
          <w:rFonts w:ascii="Arial" w:eastAsia="Calibri" w:hAnsi="Arial" w:cs="Arial"/>
        </w:rPr>
        <w:t xml:space="preserve"> </w:t>
      </w:r>
      <w:r w:rsidR="00C75038" w:rsidRPr="00AC724E">
        <w:rPr>
          <w:rFonts w:ascii="Arial" w:eastAsia="Calibri" w:hAnsi="Arial" w:cs="Arial"/>
        </w:rPr>
        <w:t>The c</w:t>
      </w:r>
      <w:r w:rsidRPr="00AC724E">
        <w:rPr>
          <w:rFonts w:ascii="Arial" w:eastAsia="Calibri" w:hAnsi="Arial" w:cs="Arial"/>
        </w:rPr>
        <w:t xml:space="preserve">ells were exposed to the </w:t>
      </w:r>
      <w:r w:rsidR="00521DDB" w:rsidRPr="00AC724E">
        <w:rPr>
          <w:rFonts w:ascii="Arial" w:eastAsia="Calibri" w:hAnsi="Arial" w:cs="Arial"/>
        </w:rPr>
        <w:t xml:space="preserve">drugs </w:t>
      </w:r>
      <w:r w:rsidRPr="00AC724E">
        <w:rPr>
          <w:rFonts w:ascii="Arial" w:eastAsia="Calibri" w:hAnsi="Arial" w:cs="Arial"/>
        </w:rPr>
        <w:t xml:space="preserve">for 72 h and then </w:t>
      </w:r>
      <w:r w:rsidR="001545CB" w:rsidRPr="00AC724E">
        <w:rPr>
          <w:rFonts w:ascii="Arial" w:eastAsia="Calibri" w:hAnsi="Arial" w:cs="Arial"/>
        </w:rPr>
        <w:t>analyzed using</w:t>
      </w:r>
      <w:r w:rsidR="00C75038" w:rsidRPr="00AC724E">
        <w:rPr>
          <w:rFonts w:ascii="Arial" w:eastAsia="Calibri" w:hAnsi="Arial" w:cs="Arial"/>
        </w:rPr>
        <w:t xml:space="preserve"> the</w:t>
      </w:r>
      <w:r w:rsidRPr="00AC724E">
        <w:rPr>
          <w:rFonts w:ascii="Arial" w:eastAsia="Calibri" w:hAnsi="Arial" w:cs="Arial"/>
        </w:rPr>
        <w:t xml:space="preserve"> </w:t>
      </w:r>
      <w:proofErr w:type="spellStart"/>
      <w:r w:rsidRPr="00AC724E">
        <w:rPr>
          <w:rFonts w:ascii="Arial" w:eastAsia="Calibri" w:hAnsi="Arial" w:cs="Arial"/>
        </w:rPr>
        <w:t>CellTiter-Glo</w:t>
      </w:r>
      <w:proofErr w:type="spellEnd"/>
      <w:r w:rsidRPr="00AC724E">
        <w:rPr>
          <w:rFonts w:ascii="Arial" w:eastAsia="Calibri" w:hAnsi="Arial" w:cs="Arial"/>
        </w:rPr>
        <w:t>® Lumin</w:t>
      </w:r>
      <w:r w:rsidR="00F60A5D" w:rsidRPr="00AC724E">
        <w:rPr>
          <w:rFonts w:ascii="Arial" w:eastAsia="Calibri" w:hAnsi="Arial" w:cs="Arial"/>
        </w:rPr>
        <w:t>e</w:t>
      </w:r>
      <w:r w:rsidRPr="00AC724E">
        <w:rPr>
          <w:rFonts w:ascii="Arial" w:eastAsia="Calibri" w:hAnsi="Arial" w:cs="Arial"/>
        </w:rPr>
        <w:t>scent Cell Viability Assay (</w:t>
      </w:r>
      <w:proofErr w:type="spellStart"/>
      <w:r w:rsidRPr="00AC724E">
        <w:rPr>
          <w:rFonts w:ascii="Arial" w:eastAsia="Calibri" w:hAnsi="Arial" w:cs="Arial"/>
        </w:rPr>
        <w:t>Promega</w:t>
      </w:r>
      <w:proofErr w:type="spellEnd"/>
      <w:r w:rsidRPr="00AC724E">
        <w:rPr>
          <w:rFonts w:ascii="Arial" w:eastAsia="Calibri" w:hAnsi="Arial" w:cs="Arial"/>
        </w:rPr>
        <w:t xml:space="preserve">). </w:t>
      </w:r>
      <w:r w:rsidR="00C11692" w:rsidRPr="00AC724E">
        <w:rPr>
          <w:rFonts w:ascii="Arial" w:eastAsia="Calibri" w:hAnsi="Arial" w:cs="Arial"/>
        </w:rPr>
        <w:t>Cell proliferation values were plotted against drug concentrations and fitted to a sigmoid dose-response curve using the Activity base software from IDBS in order t</w:t>
      </w:r>
      <w:r w:rsidR="00C75038" w:rsidRPr="00AC724E">
        <w:rPr>
          <w:rFonts w:ascii="Arial" w:eastAsia="Calibri" w:hAnsi="Arial" w:cs="Arial"/>
        </w:rPr>
        <w:t>o calculate</w:t>
      </w:r>
      <w:r w:rsidR="004B6430" w:rsidRPr="00AC724E">
        <w:rPr>
          <w:rFonts w:ascii="Arial" w:eastAsia="Calibri" w:hAnsi="Arial" w:cs="Arial"/>
        </w:rPr>
        <w:t xml:space="preserve"> growth inhibition (</w:t>
      </w:r>
      <w:r w:rsidRPr="00AC724E">
        <w:rPr>
          <w:rFonts w:ascii="Arial" w:eastAsia="Calibri" w:hAnsi="Arial" w:cs="Arial"/>
        </w:rPr>
        <w:t>GI</w:t>
      </w:r>
      <w:r w:rsidRPr="00AC724E">
        <w:rPr>
          <w:rFonts w:ascii="Arial" w:eastAsia="Calibri" w:hAnsi="Arial" w:cs="Arial"/>
          <w:vertAlign w:val="subscript"/>
        </w:rPr>
        <w:t>50</w:t>
      </w:r>
      <w:r w:rsidR="004B6430" w:rsidRPr="00AC724E">
        <w:rPr>
          <w:rFonts w:ascii="Arial" w:eastAsia="Calibri" w:hAnsi="Arial" w:cs="Arial"/>
          <w:vertAlign w:val="subscript"/>
        </w:rPr>
        <w:t>)</w:t>
      </w:r>
      <w:r w:rsidRPr="00AC724E">
        <w:rPr>
          <w:rFonts w:ascii="Arial" w:eastAsia="Calibri" w:hAnsi="Arial" w:cs="Arial"/>
        </w:rPr>
        <w:t xml:space="preserve"> values versus DMSO.</w:t>
      </w:r>
    </w:p>
    <w:p w14:paraId="401294A5" w14:textId="77777777" w:rsidR="00062D4A" w:rsidRPr="00AC724E" w:rsidRDefault="00062D4A" w:rsidP="00062D4A">
      <w:pPr>
        <w:pStyle w:val="ListParagraph"/>
        <w:numPr>
          <w:ilvl w:val="0"/>
          <w:numId w:val="1"/>
        </w:numPr>
        <w:spacing w:line="480" w:lineRule="auto"/>
        <w:jc w:val="both"/>
        <w:outlineLvl w:val="0"/>
        <w:rPr>
          <w:rFonts w:ascii="Arial" w:hAnsi="Arial" w:cs="Arial"/>
          <w:b/>
        </w:rPr>
      </w:pPr>
      <w:r w:rsidRPr="00AC724E">
        <w:rPr>
          <w:rFonts w:ascii="Arial" w:hAnsi="Arial" w:cs="Arial"/>
          <w:b/>
        </w:rPr>
        <w:t>Cloning and mutagenesis</w:t>
      </w:r>
    </w:p>
    <w:p w14:paraId="23DD4C05" w14:textId="48658CEC" w:rsidR="00062D4A" w:rsidRPr="00AC724E" w:rsidRDefault="00C66EF5" w:rsidP="00062D4A">
      <w:pPr>
        <w:snapToGrid w:val="0"/>
        <w:spacing w:line="480" w:lineRule="auto"/>
        <w:contextualSpacing/>
        <w:jc w:val="both"/>
        <w:rPr>
          <w:rFonts w:ascii="Arial" w:hAnsi="Arial" w:cs="Arial"/>
        </w:rPr>
      </w:pPr>
      <w:r w:rsidRPr="00AC724E">
        <w:rPr>
          <w:rFonts w:ascii="Arial" w:hAnsi="Arial" w:cs="Arial"/>
        </w:rPr>
        <w:t xml:space="preserve">The </w:t>
      </w:r>
      <w:r w:rsidR="00062D4A" w:rsidRPr="00AC724E">
        <w:rPr>
          <w:rFonts w:ascii="Arial" w:hAnsi="Arial" w:cs="Arial"/>
        </w:rPr>
        <w:t xml:space="preserve">L840F and eight additional </w:t>
      </w:r>
      <w:r w:rsidR="00062D4A" w:rsidRPr="00AC724E">
        <w:rPr>
          <w:rFonts w:ascii="Arial" w:hAnsi="Arial" w:cs="Arial"/>
          <w:i/>
        </w:rPr>
        <w:t>KDR</w:t>
      </w:r>
      <w:r w:rsidR="00062D4A" w:rsidRPr="00AC724E">
        <w:rPr>
          <w:rFonts w:ascii="Arial" w:hAnsi="Arial" w:cs="Arial"/>
        </w:rPr>
        <w:t xml:space="preserve"> mutations of interest identified on cancer databanks, as well as</w:t>
      </w:r>
      <w:r w:rsidRPr="00AC724E">
        <w:rPr>
          <w:rFonts w:ascii="Arial" w:hAnsi="Arial" w:cs="Arial"/>
        </w:rPr>
        <w:t xml:space="preserve"> the</w:t>
      </w:r>
      <w:r w:rsidR="00062D4A" w:rsidRPr="00AC724E">
        <w:rPr>
          <w:rFonts w:ascii="Arial" w:hAnsi="Arial" w:cs="Arial"/>
        </w:rPr>
        <w:t xml:space="preserve"> K868M kinase</w:t>
      </w:r>
      <w:r w:rsidRPr="00AC724E">
        <w:rPr>
          <w:rFonts w:ascii="Arial" w:hAnsi="Arial" w:cs="Arial"/>
        </w:rPr>
        <w:t>-</w:t>
      </w:r>
      <w:r w:rsidR="00062D4A" w:rsidRPr="00AC724E">
        <w:rPr>
          <w:rFonts w:ascii="Arial" w:hAnsi="Arial" w:cs="Arial"/>
        </w:rPr>
        <w:t>dead</w:t>
      </w:r>
      <w:r w:rsidRPr="00AC724E">
        <w:rPr>
          <w:rFonts w:ascii="Arial" w:hAnsi="Arial" w:cs="Arial"/>
        </w:rPr>
        <w:t xml:space="preserve"> mutation</w:t>
      </w:r>
      <w:r w:rsidR="00062D4A" w:rsidRPr="00AC724E">
        <w:rPr>
          <w:rFonts w:ascii="Arial" w:hAnsi="Arial" w:cs="Arial"/>
        </w:rPr>
        <w:t xml:space="preserve">, </w:t>
      </w:r>
      <w:r w:rsidRPr="00AC724E">
        <w:rPr>
          <w:rFonts w:ascii="Arial" w:hAnsi="Arial" w:cs="Arial"/>
        </w:rPr>
        <w:t xml:space="preserve">were generated by site-directed mutagenesis of WT </w:t>
      </w:r>
      <w:r w:rsidRPr="00AC724E">
        <w:rPr>
          <w:rFonts w:ascii="Arial" w:eastAsia="Times New Roman" w:hAnsi="Arial" w:cs="Arial"/>
          <w:i/>
        </w:rPr>
        <w:t>KDR</w:t>
      </w:r>
      <w:r w:rsidRPr="00AC724E">
        <w:rPr>
          <w:rFonts w:ascii="Arial" w:eastAsia="Times New Roman" w:hAnsi="Arial" w:cs="Arial"/>
        </w:rPr>
        <w:t>/VEGFR2 cloned</w:t>
      </w:r>
      <w:r w:rsidRPr="00AC724E">
        <w:rPr>
          <w:rFonts w:ascii="Arial" w:hAnsi="Arial" w:cs="Arial"/>
        </w:rPr>
        <w:t xml:space="preserve"> on the </w:t>
      </w:r>
      <w:proofErr w:type="spellStart"/>
      <w:r w:rsidRPr="00AC724E">
        <w:rPr>
          <w:rFonts w:ascii="Arial" w:hAnsi="Arial" w:cs="Arial"/>
        </w:rPr>
        <w:t>pBE</w:t>
      </w:r>
      <w:proofErr w:type="spellEnd"/>
      <w:r w:rsidRPr="00AC724E">
        <w:rPr>
          <w:rFonts w:ascii="Arial" w:hAnsi="Arial" w:cs="Arial"/>
        </w:rPr>
        <w:t xml:space="preserve"> vector, </w:t>
      </w:r>
      <w:r w:rsidR="00062D4A" w:rsidRPr="00AC724E">
        <w:rPr>
          <w:rFonts w:ascii="Arial" w:hAnsi="Arial" w:cs="Arial"/>
        </w:rPr>
        <w:t>using</w:t>
      </w:r>
      <w:r w:rsidRPr="00AC724E">
        <w:rPr>
          <w:rFonts w:ascii="Arial" w:hAnsi="Arial" w:cs="Arial"/>
        </w:rPr>
        <w:t xml:space="preserve"> the</w:t>
      </w:r>
      <w:r w:rsidR="00062D4A" w:rsidRPr="00AC724E">
        <w:rPr>
          <w:rFonts w:ascii="Arial" w:hAnsi="Arial" w:cs="Arial"/>
        </w:rPr>
        <w:t xml:space="preserve"> </w:t>
      </w:r>
      <w:proofErr w:type="spellStart"/>
      <w:r w:rsidR="00062D4A" w:rsidRPr="00AC724E">
        <w:rPr>
          <w:rFonts w:ascii="Arial" w:hAnsi="Arial" w:cs="Arial"/>
        </w:rPr>
        <w:t>QuikChange</w:t>
      </w:r>
      <w:proofErr w:type="spellEnd"/>
      <w:r w:rsidR="00062D4A" w:rsidRPr="00AC724E">
        <w:rPr>
          <w:rFonts w:ascii="Arial" w:hAnsi="Arial" w:cs="Arial"/>
        </w:rPr>
        <w:t xml:space="preserve"> Kit </w:t>
      </w:r>
      <w:r w:rsidR="00062D4A" w:rsidRPr="00AC724E">
        <w:rPr>
          <w:rFonts w:ascii="Arial" w:eastAsia="Times New Roman" w:hAnsi="Arial" w:cs="Arial"/>
        </w:rPr>
        <w:t xml:space="preserve">(Agilent, USA) and the </w:t>
      </w:r>
      <w:r w:rsidR="00062D4A" w:rsidRPr="00AC724E">
        <w:rPr>
          <w:rFonts w:ascii="Arial" w:hAnsi="Arial" w:cs="Arial"/>
        </w:rPr>
        <w:t>primers described in Ta</w:t>
      </w:r>
      <w:r w:rsidR="00AC0534" w:rsidRPr="00AC724E">
        <w:rPr>
          <w:rFonts w:ascii="Arial" w:hAnsi="Arial" w:cs="Arial"/>
        </w:rPr>
        <w:t>ble S5</w:t>
      </w:r>
      <w:r w:rsidR="00062D4A" w:rsidRPr="00AC724E">
        <w:rPr>
          <w:rFonts w:ascii="Arial" w:hAnsi="Arial" w:cs="Arial"/>
        </w:rPr>
        <w:t>. Mutations were confirmed by Sanger sequencing of the entire open reading frame.</w:t>
      </w:r>
    </w:p>
    <w:p w14:paraId="7BBA19A1" w14:textId="77777777" w:rsidR="00062D4A" w:rsidRPr="00AC724E" w:rsidRDefault="00062D4A" w:rsidP="00062D4A">
      <w:pPr>
        <w:pStyle w:val="ListParagraph"/>
        <w:numPr>
          <w:ilvl w:val="0"/>
          <w:numId w:val="1"/>
        </w:numPr>
        <w:snapToGrid w:val="0"/>
        <w:spacing w:line="480" w:lineRule="auto"/>
        <w:jc w:val="both"/>
        <w:rPr>
          <w:rFonts w:ascii="Arial" w:hAnsi="Arial" w:cs="Arial"/>
        </w:rPr>
      </w:pPr>
      <w:r w:rsidRPr="00AC724E">
        <w:rPr>
          <w:rFonts w:ascii="Arial" w:hAnsi="Arial" w:cs="Arial"/>
          <w:b/>
        </w:rPr>
        <w:t>Transfection and xenograft models</w:t>
      </w:r>
    </w:p>
    <w:p w14:paraId="2D763013" w14:textId="25CDB41D" w:rsidR="00062D4A" w:rsidRPr="00AC724E" w:rsidRDefault="00062D4A" w:rsidP="00062D4A">
      <w:pPr>
        <w:snapToGrid w:val="0"/>
        <w:spacing w:line="480" w:lineRule="auto"/>
        <w:contextualSpacing/>
        <w:jc w:val="both"/>
        <w:rPr>
          <w:rFonts w:ascii="Arial" w:hAnsi="Arial" w:cs="Arial"/>
        </w:rPr>
      </w:pPr>
      <w:r w:rsidRPr="00AC724E">
        <w:rPr>
          <w:rFonts w:ascii="Arial" w:eastAsia="Times New Roman" w:hAnsi="Arial" w:cs="Arial"/>
        </w:rPr>
        <w:t xml:space="preserve">Colo-320 cell line-derived </w:t>
      </w:r>
      <w:r w:rsidRPr="00AC724E">
        <w:rPr>
          <w:rFonts w:ascii="Arial" w:hAnsi="Arial" w:cs="Arial"/>
        </w:rPr>
        <w:t xml:space="preserve">xenografts were generated from subcutaneous injections of 4 </w:t>
      </w:r>
      <w:r w:rsidR="00C66EF5" w:rsidRPr="00AC724E">
        <w:rPr>
          <w:rFonts w:ascii="Arial" w:hAnsi="Arial" w:cs="Arial"/>
        </w:rPr>
        <w:t>×</w:t>
      </w:r>
      <w:r w:rsidRPr="00AC724E">
        <w:rPr>
          <w:rFonts w:ascii="Arial" w:hAnsi="Arial" w:cs="Arial"/>
        </w:rPr>
        <w:t xml:space="preserve"> 10</w:t>
      </w:r>
      <w:r w:rsidRPr="00AC724E">
        <w:rPr>
          <w:rFonts w:ascii="Arial" w:hAnsi="Arial" w:cs="Arial"/>
          <w:vertAlign w:val="superscript"/>
        </w:rPr>
        <w:t>5</w:t>
      </w:r>
      <w:r w:rsidRPr="00AC724E">
        <w:rPr>
          <w:rFonts w:ascii="Arial" w:hAnsi="Arial" w:cs="Arial"/>
        </w:rPr>
        <w:t xml:space="preserve"> cells </w:t>
      </w:r>
      <w:proofErr w:type="spellStart"/>
      <w:r w:rsidRPr="00AC724E">
        <w:rPr>
          <w:rFonts w:ascii="Arial" w:hAnsi="Arial" w:cs="Arial"/>
        </w:rPr>
        <w:t>resuspended</w:t>
      </w:r>
      <w:proofErr w:type="spellEnd"/>
      <w:r w:rsidRPr="00AC724E">
        <w:rPr>
          <w:rFonts w:ascii="Arial" w:hAnsi="Arial" w:cs="Arial"/>
        </w:rPr>
        <w:t xml:space="preserve"> in</w:t>
      </w:r>
      <w:r w:rsidR="00C62921" w:rsidRPr="00AC724E">
        <w:rPr>
          <w:rFonts w:ascii="Arial" w:hAnsi="Arial" w:cs="Arial"/>
        </w:rPr>
        <w:t xml:space="preserve"> phosphate-buffered saline</w:t>
      </w:r>
      <w:r w:rsidRPr="00AC724E">
        <w:rPr>
          <w:rFonts w:ascii="Arial" w:hAnsi="Arial" w:cs="Arial"/>
        </w:rPr>
        <w:t xml:space="preserve"> </w:t>
      </w:r>
      <w:r w:rsidR="00C62921" w:rsidRPr="00AC724E">
        <w:rPr>
          <w:rFonts w:ascii="Arial" w:hAnsi="Arial" w:cs="Arial"/>
        </w:rPr>
        <w:t>(</w:t>
      </w:r>
      <w:r w:rsidRPr="00AC724E">
        <w:rPr>
          <w:rFonts w:ascii="Arial" w:hAnsi="Arial" w:cs="Arial"/>
        </w:rPr>
        <w:t>PBS</w:t>
      </w:r>
      <w:r w:rsidR="00C62921" w:rsidRPr="00AC724E">
        <w:rPr>
          <w:rFonts w:ascii="Arial" w:hAnsi="Arial" w:cs="Arial"/>
        </w:rPr>
        <w:t>)</w:t>
      </w:r>
      <w:r w:rsidRPr="00AC724E">
        <w:rPr>
          <w:rFonts w:ascii="Arial" w:hAnsi="Arial" w:cs="Arial"/>
        </w:rPr>
        <w:t xml:space="preserve"> in four nude mice per genotype. Tumors were measured weekly and</w:t>
      </w:r>
      <w:r w:rsidR="00DC6863" w:rsidRPr="00AC724E">
        <w:rPr>
          <w:rFonts w:ascii="Arial" w:hAnsi="Arial" w:cs="Arial"/>
        </w:rPr>
        <w:t xml:space="preserve"> the</w:t>
      </w:r>
      <w:r w:rsidRPr="00AC724E">
        <w:rPr>
          <w:rFonts w:ascii="Arial" w:hAnsi="Arial" w:cs="Arial"/>
        </w:rPr>
        <w:t xml:space="preserve"> animals were sacrificed within two months or when tumors reached the established humane endpoint. Mice injected with empty vector </w:t>
      </w:r>
      <w:r w:rsidR="00DC6863" w:rsidRPr="00AC724E">
        <w:rPr>
          <w:rFonts w:ascii="Arial" w:hAnsi="Arial" w:cs="Arial"/>
        </w:rPr>
        <w:t xml:space="preserve">or the </w:t>
      </w:r>
      <w:r w:rsidRPr="00AC724E">
        <w:rPr>
          <w:rFonts w:ascii="Arial" w:hAnsi="Arial" w:cs="Arial"/>
        </w:rPr>
        <w:t xml:space="preserve">K868M kinase-dead </w:t>
      </w:r>
      <w:r w:rsidR="00DC6863" w:rsidRPr="00AC724E">
        <w:rPr>
          <w:rFonts w:ascii="Arial" w:hAnsi="Arial" w:cs="Arial"/>
        </w:rPr>
        <w:t xml:space="preserve">mutant </w:t>
      </w:r>
      <w:r w:rsidRPr="00AC724E">
        <w:rPr>
          <w:rFonts w:ascii="Arial" w:hAnsi="Arial" w:cs="Arial"/>
        </w:rPr>
        <w:t>were kept alive and monitored weekly for four months.</w:t>
      </w:r>
    </w:p>
    <w:p w14:paraId="2A1F02AC" w14:textId="126F461C" w:rsidR="00062D4A" w:rsidRPr="00AC724E" w:rsidRDefault="00062D4A" w:rsidP="00062D4A">
      <w:pPr>
        <w:pStyle w:val="ListParagraph"/>
        <w:numPr>
          <w:ilvl w:val="0"/>
          <w:numId w:val="1"/>
        </w:numPr>
        <w:spacing w:line="480" w:lineRule="auto"/>
        <w:jc w:val="both"/>
        <w:outlineLvl w:val="0"/>
        <w:rPr>
          <w:rFonts w:ascii="Arial" w:hAnsi="Arial" w:cs="Arial"/>
          <w:b/>
          <w:bCs/>
        </w:rPr>
      </w:pPr>
      <w:r w:rsidRPr="00AC724E">
        <w:rPr>
          <w:rFonts w:ascii="Arial" w:hAnsi="Arial" w:cs="Arial"/>
          <w:b/>
          <w:bCs/>
        </w:rPr>
        <w:t>Production of recombinant kinase domains of</w:t>
      </w:r>
      <w:r w:rsidR="00DC6863" w:rsidRPr="00AC724E">
        <w:rPr>
          <w:rFonts w:ascii="Arial" w:hAnsi="Arial" w:cs="Arial"/>
          <w:b/>
          <w:bCs/>
        </w:rPr>
        <w:t xml:space="preserve"> WT, L840F, and R1032Q</w:t>
      </w:r>
      <w:r w:rsidRPr="00AC724E">
        <w:rPr>
          <w:rFonts w:ascii="Arial" w:hAnsi="Arial" w:cs="Arial"/>
          <w:b/>
          <w:bCs/>
        </w:rPr>
        <w:t xml:space="preserve"> VEGFR2 </w:t>
      </w:r>
    </w:p>
    <w:p w14:paraId="02B65C0D" w14:textId="75B4AC2F" w:rsidR="00062D4A" w:rsidRPr="00AC724E" w:rsidRDefault="00062D4A" w:rsidP="00062D4A">
      <w:pPr>
        <w:spacing w:line="480" w:lineRule="auto"/>
        <w:jc w:val="both"/>
        <w:rPr>
          <w:rFonts w:ascii="Arial" w:hAnsi="Arial" w:cs="Arial"/>
        </w:rPr>
      </w:pPr>
      <w:r w:rsidRPr="00AC724E">
        <w:rPr>
          <w:rFonts w:ascii="Arial" w:hAnsi="Arial" w:cs="Arial"/>
        </w:rPr>
        <w:t>The kinase domains (residues 806-1171) of</w:t>
      </w:r>
      <w:r w:rsidR="00DC6863" w:rsidRPr="00AC724E">
        <w:rPr>
          <w:rFonts w:ascii="Arial" w:hAnsi="Arial" w:cs="Arial"/>
        </w:rPr>
        <w:t xml:space="preserve"> WT, L840F, and R1032Q</w:t>
      </w:r>
      <w:r w:rsidRPr="00AC724E">
        <w:rPr>
          <w:rFonts w:ascii="Arial" w:hAnsi="Arial" w:cs="Arial"/>
        </w:rPr>
        <w:t xml:space="preserve"> VEGFR2 without the kinase insert domain (aa 940-989) were cloned, tagged with 6</w:t>
      </w:r>
      <w:r w:rsidR="00DC6863" w:rsidRPr="00AC724E">
        <w:rPr>
          <w:rFonts w:ascii="Arial" w:hAnsi="Arial" w:cs="Arial"/>
        </w:rPr>
        <w:t>×</w:t>
      </w:r>
      <w:r w:rsidRPr="00AC724E">
        <w:rPr>
          <w:rFonts w:ascii="Arial" w:hAnsi="Arial" w:cs="Arial"/>
        </w:rPr>
        <w:t>His at their C-terminus</w:t>
      </w:r>
      <w:r w:rsidR="00DC6863" w:rsidRPr="00AC724E">
        <w:rPr>
          <w:rFonts w:ascii="Arial" w:hAnsi="Arial" w:cs="Arial"/>
        </w:rPr>
        <w:t>,</w:t>
      </w:r>
      <w:r w:rsidRPr="00AC724E">
        <w:rPr>
          <w:rFonts w:ascii="Arial" w:hAnsi="Arial" w:cs="Arial"/>
        </w:rPr>
        <w:t xml:space="preserve"> and expressed in the </w:t>
      </w:r>
      <w:proofErr w:type="spellStart"/>
      <w:r w:rsidRPr="00AC724E">
        <w:rPr>
          <w:rFonts w:ascii="Arial" w:hAnsi="Arial" w:cs="Arial"/>
        </w:rPr>
        <w:t>baculovirus</w:t>
      </w:r>
      <w:proofErr w:type="spellEnd"/>
      <w:r w:rsidRPr="00AC724E">
        <w:rPr>
          <w:rFonts w:ascii="Arial" w:hAnsi="Arial" w:cs="Arial"/>
        </w:rPr>
        <w:t xml:space="preserve">-infected insect cell system. Proteins were purified by affinity chromatography on </w:t>
      </w:r>
      <w:proofErr w:type="spellStart"/>
      <w:r w:rsidRPr="00AC724E">
        <w:rPr>
          <w:rFonts w:ascii="Arial" w:hAnsi="Arial" w:cs="Arial"/>
        </w:rPr>
        <w:t>HisTrap</w:t>
      </w:r>
      <w:proofErr w:type="spellEnd"/>
      <w:r w:rsidRPr="00AC724E">
        <w:rPr>
          <w:rFonts w:ascii="Arial" w:hAnsi="Arial" w:cs="Arial"/>
        </w:rPr>
        <w:t xml:space="preserve"> </w:t>
      </w:r>
      <w:r w:rsidRPr="00AC724E">
        <w:rPr>
          <w:rFonts w:ascii="Arial" w:hAnsi="Arial" w:cs="Arial"/>
        </w:rPr>
        <w:lastRenderedPageBreak/>
        <w:t>columns</w:t>
      </w:r>
      <w:r w:rsidR="00DC6863" w:rsidRPr="00AC724E">
        <w:rPr>
          <w:rFonts w:ascii="Arial" w:hAnsi="Arial" w:cs="Arial"/>
        </w:rPr>
        <w:t xml:space="preserve">, followed by size-exclusion chromatography on a </w:t>
      </w:r>
      <w:proofErr w:type="spellStart"/>
      <w:r w:rsidR="00DC6863" w:rsidRPr="00AC724E">
        <w:rPr>
          <w:rFonts w:ascii="Arial" w:hAnsi="Arial" w:cs="Arial"/>
        </w:rPr>
        <w:t>HiLoad</w:t>
      </w:r>
      <w:proofErr w:type="spellEnd"/>
      <w:r w:rsidR="00DC6863" w:rsidRPr="00AC724E">
        <w:rPr>
          <w:rFonts w:ascii="Arial" w:hAnsi="Arial" w:cs="Arial"/>
        </w:rPr>
        <w:t xml:space="preserve"> 16/600 </w:t>
      </w:r>
      <w:proofErr w:type="spellStart"/>
      <w:r w:rsidR="00DC6863" w:rsidRPr="00AC724E">
        <w:rPr>
          <w:rFonts w:ascii="Arial" w:hAnsi="Arial" w:cs="Arial"/>
        </w:rPr>
        <w:t>Superdex</w:t>
      </w:r>
      <w:proofErr w:type="spellEnd"/>
      <w:r w:rsidR="00DC6863" w:rsidRPr="00AC724E">
        <w:rPr>
          <w:rFonts w:ascii="Arial" w:hAnsi="Arial" w:cs="Arial"/>
        </w:rPr>
        <w:t xml:space="preserve"> 200 prep grade column (GE Healthcare, USA),</w:t>
      </w:r>
      <w:r w:rsidRPr="00AC724E">
        <w:rPr>
          <w:rFonts w:ascii="Arial" w:hAnsi="Arial" w:cs="Arial"/>
        </w:rPr>
        <w:t xml:space="preserve"> using</w:t>
      </w:r>
      <w:r w:rsidR="00DC6863" w:rsidRPr="00AC724E">
        <w:rPr>
          <w:rFonts w:ascii="Arial" w:hAnsi="Arial" w:cs="Arial"/>
        </w:rPr>
        <w:t xml:space="preserve"> an</w:t>
      </w:r>
      <w:r w:rsidRPr="00AC724E">
        <w:rPr>
          <w:rFonts w:ascii="Arial" w:hAnsi="Arial" w:cs="Arial"/>
        </w:rPr>
        <w:t xml:space="preserve"> ÄKTA system (GE Healthcare, USA). Fractions containing kinase domains were identified by</w:t>
      </w:r>
      <w:r w:rsidR="00C62921" w:rsidRPr="00AC724E">
        <w:rPr>
          <w:rFonts w:ascii="Arial" w:hAnsi="Arial" w:cs="Arial"/>
        </w:rPr>
        <w:t xml:space="preserve"> sodium dodecyl sulfate polyacrylamide gel electrophoresis</w:t>
      </w:r>
      <w:r w:rsidRPr="00AC724E">
        <w:rPr>
          <w:rFonts w:ascii="Arial" w:hAnsi="Arial" w:cs="Arial"/>
        </w:rPr>
        <w:t xml:space="preserve"> </w:t>
      </w:r>
      <w:r w:rsidR="00C62921" w:rsidRPr="00AC724E">
        <w:rPr>
          <w:rFonts w:ascii="Arial" w:hAnsi="Arial" w:cs="Arial"/>
        </w:rPr>
        <w:t>(</w:t>
      </w:r>
      <w:r w:rsidRPr="00AC724E">
        <w:rPr>
          <w:rFonts w:ascii="Arial" w:hAnsi="Arial" w:cs="Arial"/>
        </w:rPr>
        <w:t>SDS-PAGE</w:t>
      </w:r>
      <w:r w:rsidR="00C62921" w:rsidRPr="00AC724E">
        <w:rPr>
          <w:rFonts w:ascii="Arial" w:hAnsi="Arial" w:cs="Arial"/>
        </w:rPr>
        <w:t>)</w:t>
      </w:r>
      <w:r w:rsidRPr="00AC724E">
        <w:rPr>
          <w:rFonts w:ascii="Arial" w:hAnsi="Arial" w:cs="Arial"/>
        </w:rPr>
        <w:t xml:space="preserve"> and concentrated by ultrafiltration up to 0.2 mg/ml. Protein mutations were confirmed by in-gel enzymatic digestion followed by liquid chromatography–mass spectrometry (LC-MS)/MS analysis.</w:t>
      </w:r>
    </w:p>
    <w:p w14:paraId="28F610DA" w14:textId="77777777" w:rsidR="00062D4A" w:rsidRPr="00AC724E" w:rsidRDefault="00062D4A" w:rsidP="00062D4A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Arial" w:eastAsia="Calibri" w:hAnsi="Arial" w:cs="Arial"/>
          <w:lang w:val="en"/>
        </w:rPr>
      </w:pPr>
      <w:r w:rsidRPr="00AC724E">
        <w:rPr>
          <w:rFonts w:ascii="Arial" w:eastAsia="Calibri" w:hAnsi="Arial" w:cs="Arial"/>
          <w:b/>
          <w:bCs/>
          <w:lang w:val="en"/>
        </w:rPr>
        <w:t>Biochemical Assays</w:t>
      </w:r>
    </w:p>
    <w:p w14:paraId="02F14289" w14:textId="0EFADE06" w:rsidR="00062D4A" w:rsidRPr="00AC724E" w:rsidRDefault="00B8141F" w:rsidP="005F24C6">
      <w:pPr>
        <w:spacing w:line="480" w:lineRule="auto"/>
        <w:jc w:val="both"/>
        <w:rPr>
          <w:rFonts w:ascii="Arial" w:eastAsia="Calibri" w:hAnsi="Arial" w:cs="Arial"/>
          <w:lang w:val="en"/>
        </w:rPr>
      </w:pPr>
      <w:r w:rsidRPr="00AC724E">
        <w:rPr>
          <w:rFonts w:ascii="Arial" w:hAnsi="Arial" w:cs="Arial"/>
          <w:lang w:val="en"/>
        </w:rPr>
        <w:t xml:space="preserve">The kinase activity of recombinant </w:t>
      </w:r>
      <w:r w:rsidRPr="00AC724E">
        <w:rPr>
          <w:rFonts w:ascii="Arial" w:hAnsi="Arial" w:cs="Arial"/>
        </w:rPr>
        <w:t>WT, L840F, and R1032Q</w:t>
      </w:r>
      <w:r w:rsidRPr="00AC724E">
        <w:rPr>
          <w:rFonts w:ascii="Arial" w:eastAsia="Calibri" w:hAnsi="Arial" w:cs="Arial"/>
          <w:lang w:val="en"/>
        </w:rPr>
        <w:t xml:space="preserve"> </w:t>
      </w:r>
      <w:r w:rsidR="00062D4A" w:rsidRPr="00AC724E">
        <w:rPr>
          <w:rFonts w:ascii="Arial" w:eastAsia="Calibri" w:hAnsi="Arial" w:cs="Arial"/>
          <w:lang w:val="en"/>
        </w:rPr>
        <w:t>VEGFR-2 (</w:t>
      </w:r>
      <w:r w:rsidR="00062D4A" w:rsidRPr="00AC724E">
        <w:rPr>
          <w:rFonts w:ascii="Arial" w:eastAsia="Calibri" w:hAnsi="Arial" w:cs="Arial"/>
          <w:i/>
          <w:iCs/>
          <w:lang w:val="en"/>
        </w:rPr>
        <w:t>KDR</w:t>
      </w:r>
      <w:r w:rsidR="00062D4A" w:rsidRPr="00AC724E">
        <w:rPr>
          <w:rFonts w:ascii="Arial" w:eastAsia="Calibri" w:hAnsi="Arial" w:cs="Arial"/>
          <w:lang w:val="en"/>
        </w:rPr>
        <w:t>) kinase domains</w:t>
      </w:r>
      <w:r w:rsidRPr="00AC724E">
        <w:rPr>
          <w:rFonts w:ascii="Arial" w:eastAsia="Calibri" w:hAnsi="Arial" w:cs="Arial"/>
          <w:lang w:val="en"/>
        </w:rPr>
        <w:t xml:space="preserve">, as well as that of a commercially available recombinant KDR cytoplasmic domain (residues 789-1356) (PV3660; </w:t>
      </w:r>
      <w:proofErr w:type="spellStart"/>
      <w:r w:rsidRPr="00AC724E">
        <w:rPr>
          <w:rFonts w:ascii="Arial" w:eastAsia="Calibri" w:hAnsi="Arial" w:cs="Arial"/>
          <w:lang w:val="en"/>
        </w:rPr>
        <w:t>ThermoFisher</w:t>
      </w:r>
      <w:proofErr w:type="spellEnd"/>
      <w:r w:rsidRPr="00AC724E">
        <w:rPr>
          <w:rFonts w:ascii="Arial" w:eastAsia="Calibri" w:hAnsi="Arial" w:cs="Arial"/>
          <w:lang w:val="en"/>
        </w:rPr>
        <w:t>) that was used as a positive control</w:t>
      </w:r>
      <w:r w:rsidR="00062D4A" w:rsidRPr="00AC724E">
        <w:rPr>
          <w:rFonts w:ascii="Arial" w:eastAsia="Calibri" w:hAnsi="Arial" w:cs="Arial"/>
          <w:lang w:val="en"/>
        </w:rPr>
        <w:t xml:space="preserve"> were </w:t>
      </w:r>
      <w:r w:rsidRPr="00AC724E">
        <w:rPr>
          <w:rFonts w:ascii="Arial" w:eastAsia="Calibri" w:hAnsi="Arial" w:cs="Arial"/>
          <w:lang w:val="en"/>
        </w:rPr>
        <w:t xml:space="preserve">analyzed </w:t>
      </w:r>
      <w:r w:rsidR="00062D4A" w:rsidRPr="00AC724E">
        <w:rPr>
          <w:rFonts w:ascii="Arial" w:eastAsia="Calibri" w:hAnsi="Arial" w:cs="Arial"/>
          <w:lang w:val="en"/>
        </w:rPr>
        <w:t xml:space="preserve">using </w:t>
      </w:r>
      <w:r w:rsidRPr="00AC724E">
        <w:rPr>
          <w:rFonts w:ascii="Arial" w:eastAsia="Calibri" w:hAnsi="Arial" w:cs="Arial"/>
          <w:lang w:val="en"/>
        </w:rPr>
        <w:t>the</w:t>
      </w:r>
      <w:r w:rsidR="00062D4A" w:rsidRPr="00AC724E">
        <w:rPr>
          <w:rFonts w:ascii="Arial" w:eastAsia="Calibri" w:hAnsi="Arial" w:cs="Arial"/>
          <w:lang w:val="en"/>
        </w:rPr>
        <w:t xml:space="preserve"> </w:t>
      </w:r>
      <w:proofErr w:type="spellStart"/>
      <w:r w:rsidR="00062D4A" w:rsidRPr="00AC724E">
        <w:rPr>
          <w:rFonts w:ascii="Arial" w:eastAsia="Calibri" w:hAnsi="Arial" w:cs="Arial"/>
          <w:lang w:val="en"/>
        </w:rPr>
        <w:t>LANCE®Ultra</w:t>
      </w:r>
      <w:proofErr w:type="spellEnd"/>
      <w:r w:rsidR="00062D4A" w:rsidRPr="00AC724E">
        <w:rPr>
          <w:rFonts w:ascii="Arial" w:eastAsia="Calibri" w:hAnsi="Arial" w:cs="Arial"/>
          <w:lang w:val="en"/>
        </w:rPr>
        <w:t xml:space="preserve"> time-resolved fluorescence resonance energy transfer (TR-FRET) assay from Perkin Elmer </w:t>
      </w:r>
      <w:r w:rsidRPr="00AC724E">
        <w:rPr>
          <w:rFonts w:ascii="Arial" w:eastAsia="Calibri" w:hAnsi="Arial" w:cs="Arial"/>
          <w:lang w:val="en"/>
        </w:rPr>
        <w:t xml:space="preserve">according to the </w:t>
      </w:r>
      <w:r w:rsidR="00062D4A" w:rsidRPr="00AC724E">
        <w:rPr>
          <w:rFonts w:ascii="Arial" w:eastAsia="Calibri" w:hAnsi="Arial" w:cs="Arial"/>
          <w:lang w:val="en"/>
        </w:rPr>
        <w:t>manufactures’ instructions.. Briefly, the enzymes</w:t>
      </w:r>
      <w:r w:rsidRPr="00AC724E">
        <w:rPr>
          <w:rFonts w:ascii="Arial" w:eastAsia="Calibri" w:hAnsi="Arial" w:cs="Arial"/>
          <w:lang w:val="en"/>
        </w:rPr>
        <w:t xml:space="preserve"> were titrated</w:t>
      </w:r>
      <w:r w:rsidR="00062D4A" w:rsidRPr="00AC724E">
        <w:rPr>
          <w:rFonts w:ascii="Arial" w:eastAsia="Calibri" w:hAnsi="Arial" w:cs="Arial"/>
          <w:lang w:val="en"/>
        </w:rPr>
        <w:t xml:space="preserve"> starting </w:t>
      </w:r>
      <w:r w:rsidRPr="00AC724E">
        <w:rPr>
          <w:rFonts w:ascii="Arial" w:eastAsia="Calibri" w:hAnsi="Arial" w:cs="Arial"/>
          <w:lang w:val="en"/>
        </w:rPr>
        <w:t xml:space="preserve">from an initial concentration of </w:t>
      </w:r>
      <w:r w:rsidR="00062D4A" w:rsidRPr="00AC724E">
        <w:rPr>
          <w:rFonts w:ascii="Arial" w:eastAsia="Calibri" w:hAnsi="Arial" w:cs="Arial"/>
          <w:lang w:val="en"/>
        </w:rPr>
        <w:t>5</w:t>
      </w:r>
      <w:r w:rsidRPr="00AC724E">
        <w:rPr>
          <w:rFonts w:ascii="Arial" w:eastAsia="Calibri" w:hAnsi="Arial" w:cs="Arial"/>
          <w:lang w:val="en"/>
        </w:rPr>
        <w:t xml:space="preserve"> </w:t>
      </w:r>
      <w:r w:rsidR="00E353A6" w:rsidRPr="00AC724E">
        <w:rPr>
          <w:rFonts w:ascii="Arial" w:eastAsia="Calibri" w:hAnsi="Arial" w:cs="Arial"/>
          <w:lang w:val="en"/>
        </w:rPr>
        <w:sym w:font="Symbol" w:char="F06D"/>
      </w:r>
      <w:r w:rsidR="00062D4A" w:rsidRPr="00AC724E">
        <w:rPr>
          <w:rFonts w:ascii="Arial" w:eastAsia="Calibri" w:hAnsi="Arial" w:cs="Arial"/>
          <w:lang w:val="en"/>
        </w:rPr>
        <w:t xml:space="preserve">g/ml </w:t>
      </w:r>
      <w:r w:rsidRPr="00AC724E">
        <w:rPr>
          <w:rFonts w:ascii="Arial" w:eastAsia="Calibri" w:hAnsi="Arial" w:cs="Arial"/>
          <w:lang w:val="en"/>
        </w:rPr>
        <w:t>and proceeding with</w:t>
      </w:r>
      <w:r w:rsidR="00062D4A" w:rsidRPr="00AC724E">
        <w:rPr>
          <w:rFonts w:ascii="Arial" w:eastAsia="Calibri" w:hAnsi="Arial" w:cs="Arial"/>
          <w:lang w:val="en"/>
        </w:rPr>
        <w:t xml:space="preserve"> 1:4 serial dilutions</w:t>
      </w:r>
      <w:r w:rsidRPr="00AC724E">
        <w:rPr>
          <w:rFonts w:ascii="Arial" w:eastAsia="Calibri" w:hAnsi="Arial" w:cs="Arial"/>
          <w:lang w:val="en"/>
        </w:rPr>
        <w:t>, and</w:t>
      </w:r>
      <w:r w:rsidR="00062D4A" w:rsidRPr="00AC724E">
        <w:rPr>
          <w:rFonts w:ascii="Arial" w:eastAsia="Calibri" w:hAnsi="Arial" w:cs="Arial"/>
          <w:lang w:val="en"/>
        </w:rPr>
        <w:t xml:space="preserve"> were added to </w:t>
      </w:r>
      <w:r w:rsidRPr="00AC724E">
        <w:rPr>
          <w:rFonts w:ascii="Arial" w:eastAsia="Calibri" w:hAnsi="Arial" w:cs="Arial"/>
          <w:lang w:val="en"/>
        </w:rPr>
        <w:t xml:space="preserve">the </w:t>
      </w:r>
      <w:r w:rsidR="00062D4A" w:rsidRPr="00AC724E">
        <w:rPr>
          <w:rFonts w:ascii="Arial" w:eastAsia="Calibri" w:hAnsi="Arial" w:cs="Arial"/>
          <w:lang w:val="en"/>
        </w:rPr>
        <w:t xml:space="preserve">reaction buffer </w:t>
      </w:r>
      <w:r w:rsidRPr="00AC724E">
        <w:rPr>
          <w:rFonts w:ascii="Arial" w:eastAsia="Calibri" w:hAnsi="Arial" w:cs="Arial"/>
          <w:lang w:val="en"/>
        </w:rPr>
        <w:t>(</w:t>
      </w:r>
      <w:r w:rsidR="00062D4A" w:rsidRPr="00AC724E">
        <w:rPr>
          <w:rFonts w:ascii="Arial" w:eastAsia="Calibri" w:hAnsi="Arial" w:cs="Arial"/>
          <w:lang w:val="en"/>
        </w:rPr>
        <w:t>15</w:t>
      </w:r>
      <w:r w:rsidRPr="00AC724E">
        <w:rPr>
          <w:rFonts w:ascii="Arial" w:eastAsia="Calibri" w:hAnsi="Arial" w:cs="Arial"/>
          <w:lang w:val="en"/>
        </w:rPr>
        <w:t xml:space="preserve"> </w:t>
      </w:r>
      <w:proofErr w:type="spellStart"/>
      <w:r w:rsidR="00062D4A" w:rsidRPr="00AC724E">
        <w:rPr>
          <w:rFonts w:ascii="Arial" w:eastAsia="Calibri" w:hAnsi="Arial" w:cs="Arial"/>
          <w:lang w:val="en"/>
        </w:rPr>
        <w:t>mM</w:t>
      </w:r>
      <w:proofErr w:type="spellEnd"/>
      <w:r w:rsidR="00062D4A" w:rsidRPr="00AC724E">
        <w:rPr>
          <w:rFonts w:ascii="Arial" w:eastAsia="Calibri" w:hAnsi="Arial" w:cs="Arial"/>
          <w:lang w:val="en"/>
        </w:rPr>
        <w:t xml:space="preserve"> HEPES pH 7.4, 20 </w:t>
      </w:r>
      <w:proofErr w:type="spellStart"/>
      <w:r w:rsidR="00062D4A" w:rsidRPr="00AC724E">
        <w:rPr>
          <w:rFonts w:ascii="Arial" w:eastAsia="Calibri" w:hAnsi="Arial" w:cs="Arial"/>
          <w:lang w:val="en"/>
        </w:rPr>
        <w:t>mM</w:t>
      </w:r>
      <w:proofErr w:type="spellEnd"/>
      <w:r w:rsidR="00062D4A" w:rsidRPr="00AC724E">
        <w:rPr>
          <w:rFonts w:ascii="Arial" w:eastAsia="Calibri" w:hAnsi="Arial" w:cs="Arial"/>
          <w:lang w:val="en"/>
        </w:rPr>
        <w:t xml:space="preserve"> </w:t>
      </w:r>
      <w:proofErr w:type="spellStart"/>
      <w:r w:rsidR="00062D4A" w:rsidRPr="00AC724E">
        <w:rPr>
          <w:rFonts w:ascii="Arial" w:eastAsia="Calibri" w:hAnsi="Arial" w:cs="Arial"/>
          <w:lang w:val="en"/>
        </w:rPr>
        <w:t>NaCl</w:t>
      </w:r>
      <w:proofErr w:type="spellEnd"/>
      <w:r w:rsidR="00062D4A" w:rsidRPr="00AC724E">
        <w:rPr>
          <w:rFonts w:ascii="Arial" w:eastAsia="Calibri" w:hAnsi="Arial" w:cs="Arial"/>
          <w:lang w:val="en"/>
        </w:rPr>
        <w:t xml:space="preserve">, 1 </w:t>
      </w:r>
      <w:proofErr w:type="spellStart"/>
      <w:r w:rsidR="00062D4A" w:rsidRPr="00AC724E">
        <w:rPr>
          <w:rFonts w:ascii="Arial" w:eastAsia="Calibri" w:hAnsi="Arial" w:cs="Arial"/>
          <w:lang w:val="en"/>
        </w:rPr>
        <w:t>mM</w:t>
      </w:r>
      <w:proofErr w:type="spellEnd"/>
      <w:r w:rsidR="00062D4A" w:rsidRPr="00AC724E">
        <w:rPr>
          <w:rFonts w:ascii="Arial" w:eastAsia="Calibri" w:hAnsi="Arial" w:cs="Arial"/>
          <w:lang w:val="en"/>
        </w:rPr>
        <w:t xml:space="preserve"> EGTA, 0.02% Tween 20, 10 </w:t>
      </w:r>
      <w:proofErr w:type="spellStart"/>
      <w:r w:rsidR="00062D4A" w:rsidRPr="00AC724E">
        <w:rPr>
          <w:rFonts w:ascii="Arial" w:eastAsia="Calibri" w:hAnsi="Arial" w:cs="Arial"/>
          <w:lang w:val="en"/>
        </w:rPr>
        <w:t>mM</w:t>
      </w:r>
      <w:proofErr w:type="spellEnd"/>
      <w:r w:rsidR="00062D4A" w:rsidRPr="00AC724E">
        <w:rPr>
          <w:rFonts w:ascii="Arial" w:eastAsia="Calibri" w:hAnsi="Arial" w:cs="Arial"/>
          <w:lang w:val="en"/>
        </w:rPr>
        <w:t xml:space="preserve"> MgCl</w:t>
      </w:r>
      <w:r w:rsidR="00062D4A" w:rsidRPr="00AC724E">
        <w:rPr>
          <w:rFonts w:ascii="Arial" w:eastAsia="Calibri" w:hAnsi="Arial" w:cs="Arial"/>
          <w:vertAlign w:val="subscript"/>
          <w:lang w:val="en"/>
        </w:rPr>
        <w:t>2</w:t>
      </w:r>
      <w:r w:rsidR="00062D4A" w:rsidRPr="00AC724E">
        <w:rPr>
          <w:rFonts w:ascii="Arial" w:eastAsia="Calibri" w:hAnsi="Arial" w:cs="Arial"/>
          <w:lang w:val="en"/>
        </w:rPr>
        <w:t>, 0.1 mg/ml BGG, 2</w:t>
      </w:r>
      <w:r w:rsidRPr="00AC724E">
        <w:rPr>
          <w:rFonts w:ascii="Arial" w:eastAsia="Calibri" w:hAnsi="Arial" w:cs="Arial"/>
          <w:lang w:val="en"/>
        </w:rPr>
        <w:t xml:space="preserve"> </w:t>
      </w:r>
      <w:proofErr w:type="spellStart"/>
      <w:r w:rsidR="00062D4A" w:rsidRPr="00AC724E">
        <w:rPr>
          <w:rFonts w:ascii="Arial" w:eastAsia="Calibri" w:hAnsi="Arial" w:cs="Arial"/>
          <w:lang w:val="en"/>
        </w:rPr>
        <w:t>mM</w:t>
      </w:r>
      <w:proofErr w:type="spellEnd"/>
      <w:r w:rsidR="00062D4A" w:rsidRPr="00AC724E">
        <w:rPr>
          <w:rFonts w:ascii="Arial" w:eastAsia="Calibri" w:hAnsi="Arial" w:cs="Arial"/>
          <w:lang w:val="en"/>
        </w:rPr>
        <w:t xml:space="preserve"> DTT</w:t>
      </w:r>
      <w:r w:rsidRPr="00AC724E">
        <w:rPr>
          <w:rFonts w:ascii="Arial" w:eastAsia="Calibri" w:hAnsi="Arial" w:cs="Arial"/>
          <w:lang w:val="en"/>
        </w:rPr>
        <w:t>)</w:t>
      </w:r>
      <w:r w:rsidR="00062D4A" w:rsidRPr="00AC724E">
        <w:rPr>
          <w:rFonts w:ascii="Arial" w:eastAsia="Calibri" w:hAnsi="Arial" w:cs="Arial"/>
          <w:lang w:val="en"/>
        </w:rPr>
        <w:t>, containing 15</w:t>
      </w:r>
      <w:r w:rsidRPr="00AC724E">
        <w:rPr>
          <w:rFonts w:ascii="Arial" w:eastAsia="Calibri" w:hAnsi="Arial" w:cs="Arial"/>
          <w:lang w:val="en"/>
        </w:rPr>
        <w:t xml:space="preserve"> </w:t>
      </w:r>
      <w:r w:rsidR="0056122F" w:rsidRPr="00AC724E">
        <w:rPr>
          <w:rFonts w:ascii="Arial" w:eastAsia="Times New Roman" w:hAnsi="Arial" w:cs="Arial"/>
          <w:lang w:eastAsia="es-ES"/>
        </w:rPr>
        <w:t>µ</w:t>
      </w:r>
      <w:r w:rsidR="00062D4A" w:rsidRPr="00AC724E">
        <w:rPr>
          <w:rFonts w:ascii="Arial" w:eastAsia="Calibri" w:hAnsi="Arial" w:cs="Arial"/>
          <w:lang w:val="en"/>
        </w:rPr>
        <w:t>M ATP and 200</w:t>
      </w:r>
      <w:r w:rsidRPr="00AC724E">
        <w:rPr>
          <w:rFonts w:ascii="Arial" w:eastAsia="Calibri" w:hAnsi="Arial" w:cs="Arial"/>
          <w:lang w:val="en"/>
        </w:rPr>
        <w:t xml:space="preserve"> </w:t>
      </w:r>
      <w:proofErr w:type="spellStart"/>
      <w:r w:rsidR="00062D4A" w:rsidRPr="00AC724E">
        <w:rPr>
          <w:rFonts w:ascii="Arial" w:eastAsia="Calibri" w:hAnsi="Arial" w:cs="Arial"/>
          <w:lang w:val="en"/>
        </w:rPr>
        <w:t>nM</w:t>
      </w:r>
      <w:proofErr w:type="spellEnd"/>
      <w:r w:rsidR="00062D4A" w:rsidRPr="00AC724E">
        <w:rPr>
          <w:rFonts w:ascii="Arial" w:eastAsia="Calibri" w:hAnsi="Arial" w:cs="Arial"/>
          <w:lang w:val="en"/>
        </w:rPr>
        <w:t xml:space="preserve"> </w:t>
      </w:r>
      <w:proofErr w:type="spellStart"/>
      <w:r w:rsidR="00062D4A" w:rsidRPr="00AC724E">
        <w:rPr>
          <w:rFonts w:ascii="Arial" w:eastAsia="Calibri" w:hAnsi="Arial" w:cs="Arial"/>
        </w:rPr>
        <w:t>Ultralight</w:t>
      </w:r>
      <w:r w:rsidR="00062D4A" w:rsidRPr="00AC724E">
        <w:rPr>
          <w:rFonts w:ascii="Arial" w:eastAsia="Calibri" w:hAnsi="Arial" w:cs="Arial"/>
          <w:vertAlign w:val="superscript"/>
        </w:rPr>
        <w:t>TM</w:t>
      </w:r>
      <w:proofErr w:type="spellEnd"/>
      <w:r w:rsidR="00062D4A" w:rsidRPr="00AC724E">
        <w:rPr>
          <w:rFonts w:ascii="Arial" w:eastAsia="Calibri" w:hAnsi="Arial" w:cs="Arial"/>
        </w:rPr>
        <w:t xml:space="preserve">-labeled Poly GT substrate </w:t>
      </w:r>
      <w:r w:rsidR="00062D4A" w:rsidRPr="00AC724E">
        <w:rPr>
          <w:rFonts w:ascii="Arial" w:eastAsia="Calibri" w:hAnsi="Arial" w:cs="Arial"/>
          <w:lang w:val="en"/>
        </w:rPr>
        <w:t>in a</w:t>
      </w:r>
      <w:r w:rsidRPr="00AC724E">
        <w:rPr>
          <w:rFonts w:ascii="Arial" w:eastAsia="Calibri" w:hAnsi="Arial" w:cs="Arial"/>
          <w:lang w:val="en"/>
        </w:rPr>
        <w:t xml:space="preserve"> total volume of</w:t>
      </w:r>
      <w:r w:rsidR="00062D4A" w:rsidRPr="00AC724E">
        <w:rPr>
          <w:rFonts w:ascii="Arial" w:eastAsia="Calibri" w:hAnsi="Arial" w:cs="Arial"/>
          <w:lang w:val="en"/>
        </w:rPr>
        <w:t xml:space="preserve"> 20</w:t>
      </w:r>
      <w:r w:rsidRPr="00AC724E">
        <w:rPr>
          <w:rFonts w:ascii="Arial" w:eastAsia="Calibri" w:hAnsi="Arial" w:cs="Arial"/>
          <w:lang w:val="en"/>
        </w:rPr>
        <w:t xml:space="preserve"> </w:t>
      </w:r>
      <w:proofErr w:type="spellStart"/>
      <w:r w:rsidR="00062D4A" w:rsidRPr="00AC724E">
        <w:rPr>
          <w:rFonts w:ascii="Arial" w:eastAsia="Calibri" w:hAnsi="Arial" w:cs="Arial"/>
          <w:lang w:val="en"/>
        </w:rPr>
        <w:t>μl</w:t>
      </w:r>
      <w:proofErr w:type="spellEnd"/>
      <w:r w:rsidR="00062D4A" w:rsidRPr="00AC724E">
        <w:rPr>
          <w:rFonts w:ascii="Arial" w:eastAsia="Calibri" w:hAnsi="Arial" w:cs="Arial"/>
          <w:lang w:val="en"/>
        </w:rPr>
        <w:t xml:space="preserve">. </w:t>
      </w:r>
      <w:r w:rsidR="0056122F" w:rsidRPr="00AC724E">
        <w:rPr>
          <w:rFonts w:ascii="Arial" w:hAnsi="Arial" w:cs="Arial"/>
        </w:rPr>
        <w:t xml:space="preserve">The reaction was </w:t>
      </w:r>
      <w:r w:rsidR="00EF0E97" w:rsidRPr="00AC724E">
        <w:rPr>
          <w:rFonts w:ascii="Arial" w:hAnsi="Arial" w:cs="Arial"/>
        </w:rPr>
        <w:t xml:space="preserve">allowed to </w:t>
      </w:r>
      <w:r w:rsidR="00FB23C3" w:rsidRPr="00AC724E">
        <w:rPr>
          <w:rFonts w:ascii="Arial" w:hAnsi="Arial" w:cs="Arial"/>
        </w:rPr>
        <w:t>proceed in</w:t>
      </w:r>
      <w:r w:rsidR="00EF0E97" w:rsidRPr="00AC724E">
        <w:rPr>
          <w:rFonts w:ascii="Arial" w:hAnsi="Arial" w:cs="Arial"/>
        </w:rPr>
        <w:t xml:space="preserve"> an</w:t>
      </w:r>
      <w:r w:rsidR="0056122F" w:rsidRPr="00AC724E">
        <w:rPr>
          <w:rFonts w:ascii="Arial" w:hAnsi="Arial" w:cs="Arial"/>
        </w:rPr>
        <w:t xml:space="preserve"> </w:t>
      </w:r>
      <w:proofErr w:type="spellStart"/>
      <w:r w:rsidR="0056122F" w:rsidRPr="00AC724E">
        <w:rPr>
          <w:rFonts w:ascii="Arial" w:hAnsi="Arial" w:cs="Arial"/>
        </w:rPr>
        <w:t>Optiplate</w:t>
      </w:r>
      <w:proofErr w:type="spellEnd"/>
      <w:r w:rsidR="0056122F" w:rsidRPr="00AC724E">
        <w:rPr>
          <w:rFonts w:ascii="Arial" w:hAnsi="Arial" w:cs="Arial"/>
        </w:rPr>
        <w:t xml:space="preserve"> 384 from PerkinElmer </w:t>
      </w:r>
      <w:r w:rsidRPr="00AC724E">
        <w:rPr>
          <w:rFonts w:ascii="Arial" w:hAnsi="Arial" w:cs="Arial"/>
        </w:rPr>
        <w:t xml:space="preserve">for </w:t>
      </w:r>
      <w:r w:rsidR="0056122F" w:rsidRPr="00AC724E">
        <w:rPr>
          <w:rFonts w:ascii="Arial" w:hAnsi="Arial" w:cs="Arial"/>
        </w:rPr>
        <w:t>60 min at room temperature.</w:t>
      </w:r>
      <w:r w:rsidR="0056122F" w:rsidRPr="00AC724E">
        <w:rPr>
          <w:rFonts w:ascii="Arial" w:hAnsi="Arial" w:cs="Arial"/>
          <w:lang w:val="en"/>
        </w:rPr>
        <w:t xml:space="preserve"> </w:t>
      </w:r>
      <w:r w:rsidR="00062D4A" w:rsidRPr="00AC724E">
        <w:rPr>
          <w:rFonts w:ascii="Arial" w:eastAsia="Calibri" w:hAnsi="Arial" w:cs="Arial"/>
          <w:lang w:val="en"/>
        </w:rPr>
        <w:t>Reactions proceeded within the linear reaction time</w:t>
      </w:r>
      <w:r w:rsidR="00A83510" w:rsidRPr="00AC724E">
        <w:rPr>
          <w:rFonts w:ascii="Arial" w:eastAsia="Calibri" w:hAnsi="Arial" w:cs="Arial"/>
          <w:lang w:val="en"/>
        </w:rPr>
        <w:t xml:space="preserve"> were</w:t>
      </w:r>
      <w:r w:rsidR="00062D4A" w:rsidRPr="00AC724E">
        <w:rPr>
          <w:rFonts w:ascii="Arial" w:eastAsia="Calibri" w:hAnsi="Arial" w:cs="Arial"/>
          <w:lang w:val="en"/>
        </w:rPr>
        <w:t xml:space="preserve"> then terminated by the addition of 20 </w:t>
      </w:r>
      <w:proofErr w:type="spellStart"/>
      <w:r w:rsidR="00062D4A" w:rsidRPr="00AC724E">
        <w:rPr>
          <w:rFonts w:ascii="Arial" w:eastAsia="Calibri" w:hAnsi="Arial" w:cs="Arial"/>
          <w:lang w:val="en"/>
        </w:rPr>
        <w:t>mM</w:t>
      </w:r>
      <w:proofErr w:type="spellEnd"/>
      <w:r w:rsidR="00062D4A" w:rsidRPr="00AC724E">
        <w:rPr>
          <w:rFonts w:ascii="Arial" w:eastAsia="Calibri" w:hAnsi="Arial" w:cs="Arial"/>
          <w:lang w:val="en"/>
        </w:rPr>
        <w:t xml:space="preserve"> EDTA and 4</w:t>
      </w:r>
      <w:r w:rsidRPr="00AC724E">
        <w:rPr>
          <w:rFonts w:ascii="Arial" w:eastAsia="Calibri" w:hAnsi="Arial" w:cs="Arial"/>
          <w:lang w:val="en"/>
        </w:rPr>
        <w:t xml:space="preserve"> </w:t>
      </w:r>
      <w:proofErr w:type="spellStart"/>
      <w:r w:rsidR="00062D4A" w:rsidRPr="00AC724E">
        <w:rPr>
          <w:rFonts w:ascii="Arial" w:eastAsia="Calibri" w:hAnsi="Arial" w:cs="Arial"/>
          <w:lang w:val="en"/>
        </w:rPr>
        <w:t>nM</w:t>
      </w:r>
      <w:proofErr w:type="spellEnd"/>
      <w:r w:rsidR="00062D4A" w:rsidRPr="00AC724E">
        <w:rPr>
          <w:rFonts w:ascii="Arial" w:eastAsia="Calibri" w:hAnsi="Arial" w:cs="Arial"/>
          <w:lang w:val="en"/>
        </w:rPr>
        <w:t xml:space="preserve"> Eu-W1024-labeled PY20 antibody. After </w:t>
      </w:r>
      <w:r w:rsidR="00EF0E97" w:rsidRPr="00AC724E">
        <w:rPr>
          <w:rFonts w:ascii="Arial" w:eastAsia="Calibri" w:hAnsi="Arial" w:cs="Arial"/>
          <w:lang w:val="en"/>
        </w:rPr>
        <w:t xml:space="preserve">an </w:t>
      </w:r>
      <w:r w:rsidR="00062D4A" w:rsidRPr="00AC724E">
        <w:rPr>
          <w:rFonts w:ascii="Arial" w:eastAsia="Calibri" w:hAnsi="Arial" w:cs="Arial"/>
          <w:lang w:val="en"/>
        </w:rPr>
        <w:t xml:space="preserve">incubation </w:t>
      </w:r>
      <w:r w:rsidR="00A83510" w:rsidRPr="00AC724E">
        <w:rPr>
          <w:rFonts w:ascii="Arial" w:eastAsia="Calibri" w:hAnsi="Arial" w:cs="Arial"/>
          <w:lang w:val="en"/>
        </w:rPr>
        <w:t xml:space="preserve">of </w:t>
      </w:r>
      <w:r w:rsidR="00062D4A" w:rsidRPr="00AC724E">
        <w:rPr>
          <w:rFonts w:ascii="Arial" w:eastAsia="Calibri" w:hAnsi="Arial" w:cs="Arial"/>
          <w:lang w:val="en"/>
        </w:rPr>
        <w:t xml:space="preserve">at least 60 min, </w:t>
      </w:r>
      <w:r w:rsidR="00EF0E97" w:rsidRPr="00AC724E">
        <w:rPr>
          <w:rFonts w:ascii="Arial" w:eastAsia="Calibri" w:hAnsi="Arial" w:cs="Arial"/>
          <w:lang w:val="en"/>
        </w:rPr>
        <w:t xml:space="preserve">the </w:t>
      </w:r>
      <w:r w:rsidR="00062D4A" w:rsidRPr="00AC724E">
        <w:rPr>
          <w:rFonts w:ascii="Arial" w:eastAsia="Calibri" w:hAnsi="Arial" w:cs="Arial"/>
          <w:lang w:val="en"/>
        </w:rPr>
        <w:t xml:space="preserve">samples were excited </w:t>
      </w:r>
      <w:r w:rsidR="00EF0E97" w:rsidRPr="00AC724E">
        <w:rPr>
          <w:rFonts w:ascii="Arial" w:eastAsia="Calibri" w:hAnsi="Arial" w:cs="Arial"/>
          <w:lang w:val="en"/>
        </w:rPr>
        <w:t>with a</w:t>
      </w:r>
      <w:r w:rsidR="005F24C6" w:rsidRPr="00AC724E">
        <w:rPr>
          <w:rFonts w:ascii="Arial" w:eastAsia="Calibri" w:hAnsi="Arial" w:cs="Arial"/>
          <w:lang w:val="en"/>
        </w:rPr>
        <w:t xml:space="preserve"> </w:t>
      </w:r>
      <w:r w:rsidR="005F24C6" w:rsidRPr="00AC724E">
        <w:rPr>
          <w:rFonts w:ascii="Arial" w:eastAsia="Times New Roman" w:hAnsi="Arial" w:cs="Arial"/>
          <w:lang w:eastAsia="es-ES"/>
        </w:rPr>
        <w:t>Light Unit laser</w:t>
      </w:r>
      <w:r w:rsidR="00EF0E97" w:rsidRPr="00AC724E">
        <w:rPr>
          <w:rFonts w:ascii="Arial" w:eastAsia="Times New Roman" w:hAnsi="Arial" w:cs="Arial"/>
          <w:lang w:eastAsia="es-ES"/>
        </w:rPr>
        <w:t xml:space="preserve"> at</w:t>
      </w:r>
      <w:r w:rsidR="005F24C6" w:rsidRPr="00AC724E">
        <w:rPr>
          <w:rFonts w:ascii="Arial" w:eastAsia="Times New Roman" w:hAnsi="Arial" w:cs="Arial"/>
          <w:lang w:eastAsia="es-ES"/>
        </w:rPr>
        <w:t xml:space="preserve"> 337 n</w:t>
      </w:r>
      <w:r w:rsidR="00EF0E97" w:rsidRPr="00AC724E">
        <w:rPr>
          <w:rFonts w:ascii="Arial" w:eastAsia="Times New Roman" w:hAnsi="Arial" w:cs="Arial"/>
          <w:lang w:eastAsia="es-ES"/>
        </w:rPr>
        <w:t>m</w:t>
      </w:r>
      <w:r w:rsidR="005F24C6" w:rsidRPr="00AC724E">
        <w:rPr>
          <w:rFonts w:ascii="Arial" w:eastAsia="Times New Roman" w:hAnsi="Arial" w:cs="Arial"/>
          <w:lang w:eastAsia="es-ES"/>
        </w:rPr>
        <w:t xml:space="preserve">, and </w:t>
      </w:r>
      <w:r w:rsidR="00EF0E97" w:rsidRPr="00AC724E">
        <w:rPr>
          <w:rFonts w:ascii="Arial" w:eastAsia="Times New Roman" w:hAnsi="Arial" w:cs="Arial"/>
          <w:lang w:eastAsia="es-ES"/>
        </w:rPr>
        <w:t xml:space="preserve">the </w:t>
      </w:r>
      <w:r w:rsidR="005F24C6" w:rsidRPr="00AC724E">
        <w:rPr>
          <w:rFonts w:ascii="Arial" w:eastAsia="Times New Roman" w:hAnsi="Arial" w:cs="Arial"/>
          <w:lang w:eastAsia="es-ES"/>
        </w:rPr>
        <w:t xml:space="preserve">emission </w:t>
      </w:r>
      <w:r w:rsidR="00EF0E97" w:rsidRPr="00AC724E">
        <w:rPr>
          <w:rFonts w:ascii="Arial" w:eastAsia="Times New Roman" w:hAnsi="Arial" w:cs="Arial"/>
          <w:lang w:eastAsia="es-ES"/>
        </w:rPr>
        <w:t>of the</w:t>
      </w:r>
      <w:r w:rsidR="005F24C6" w:rsidRPr="00AC724E">
        <w:rPr>
          <w:rFonts w:ascii="Arial" w:eastAsia="Times New Roman" w:hAnsi="Arial" w:cs="Arial"/>
          <w:lang w:eastAsia="es-ES"/>
        </w:rPr>
        <w:t xml:space="preserve">  LANCE </w:t>
      </w:r>
      <w:proofErr w:type="spellStart"/>
      <w:r w:rsidR="005F24C6" w:rsidRPr="00AC724E">
        <w:rPr>
          <w:rFonts w:ascii="Arial" w:eastAsia="Times New Roman" w:hAnsi="Arial" w:cs="Arial"/>
          <w:lang w:eastAsia="es-ES"/>
        </w:rPr>
        <w:t>Eu</w:t>
      </w:r>
      <w:proofErr w:type="spellEnd"/>
      <w:r w:rsidR="005F24C6" w:rsidRPr="00AC724E">
        <w:rPr>
          <w:rFonts w:ascii="Arial" w:eastAsia="Times New Roman" w:hAnsi="Arial" w:cs="Arial"/>
          <w:lang w:eastAsia="es-ES"/>
        </w:rPr>
        <w:t>/APC (615/665 nm)</w:t>
      </w:r>
      <w:r w:rsidR="00EF0E97" w:rsidRPr="00AC724E">
        <w:rPr>
          <w:rFonts w:ascii="Arial" w:eastAsia="Times New Roman" w:hAnsi="Arial" w:cs="Arial"/>
          <w:lang w:eastAsia="es-ES"/>
        </w:rPr>
        <w:t xml:space="preserve"> was measured with</w:t>
      </w:r>
      <w:r w:rsidR="005F24C6" w:rsidRPr="00AC724E">
        <w:rPr>
          <w:rFonts w:ascii="Arial" w:eastAsia="Times New Roman" w:hAnsi="Arial" w:cs="Arial"/>
          <w:lang w:eastAsia="es-ES"/>
        </w:rPr>
        <w:t xml:space="preserve"> an Envision reader (PerkinElmer)</w:t>
      </w:r>
      <w:r w:rsidR="005F24C6" w:rsidRPr="00AC724E">
        <w:rPr>
          <w:rFonts w:ascii="Arial" w:eastAsia="Calibri" w:hAnsi="Arial" w:cs="Arial"/>
          <w:lang w:val="en"/>
        </w:rPr>
        <w:t xml:space="preserve">. </w:t>
      </w:r>
      <w:r w:rsidR="00062D4A" w:rsidRPr="00AC724E">
        <w:rPr>
          <w:rFonts w:ascii="Arial" w:eastAsia="Calibri" w:hAnsi="Arial" w:cs="Arial"/>
          <w:lang w:val="en"/>
        </w:rPr>
        <w:t>To test</w:t>
      </w:r>
      <w:r w:rsidR="00EF0E97" w:rsidRPr="00AC724E">
        <w:rPr>
          <w:rFonts w:ascii="Arial" w:eastAsia="Calibri" w:hAnsi="Arial" w:cs="Arial"/>
          <w:lang w:val="en"/>
        </w:rPr>
        <w:t xml:space="preserve"> the effect of</w:t>
      </w:r>
      <w:r w:rsidR="00062D4A" w:rsidRPr="00AC724E">
        <w:rPr>
          <w:rFonts w:ascii="Arial" w:eastAsia="Calibri" w:hAnsi="Arial" w:cs="Arial"/>
          <w:lang w:val="en"/>
        </w:rPr>
        <w:t xml:space="preserve"> known VEGFR2 inhibitors</w:t>
      </w:r>
      <w:r w:rsidR="00EF0E97" w:rsidRPr="00AC724E">
        <w:rPr>
          <w:rFonts w:ascii="Arial" w:eastAsia="Calibri" w:hAnsi="Arial" w:cs="Arial"/>
          <w:lang w:val="en"/>
        </w:rPr>
        <w:t xml:space="preserve"> on kinase activity,</w:t>
      </w:r>
      <w:r w:rsidR="00062D4A" w:rsidRPr="00AC724E">
        <w:rPr>
          <w:rFonts w:ascii="Arial" w:eastAsia="Calibri" w:hAnsi="Arial" w:cs="Arial"/>
          <w:lang w:val="en"/>
        </w:rPr>
        <w:t xml:space="preserve"> 0.3</w:t>
      </w:r>
      <w:r w:rsidR="00EF0E97" w:rsidRPr="00AC724E">
        <w:rPr>
          <w:rFonts w:ascii="Arial" w:eastAsia="Calibri" w:hAnsi="Arial" w:cs="Arial"/>
          <w:lang w:val="en"/>
        </w:rPr>
        <w:t xml:space="preserve"> </w:t>
      </w:r>
      <w:r w:rsidR="00062D4A" w:rsidRPr="00AC724E">
        <w:rPr>
          <w:rFonts w:ascii="Arial" w:eastAsia="Calibri" w:hAnsi="Arial" w:cs="Arial"/>
          <w:lang w:val="en"/>
        </w:rPr>
        <w:t xml:space="preserve">ng </w:t>
      </w:r>
      <w:r w:rsidR="00EF0E97" w:rsidRPr="00AC724E">
        <w:rPr>
          <w:rFonts w:ascii="Arial" w:eastAsia="Calibri" w:hAnsi="Arial" w:cs="Arial"/>
          <w:lang w:val="en"/>
        </w:rPr>
        <w:t xml:space="preserve">WT </w:t>
      </w:r>
      <w:r w:rsidR="00062D4A" w:rsidRPr="00AC724E">
        <w:rPr>
          <w:rFonts w:ascii="Arial" w:eastAsia="Calibri" w:hAnsi="Arial" w:cs="Arial"/>
          <w:lang w:val="en"/>
        </w:rPr>
        <w:t>VEGFR2 and 300</w:t>
      </w:r>
      <w:r w:rsidR="00EF0E97" w:rsidRPr="00AC724E">
        <w:rPr>
          <w:rFonts w:ascii="Arial" w:eastAsia="Calibri" w:hAnsi="Arial" w:cs="Arial"/>
          <w:lang w:val="en"/>
        </w:rPr>
        <w:t xml:space="preserve"> </w:t>
      </w:r>
      <w:r w:rsidR="00062D4A" w:rsidRPr="00AC724E">
        <w:rPr>
          <w:rFonts w:ascii="Arial" w:eastAsia="Calibri" w:hAnsi="Arial" w:cs="Arial"/>
          <w:lang w:val="en"/>
        </w:rPr>
        <w:t>ng mutant VEGFR2</w:t>
      </w:r>
      <w:r w:rsidR="00EF0E97" w:rsidRPr="00AC724E">
        <w:rPr>
          <w:rFonts w:ascii="Arial" w:eastAsia="Calibri" w:hAnsi="Arial" w:cs="Arial"/>
          <w:lang w:val="en"/>
        </w:rPr>
        <w:t xml:space="preserve"> were used</w:t>
      </w:r>
      <w:r w:rsidR="00062D4A" w:rsidRPr="00AC724E">
        <w:rPr>
          <w:rFonts w:ascii="Arial" w:eastAsia="Calibri" w:hAnsi="Arial" w:cs="Arial"/>
          <w:lang w:val="en"/>
        </w:rPr>
        <w:t xml:space="preserve">. </w:t>
      </w:r>
      <w:r w:rsidR="00EF0E97" w:rsidRPr="00AC724E">
        <w:rPr>
          <w:rFonts w:ascii="Arial" w:eastAsia="Calibri" w:hAnsi="Arial" w:cs="Arial"/>
          <w:lang w:val="en"/>
        </w:rPr>
        <w:t xml:space="preserve">The </w:t>
      </w:r>
      <w:r w:rsidR="006E714C" w:rsidRPr="00AC724E">
        <w:rPr>
          <w:rFonts w:ascii="Arial" w:eastAsia="Calibri" w:hAnsi="Arial" w:cs="Arial"/>
          <w:lang w:val="en"/>
        </w:rPr>
        <w:t xml:space="preserve">starting </w:t>
      </w:r>
      <w:r w:rsidR="00EF0E97" w:rsidRPr="00AC724E">
        <w:rPr>
          <w:rFonts w:ascii="Arial" w:eastAsia="Calibri" w:hAnsi="Arial" w:cs="Arial"/>
          <w:lang w:val="en"/>
        </w:rPr>
        <w:t>concentration of the i</w:t>
      </w:r>
      <w:r w:rsidR="00062D4A" w:rsidRPr="00AC724E">
        <w:rPr>
          <w:rFonts w:ascii="Arial" w:eastAsia="Calibri" w:hAnsi="Arial" w:cs="Arial"/>
          <w:lang w:val="en"/>
        </w:rPr>
        <w:t xml:space="preserve">nhibitors tested </w:t>
      </w:r>
      <w:r w:rsidR="006E714C" w:rsidRPr="00AC724E">
        <w:rPr>
          <w:rFonts w:ascii="Arial" w:eastAsia="Calibri" w:hAnsi="Arial" w:cs="Arial"/>
          <w:lang w:val="en"/>
        </w:rPr>
        <w:t>was</w:t>
      </w:r>
      <w:r w:rsidR="00062D4A" w:rsidRPr="00AC724E">
        <w:rPr>
          <w:rFonts w:ascii="Arial" w:eastAsia="Calibri" w:hAnsi="Arial" w:cs="Arial"/>
          <w:lang w:val="en"/>
        </w:rPr>
        <w:t xml:space="preserve"> 10</w:t>
      </w:r>
      <w:r w:rsidR="00EF0E97" w:rsidRPr="00AC724E">
        <w:rPr>
          <w:rFonts w:ascii="Arial" w:eastAsia="Calibri" w:hAnsi="Arial" w:cs="Arial"/>
          <w:lang w:val="en"/>
        </w:rPr>
        <w:t xml:space="preserve"> </w:t>
      </w:r>
      <w:r w:rsidR="00E353A6" w:rsidRPr="00AC724E">
        <w:rPr>
          <w:rFonts w:ascii="Arial" w:eastAsia="Calibri" w:hAnsi="Arial" w:cs="Arial"/>
          <w:lang w:val="en"/>
        </w:rPr>
        <w:sym w:font="Symbol" w:char="F06D"/>
      </w:r>
      <w:r w:rsidR="00062D4A" w:rsidRPr="00AC724E">
        <w:rPr>
          <w:rFonts w:ascii="Arial" w:eastAsia="Calibri" w:hAnsi="Arial" w:cs="Arial"/>
          <w:lang w:val="en"/>
        </w:rPr>
        <w:t>M</w:t>
      </w:r>
      <w:r w:rsidR="006E714C" w:rsidRPr="00AC724E">
        <w:rPr>
          <w:rFonts w:ascii="Arial" w:eastAsia="Calibri" w:hAnsi="Arial" w:cs="Arial"/>
          <w:lang w:val="en"/>
        </w:rPr>
        <w:t>, followed by 1:5</w:t>
      </w:r>
      <w:r w:rsidR="00062D4A" w:rsidRPr="00AC724E">
        <w:rPr>
          <w:rFonts w:ascii="Arial" w:eastAsia="Calibri" w:hAnsi="Arial" w:cs="Arial"/>
          <w:lang w:val="en"/>
        </w:rPr>
        <w:t xml:space="preserve"> serial dilutions. </w:t>
      </w:r>
      <w:r w:rsidR="006E714C" w:rsidRPr="00AC724E">
        <w:rPr>
          <w:rFonts w:ascii="Arial" w:eastAsia="Calibri" w:hAnsi="Arial" w:cs="Arial"/>
          <w:lang w:val="en"/>
        </w:rPr>
        <w:t>In order to calculate</w:t>
      </w:r>
      <w:r w:rsidR="00062D4A" w:rsidRPr="00AC724E">
        <w:rPr>
          <w:rFonts w:ascii="Arial" w:eastAsia="Calibri" w:hAnsi="Arial" w:cs="Arial"/>
          <w:lang w:val="en"/>
        </w:rPr>
        <w:t xml:space="preserve"> IC</w:t>
      </w:r>
      <w:r w:rsidR="00062D4A" w:rsidRPr="00AC724E">
        <w:rPr>
          <w:rFonts w:ascii="Arial" w:eastAsia="Calibri" w:hAnsi="Arial" w:cs="Arial"/>
          <w:vertAlign w:val="subscript"/>
          <w:lang w:val="en"/>
        </w:rPr>
        <w:t>50</w:t>
      </w:r>
      <w:r w:rsidR="00062D4A" w:rsidRPr="00AC724E">
        <w:rPr>
          <w:rFonts w:ascii="Arial" w:eastAsia="Calibri" w:hAnsi="Arial" w:cs="Arial"/>
          <w:lang w:val="en"/>
        </w:rPr>
        <w:t xml:space="preserve"> </w:t>
      </w:r>
      <w:r w:rsidR="00062D4A" w:rsidRPr="00AC724E">
        <w:rPr>
          <w:rFonts w:ascii="Arial" w:eastAsia="Calibri" w:hAnsi="Arial" w:cs="Arial"/>
        </w:rPr>
        <w:t>values of inhibition versus DMSO</w:t>
      </w:r>
      <w:r w:rsidR="006E714C" w:rsidRPr="00AC724E">
        <w:rPr>
          <w:rFonts w:ascii="Arial" w:eastAsia="Calibri" w:hAnsi="Arial" w:cs="Arial"/>
        </w:rPr>
        <w:t>,</w:t>
      </w:r>
      <w:r w:rsidR="00062D4A" w:rsidRPr="00AC724E">
        <w:rPr>
          <w:rFonts w:ascii="Arial" w:eastAsia="Calibri" w:hAnsi="Arial" w:cs="Arial"/>
        </w:rPr>
        <w:t xml:space="preserve"> </w:t>
      </w:r>
      <w:r w:rsidR="006E714C" w:rsidRPr="00AC724E">
        <w:rPr>
          <w:rFonts w:ascii="Arial" w:eastAsia="Calibri" w:hAnsi="Arial" w:cs="Arial"/>
        </w:rPr>
        <w:t xml:space="preserve">the data </w:t>
      </w:r>
      <w:r w:rsidR="00062D4A" w:rsidRPr="00AC724E">
        <w:rPr>
          <w:rFonts w:ascii="Arial" w:eastAsia="Calibri" w:hAnsi="Arial" w:cs="Arial"/>
        </w:rPr>
        <w:t>were plotted against the inhibitor concentration and fitted to a sigmoid dose-response curve using</w:t>
      </w:r>
      <w:r w:rsidR="006E714C" w:rsidRPr="00AC724E">
        <w:rPr>
          <w:rFonts w:ascii="Arial" w:eastAsia="Calibri" w:hAnsi="Arial" w:cs="Arial"/>
        </w:rPr>
        <w:t xml:space="preserve"> the</w:t>
      </w:r>
      <w:r w:rsidR="00062D4A" w:rsidRPr="00AC724E">
        <w:rPr>
          <w:rFonts w:ascii="Arial" w:eastAsia="Calibri" w:hAnsi="Arial" w:cs="Arial"/>
        </w:rPr>
        <w:t xml:space="preserve"> Activity base software from IDBS.</w:t>
      </w:r>
    </w:p>
    <w:p w14:paraId="7C9222E2" w14:textId="77777777" w:rsidR="00062D4A" w:rsidRPr="00AC724E" w:rsidRDefault="00062D4A" w:rsidP="00062D4A">
      <w:pPr>
        <w:pStyle w:val="ListParagraph"/>
        <w:numPr>
          <w:ilvl w:val="0"/>
          <w:numId w:val="1"/>
        </w:numPr>
        <w:snapToGrid w:val="0"/>
        <w:spacing w:line="480" w:lineRule="auto"/>
        <w:jc w:val="both"/>
        <w:outlineLvl w:val="0"/>
        <w:rPr>
          <w:rFonts w:ascii="Arial" w:hAnsi="Arial" w:cs="Arial"/>
          <w:b/>
        </w:rPr>
      </w:pPr>
      <w:r w:rsidRPr="00AC724E">
        <w:rPr>
          <w:rFonts w:ascii="Arial" w:hAnsi="Arial" w:cs="Arial"/>
          <w:b/>
        </w:rPr>
        <w:t>Immunohistochemistry</w:t>
      </w:r>
    </w:p>
    <w:p w14:paraId="0D514340" w14:textId="492456E2" w:rsidR="00062D4A" w:rsidRPr="00AC724E" w:rsidRDefault="00062D4A" w:rsidP="00062D4A">
      <w:pPr>
        <w:snapToGrid w:val="0"/>
        <w:spacing w:line="480" w:lineRule="auto"/>
        <w:contextualSpacing/>
        <w:jc w:val="both"/>
        <w:outlineLvl w:val="0"/>
        <w:rPr>
          <w:rFonts w:ascii="Arial" w:hAnsi="Arial" w:cs="Arial"/>
        </w:rPr>
      </w:pPr>
      <w:r w:rsidRPr="00AC724E">
        <w:rPr>
          <w:rFonts w:ascii="Arial" w:hAnsi="Arial" w:cs="Arial"/>
        </w:rPr>
        <w:lastRenderedPageBreak/>
        <w:t>Avatar tumor samples were fixed in 10% neutral buffered formalin (4% formaldehyde in solution)</w:t>
      </w:r>
      <w:r w:rsidR="006A533E" w:rsidRPr="00AC724E">
        <w:rPr>
          <w:rFonts w:ascii="Arial" w:hAnsi="Arial" w:cs="Arial"/>
        </w:rPr>
        <w:t xml:space="preserve"> and </w:t>
      </w:r>
      <w:r w:rsidRPr="00AC724E">
        <w:rPr>
          <w:rFonts w:ascii="Arial" w:hAnsi="Arial" w:cs="Arial"/>
        </w:rPr>
        <w:t>paraffin-embedded</w:t>
      </w:r>
      <w:r w:rsidR="00C62921" w:rsidRPr="00AC724E">
        <w:rPr>
          <w:rFonts w:ascii="Arial" w:hAnsi="Arial" w:cs="Arial"/>
        </w:rPr>
        <w:t xml:space="preserve">. Subsequently, </w:t>
      </w:r>
      <w:r w:rsidRPr="00AC724E">
        <w:rPr>
          <w:rFonts w:ascii="Arial" w:hAnsi="Arial" w:cs="Arial"/>
        </w:rPr>
        <w:t>3</w:t>
      </w:r>
      <w:r w:rsidR="00A83510" w:rsidRPr="00AC724E">
        <w:rPr>
          <w:rFonts w:ascii="Arial" w:hAnsi="Arial" w:cs="Arial"/>
        </w:rPr>
        <w:t>-</w:t>
      </w:r>
      <w:r w:rsidRPr="00AC724E">
        <w:rPr>
          <w:rFonts w:ascii="Arial" w:hAnsi="Arial" w:cs="Arial"/>
        </w:rPr>
        <w:t>µm</w:t>
      </w:r>
      <w:r w:rsidR="006A533E" w:rsidRPr="00AC724E">
        <w:rPr>
          <w:rFonts w:ascii="Arial" w:hAnsi="Arial" w:cs="Arial"/>
        </w:rPr>
        <w:t>-thick sections were cut from the samples</w:t>
      </w:r>
      <w:r w:rsidRPr="00AC724E">
        <w:rPr>
          <w:rFonts w:ascii="Arial" w:hAnsi="Arial" w:cs="Arial"/>
        </w:rPr>
        <w:t xml:space="preserve">, mounted in </w:t>
      </w:r>
      <w:proofErr w:type="spellStart"/>
      <w:r w:rsidRPr="00AC724E">
        <w:rPr>
          <w:rFonts w:ascii="Arial" w:hAnsi="Arial" w:cs="Arial"/>
        </w:rPr>
        <w:t>superfrost®plus</w:t>
      </w:r>
      <w:proofErr w:type="spellEnd"/>
      <w:r w:rsidRPr="00AC724E">
        <w:rPr>
          <w:rFonts w:ascii="Arial" w:hAnsi="Arial" w:cs="Arial"/>
        </w:rPr>
        <w:t xml:space="preserve"> slides</w:t>
      </w:r>
      <w:r w:rsidR="006A533E" w:rsidRPr="00AC724E">
        <w:rPr>
          <w:rFonts w:ascii="Arial" w:hAnsi="Arial" w:cs="Arial"/>
        </w:rPr>
        <w:t>,</w:t>
      </w:r>
      <w:r w:rsidRPr="00AC724E">
        <w:rPr>
          <w:rFonts w:ascii="Arial" w:hAnsi="Arial" w:cs="Arial"/>
        </w:rPr>
        <w:t xml:space="preserve"> and dried overnight. </w:t>
      </w:r>
      <w:r w:rsidR="006A533E" w:rsidRPr="00AC724E">
        <w:rPr>
          <w:rFonts w:ascii="Arial" w:hAnsi="Arial" w:cs="Arial"/>
        </w:rPr>
        <w:t>Before</w:t>
      </w:r>
      <w:r w:rsidRPr="00AC724E">
        <w:rPr>
          <w:rFonts w:ascii="Arial" w:hAnsi="Arial" w:cs="Arial"/>
        </w:rPr>
        <w:t xml:space="preserve"> staining</w:t>
      </w:r>
      <w:r w:rsidR="006A533E" w:rsidRPr="00AC724E">
        <w:rPr>
          <w:rFonts w:ascii="Arial" w:hAnsi="Arial" w:cs="Arial"/>
        </w:rPr>
        <w:t>,</w:t>
      </w:r>
      <w:r w:rsidRPr="00AC724E">
        <w:rPr>
          <w:rFonts w:ascii="Arial" w:hAnsi="Arial" w:cs="Arial"/>
        </w:rPr>
        <w:t xml:space="preserve"> </w:t>
      </w:r>
      <w:r w:rsidR="006A533E" w:rsidRPr="00AC724E">
        <w:rPr>
          <w:rFonts w:ascii="Arial" w:hAnsi="Arial" w:cs="Arial"/>
        </w:rPr>
        <w:t>the sections</w:t>
      </w:r>
      <w:r w:rsidRPr="00AC724E">
        <w:rPr>
          <w:rFonts w:ascii="Arial" w:hAnsi="Arial" w:cs="Arial"/>
        </w:rPr>
        <w:t xml:space="preserve"> were </w:t>
      </w:r>
      <w:proofErr w:type="spellStart"/>
      <w:r w:rsidRPr="00AC724E">
        <w:rPr>
          <w:rFonts w:ascii="Arial" w:hAnsi="Arial" w:cs="Arial"/>
        </w:rPr>
        <w:t>deparaffinized</w:t>
      </w:r>
      <w:proofErr w:type="spellEnd"/>
      <w:r w:rsidRPr="00AC724E">
        <w:rPr>
          <w:rFonts w:ascii="Arial" w:hAnsi="Arial" w:cs="Arial"/>
        </w:rPr>
        <w:t xml:space="preserve"> in xylene and re-hydrated through a series of </w:t>
      </w:r>
      <w:r w:rsidR="00AA77F7" w:rsidRPr="00AC724E">
        <w:rPr>
          <w:rFonts w:ascii="Arial" w:hAnsi="Arial" w:cs="Arial"/>
        </w:rPr>
        <w:t xml:space="preserve">decreasing </w:t>
      </w:r>
      <w:r w:rsidRPr="00AC724E">
        <w:rPr>
          <w:rFonts w:ascii="Arial" w:hAnsi="Arial" w:cs="Arial"/>
        </w:rPr>
        <w:t xml:space="preserve">ethanol </w:t>
      </w:r>
      <w:r w:rsidR="00AA77F7" w:rsidRPr="00AC724E">
        <w:rPr>
          <w:rFonts w:ascii="Arial" w:hAnsi="Arial" w:cs="Arial"/>
        </w:rPr>
        <w:t xml:space="preserve">concentration in </w:t>
      </w:r>
      <w:r w:rsidRPr="00AC724E">
        <w:rPr>
          <w:rFonts w:ascii="Arial" w:hAnsi="Arial" w:cs="Arial"/>
        </w:rPr>
        <w:t xml:space="preserve">water. Consecutive sections were stained with hematoxylin and eosin (H&amp;E) and </w:t>
      </w:r>
      <w:r w:rsidR="00AA77F7" w:rsidRPr="00AC724E">
        <w:rPr>
          <w:rFonts w:ascii="Arial" w:hAnsi="Arial" w:cs="Arial"/>
        </w:rPr>
        <w:t xml:space="preserve">by </w:t>
      </w:r>
      <w:r w:rsidRPr="00AC724E">
        <w:rPr>
          <w:rFonts w:ascii="Arial" w:hAnsi="Arial" w:cs="Arial"/>
        </w:rPr>
        <w:t>immunohistochemistry</w:t>
      </w:r>
      <w:r w:rsidR="00AA77F7" w:rsidRPr="00AC724E">
        <w:rPr>
          <w:rFonts w:ascii="Arial" w:hAnsi="Arial" w:cs="Arial"/>
        </w:rPr>
        <w:t>, using</w:t>
      </w:r>
      <w:r w:rsidRPr="00AC724E">
        <w:rPr>
          <w:rFonts w:ascii="Arial" w:hAnsi="Arial" w:cs="Arial"/>
        </w:rPr>
        <w:t xml:space="preserve"> an automated immunostaining platform (</w:t>
      </w:r>
      <w:proofErr w:type="spellStart"/>
      <w:r w:rsidRPr="00AC724E">
        <w:rPr>
          <w:rFonts w:ascii="Arial" w:hAnsi="Arial" w:cs="Arial"/>
        </w:rPr>
        <w:t>Ventana</w:t>
      </w:r>
      <w:proofErr w:type="spellEnd"/>
      <w:r w:rsidRPr="00AC724E">
        <w:rPr>
          <w:rFonts w:ascii="Arial" w:hAnsi="Arial" w:cs="Arial"/>
        </w:rPr>
        <w:t xml:space="preserve"> Discovery XT, Roche or </w:t>
      </w:r>
      <w:proofErr w:type="spellStart"/>
      <w:r w:rsidRPr="00AC724E">
        <w:rPr>
          <w:rFonts w:ascii="Arial" w:hAnsi="Arial" w:cs="Arial"/>
        </w:rPr>
        <w:t>Autostainer</w:t>
      </w:r>
      <w:proofErr w:type="spellEnd"/>
      <w:r w:rsidRPr="00AC724E">
        <w:rPr>
          <w:rFonts w:ascii="Arial" w:hAnsi="Arial" w:cs="Arial"/>
        </w:rPr>
        <w:t xml:space="preserve"> Plus Link 48). Antigen retrieval was first performed with high or</w:t>
      </w:r>
      <w:r w:rsidR="006A533E" w:rsidRPr="00AC724E">
        <w:rPr>
          <w:rFonts w:ascii="Arial" w:hAnsi="Arial" w:cs="Arial"/>
        </w:rPr>
        <w:t xml:space="preserve"> low</w:t>
      </w:r>
      <w:r w:rsidRPr="00AC724E">
        <w:rPr>
          <w:rFonts w:ascii="Arial" w:hAnsi="Arial" w:cs="Arial"/>
        </w:rPr>
        <w:t xml:space="preserve"> pH buffer (CC1m, Roche), endogenous peroxidase was blocked (</w:t>
      </w:r>
      <w:r w:rsidR="006A533E" w:rsidRPr="00AC724E">
        <w:rPr>
          <w:rFonts w:ascii="Arial" w:hAnsi="Arial" w:cs="Arial"/>
        </w:rPr>
        <w:t xml:space="preserve">3% hydrogen </w:t>
      </w:r>
      <w:r w:rsidRPr="00AC724E">
        <w:rPr>
          <w:rFonts w:ascii="Arial" w:hAnsi="Arial" w:cs="Arial"/>
        </w:rPr>
        <w:t>peroxide)</w:t>
      </w:r>
      <w:r w:rsidR="006A533E" w:rsidRPr="00AC724E">
        <w:rPr>
          <w:rFonts w:ascii="Arial" w:hAnsi="Arial" w:cs="Arial"/>
        </w:rPr>
        <w:t>,</w:t>
      </w:r>
      <w:r w:rsidRPr="00AC724E">
        <w:rPr>
          <w:rFonts w:ascii="Arial" w:hAnsi="Arial" w:cs="Arial"/>
        </w:rPr>
        <w:t xml:space="preserve"> and</w:t>
      </w:r>
      <w:r w:rsidR="006A533E" w:rsidRPr="00AC724E">
        <w:rPr>
          <w:rFonts w:ascii="Arial" w:hAnsi="Arial" w:cs="Arial"/>
        </w:rPr>
        <w:t xml:space="preserve"> the</w:t>
      </w:r>
      <w:r w:rsidRPr="00AC724E">
        <w:rPr>
          <w:rFonts w:ascii="Arial" w:hAnsi="Arial" w:cs="Arial"/>
        </w:rPr>
        <w:t xml:space="preserve"> slides were incubated with an anti p-ERK rabbit polyclonal primary antibody (1:300; Cell Signaling #9101) for 28 min. </w:t>
      </w:r>
      <w:r w:rsidR="006A533E" w:rsidRPr="00AC724E">
        <w:rPr>
          <w:rFonts w:ascii="Arial" w:hAnsi="Arial" w:cs="Arial"/>
        </w:rPr>
        <w:t>Subsequently</w:t>
      </w:r>
      <w:r w:rsidRPr="00AC724E">
        <w:rPr>
          <w:rFonts w:ascii="Arial" w:hAnsi="Arial" w:cs="Arial"/>
        </w:rPr>
        <w:t>,</w:t>
      </w:r>
      <w:r w:rsidR="006A533E" w:rsidRPr="00AC724E">
        <w:rPr>
          <w:rFonts w:ascii="Arial" w:hAnsi="Arial" w:cs="Arial"/>
        </w:rPr>
        <w:t xml:space="preserve"> the</w:t>
      </w:r>
      <w:r w:rsidRPr="00AC724E">
        <w:rPr>
          <w:rFonts w:ascii="Arial" w:hAnsi="Arial" w:cs="Arial"/>
        </w:rPr>
        <w:t xml:space="preserve"> slides were incubated with the corresponding visualization system (</w:t>
      </w:r>
      <w:proofErr w:type="spellStart"/>
      <w:r w:rsidRPr="00AC724E">
        <w:rPr>
          <w:rFonts w:ascii="Arial" w:hAnsi="Arial" w:cs="Arial"/>
        </w:rPr>
        <w:t>OmniRabbit</w:t>
      </w:r>
      <w:proofErr w:type="spellEnd"/>
      <w:r w:rsidRPr="00AC724E">
        <w:rPr>
          <w:rFonts w:ascii="Arial" w:hAnsi="Arial" w:cs="Arial"/>
        </w:rPr>
        <w:t xml:space="preserve">, </w:t>
      </w:r>
      <w:proofErr w:type="spellStart"/>
      <w:r w:rsidRPr="00AC724E">
        <w:rPr>
          <w:rFonts w:ascii="Arial" w:hAnsi="Arial" w:cs="Arial"/>
        </w:rPr>
        <w:t>Ventana</w:t>
      </w:r>
      <w:proofErr w:type="spellEnd"/>
      <w:r w:rsidRPr="00AC724E">
        <w:rPr>
          <w:rFonts w:ascii="Arial" w:hAnsi="Arial" w:cs="Arial"/>
        </w:rPr>
        <w:t xml:space="preserve">, Roche) with signal amplification conjugated with horseradish peroxidase. </w:t>
      </w:r>
      <w:r w:rsidR="006A533E" w:rsidRPr="00AC724E">
        <w:rPr>
          <w:rFonts w:ascii="Arial" w:hAnsi="Arial" w:cs="Arial"/>
        </w:rPr>
        <w:t>The signal</w:t>
      </w:r>
      <w:r w:rsidRPr="00AC724E">
        <w:rPr>
          <w:rFonts w:ascii="Arial" w:hAnsi="Arial" w:cs="Arial"/>
        </w:rPr>
        <w:t xml:space="preserve"> was developed using 3,30-diaminobenzidine </w:t>
      </w:r>
      <w:proofErr w:type="spellStart"/>
      <w:r w:rsidRPr="00AC724E">
        <w:rPr>
          <w:rFonts w:ascii="Arial" w:hAnsi="Arial" w:cs="Arial"/>
        </w:rPr>
        <w:t>tetrahydrochloride</w:t>
      </w:r>
      <w:proofErr w:type="spellEnd"/>
      <w:r w:rsidRPr="00AC724E">
        <w:rPr>
          <w:rFonts w:ascii="Arial" w:hAnsi="Arial" w:cs="Arial"/>
        </w:rPr>
        <w:t xml:space="preserve"> (DAB) as</w:t>
      </w:r>
      <w:r w:rsidR="006A533E" w:rsidRPr="00AC724E">
        <w:rPr>
          <w:rFonts w:ascii="Arial" w:hAnsi="Arial" w:cs="Arial"/>
        </w:rPr>
        <w:t xml:space="preserve"> a</w:t>
      </w:r>
      <w:r w:rsidRPr="00AC724E">
        <w:rPr>
          <w:rFonts w:ascii="Arial" w:hAnsi="Arial" w:cs="Arial"/>
        </w:rPr>
        <w:t xml:space="preserve"> chromogen (</w:t>
      </w:r>
      <w:proofErr w:type="spellStart"/>
      <w:r w:rsidRPr="00AC724E">
        <w:rPr>
          <w:rFonts w:ascii="Arial" w:hAnsi="Arial" w:cs="Arial"/>
        </w:rPr>
        <w:t>Chromomap</w:t>
      </w:r>
      <w:proofErr w:type="spellEnd"/>
      <w:r w:rsidRPr="00AC724E">
        <w:rPr>
          <w:rFonts w:ascii="Arial" w:hAnsi="Arial" w:cs="Arial"/>
        </w:rPr>
        <w:t xml:space="preserve"> DAB, </w:t>
      </w:r>
      <w:proofErr w:type="spellStart"/>
      <w:r w:rsidRPr="00AC724E">
        <w:rPr>
          <w:rFonts w:ascii="Arial" w:hAnsi="Arial" w:cs="Arial"/>
        </w:rPr>
        <w:t>Ventana</w:t>
      </w:r>
      <w:proofErr w:type="spellEnd"/>
      <w:r w:rsidRPr="00AC724E">
        <w:rPr>
          <w:rFonts w:ascii="Arial" w:hAnsi="Arial" w:cs="Arial"/>
        </w:rPr>
        <w:t xml:space="preserve">, Roche or DAB solution, </w:t>
      </w:r>
      <w:proofErr w:type="spellStart"/>
      <w:r w:rsidRPr="00AC724E">
        <w:rPr>
          <w:rFonts w:ascii="Arial" w:hAnsi="Arial" w:cs="Arial"/>
        </w:rPr>
        <w:t>Dako</w:t>
      </w:r>
      <w:proofErr w:type="spellEnd"/>
      <w:r w:rsidRPr="00AC724E">
        <w:rPr>
          <w:rFonts w:ascii="Arial" w:hAnsi="Arial" w:cs="Arial"/>
        </w:rPr>
        <w:t>)</w:t>
      </w:r>
      <w:r w:rsidR="006A533E" w:rsidRPr="00AC724E">
        <w:rPr>
          <w:rFonts w:ascii="Arial" w:hAnsi="Arial" w:cs="Arial"/>
        </w:rPr>
        <w:t>,</w:t>
      </w:r>
      <w:r w:rsidRPr="00AC724E">
        <w:rPr>
          <w:rFonts w:ascii="Arial" w:hAnsi="Arial" w:cs="Arial"/>
        </w:rPr>
        <w:t xml:space="preserve"> </w:t>
      </w:r>
      <w:r w:rsidR="006A533E" w:rsidRPr="00AC724E">
        <w:rPr>
          <w:rFonts w:ascii="Arial" w:hAnsi="Arial" w:cs="Arial"/>
        </w:rPr>
        <w:t xml:space="preserve">while the </w:t>
      </w:r>
      <w:r w:rsidRPr="00AC724E">
        <w:rPr>
          <w:rFonts w:ascii="Arial" w:hAnsi="Arial" w:cs="Arial"/>
        </w:rPr>
        <w:t xml:space="preserve">nuclei were counterstained with </w:t>
      </w:r>
      <w:proofErr w:type="spellStart"/>
      <w:r w:rsidRPr="00AC724E">
        <w:rPr>
          <w:rFonts w:ascii="Arial" w:hAnsi="Arial" w:cs="Arial"/>
        </w:rPr>
        <w:t>Carazzi’s</w:t>
      </w:r>
      <w:proofErr w:type="spellEnd"/>
      <w:r w:rsidRPr="00AC724E">
        <w:rPr>
          <w:rFonts w:ascii="Arial" w:hAnsi="Arial" w:cs="Arial"/>
        </w:rPr>
        <w:t xml:space="preserve"> hematoxylin. Finally, the slides were dehydrated, cleared</w:t>
      </w:r>
      <w:r w:rsidR="006A533E" w:rsidRPr="00AC724E">
        <w:rPr>
          <w:rFonts w:ascii="Arial" w:hAnsi="Arial" w:cs="Arial"/>
        </w:rPr>
        <w:t>,</w:t>
      </w:r>
      <w:r w:rsidRPr="00AC724E">
        <w:rPr>
          <w:rFonts w:ascii="Arial" w:hAnsi="Arial" w:cs="Arial"/>
        </w:rPr>
        <w:t xml:space="preserve"> and mounted with a permanent mounting medium for microscopic evaluation. </w:t>
      </w:r>
      <w:r w:rsidR="00AA77F7" w:rsidRPr="00AC724E">
        <w:rPr>
          <w:rFonts w:ascii="Arial" w:hAnsi="Arial" w:cs="Arial"/>
        </w:rPr>
        <w:t>The entire slide was scanned</w:t>
      </w:r>
      <w:r w:rsidRPr="00AC724E">
        <w:rPr>
          <w:rFonts w:ascii="Arial" w:hAnsi="Arial" w:cs="Arial"/>
        </w:rPr>
        <w:t xml:space="preserve"> with a slide scanner (</w:t>
      </w:r>
      <w:proofErr w:type="spellStart"/>
      <w:r w:rsidRPr="00AC724E">
        <w:rPr>
          <w:rFonts w:ascii="Arial" w:hAnsi="Arial" w:cs="Arial"/>
        </w:rPr>
        <w:t>Axio</w:t>
      </w:r>
      <w:proofErr w:type="spellEnd"/>
      <w:r w:rsidRPr="00AC724E">
        <w:rPr>
          <w:rFonts w:ascii="Arial" w:hAnsi="Arial" w:cs="Arial"/>
        </w:rPr>
        <w:t xml:space="preserve"> Z1, Zeiss), and images</w:t>
      </w:r>
      <w:r w:rsidR="00AA77F7" w:rsidRPr="00AC724E">
        <w:rPr>
          <w:rFonts w:ascii="Arial" w:hAnsi="Arial" w:cs="Arial"/>
        </w:rPr>
        <w:t xml:space="preserve"> were</w:t>
      </w:r>
      <w:r w:rsidRPr="00AC724E">
        <w:rPr>
          <w:rFonts w:ascii="Arial" w:hAnsi="Arial" w:cs="Arial"/>
        </w:rPr>
        <w:t xml:space="preserve"> captured with the ZEN software (Zeiss) after evaluation by a trained veterinary pathologist. Image analysis and quantification w</w:t>
      </w:r>
      <w:r w:rsidR="00AA77F7" w:rsidRPr="00AC724E">
        <w:rPr>
          <w:rFonts w:ascii="Arial" w:hAnsi="Arial" w:cs="Arial"/>
        </w:rPr>
        <w:t>ere</w:t>
      </w:r>
      <w:r w:rsidRPr="00AC724E">
        <w:rPr>
          <w:rFonts w:ascii="Arial" w:hAnsi="Arial" w:cs="Arial"/>
        </w:rPr>
        <w:t xml:space="preserve"> performed using the </w:t>
      </w:r>
      <w:proofErr w:type="spellStart"/>
      <w:r w:rsidRPr="00AC724E">
        <w:rPr>
          <w:rFonts w:ascii="Arial" w:hAnsi="Arial" w:cs="Arial"/>
        </w:rPr>
        <w:t>AxioVision</w:t>
      </w:r>
      <w:proofErr w:type="spellEnd"/>
      <w:r w:rsidRPr="00AC724E">
        <w:rPr>
          <w:rFonts w:ascii="Arial" w:hAnsi="Arial" w:cs="Arial"/>
        </w:rPr>
        <w:t xml:space="preserve"> software package (Zeiss).</w:t>
      </w:r>
    </w:p>
    <w:p w14:paraId="018D9E22" w14:textId="77777777" w:rsidR="00062D4A" w:rsidRPr="00AC724E" w:rsidRDefault="00062D4A" w:rsidP="00062D4A">
      <w:pPr>
        <w:pStyle w:val="ListParagraph"/>
        <w:numPr>
          <w:ilvl w:val="0"/>
          <w:numId w:val="1"/>
        </w:numPr>
        <w:snapToGrid w:val="0"/>
        <w:spacing w:line="480" w:lineRule="auto"/>
        <w:jc w:val="both"/>
        <w:outlineLvl w:val="0"/>
        <w:rPr>
          <w:rFonts w:ascii="Arial" w:eastAsia="Times New Roman" w:hAnsi="Arial" w:cs="Arial"/>
          <w:b/>
        </w:rPr>
      </w:pPr>
      <w:r w:rsidRPr="00AC724E">
        <w:rPr>
          <w:rFonts w:ascii="Arial" w:eastAsia="Times New Roman" w:hAnsi="Arial" w:cs="Arial"/>
          <w:b/>
        </w:rPr>
        <w:t xml:space="preserve">Kaplan-Meier analysis of </w:t>
      </w:r>
      <w:proofErr w:type="spellStart"/>
      <w:r w:rsidRPr="00AC724E">
        <w:rPr>
          <w:rFonts w:ascii="Arial" w:eastAsia="Times New Roman" w:hAnsi="Arial" w:cs="Arial"/>
          <w:b/>
        </w:rPr>
        <w:t>mCRC</w:t>
      </w:r>
      <w:proofErr w:type="spellEnd"/>
      <w:r w:rsidRPr="00AC724E">
        <w:rPr>
          <w:rFonts w:ascii="Arial" w:eastAsia="Times New Roman" w:hAnsi="Arial" w:cs="Arial"/>
          <w:b/>
        </w:rPr>
        <w:t xml:space="preserve"> patients</w:t>
      </w:r>
    </w:p>
    <w:p w14:paraId="30F83473" w14:textId="403D4084" w:rsidR="00062D4A" w:rsidRPr="00AC724E" w:rsidRDefault="00062D4A" w:rsidP="00062D4A">
      <w:pPr>
        <w:spacing w:after="240" w:line="480" w:lineRule="auto"/>
        <w:jc w:val="both"/>
        <w:rPr>
          <w:rFonts w:ascii="Arial" w:eastAsia="Times New Roman" w:hAnsi="Arial" w:cs="Arial"/>
        </w:rPr>
      </w:pPr>
      <w:r w:rsidRPr="00AC724E">
        <w:rPr>
          <w:rFonts w:ascii="Arial" w:eastAsia="Times New Roman" w:hAnsi="Arial" w:cs="Arial"/>
        </w:rPr>
        <w:t xml:space="preserve">Kaplan-Meier survival data of 1,303 patients from four different cohorts of CRC patients with global gene expression and survival datasets available (GSE24551, GSE14333, GSE17538, GSE39582) were queried </w:t>
      </w:r>
      <w:r w:rsidR="004F238A" w:rsidRPr="00AC724E">
        <w:rPr>
          <w:rFonts w:ascii="Arial" w:eastAsia="Times New Roman" w:hAnsi="Arial" w:cs="Arial"/>
        </w:rPr>
        <w:t xml:space="preserve">using </w:t>
      </w:r>
      <w:r w:rsidRPr="00AC724E">
        <w:rPr>
          <w:rFonts w:ascii="Arial" w:eastAsia="Times New Roman" w:hAnsi="Arial" w:cs="Arial"/>
        </w:rPr>
        <w:t xml:space="preserve">the R2 microarray analysis and visualization platform (http://hgserver1.amc.nl/cgi-bin/r2/main.cgi). Concerning </w:t>
      </w:r>
      <w:r w:rsidRPr="00AC724E">
        <w:rPr>
          <w:rFonts w:ascii="Arial" w:eastAsia="Times New Roman" w:hAnsi="Arial" w:cs="Arial"/>
          <w:i/>
        </w:rPr>
        <w:t>KDR</w:t>
      </w:r>
      <w:r w:rsidRPr="00AC724E">
        <w:rPr>
          <w:rFonts w:ascii="Arial" w:eastAsia="Times New Roman" w:hAnsi="Arial" w:cs="Arial"/>
        </w:rPr>
        <w:t xml:space="preserve"> gene expression </w:t>
      </w:r>
      <w:r w:rsidR="008467C2" w:rsidRPr="00AC724E">
        <w:rPr>
          <w:rFonts w:ascii="Arial" w:eastAsia="Times New Roman" w:hAnsi="Arial" w:cs="Arial"/>
        </w:rPr>
        <w:t xml:space="preserve">in the </w:t>
      </w:r>
      <w:r w:rsidRPr="00AC724E">
        <w:rPr>
          <w:rFonts w:ascii="Arial" w:eastAsia="Times New Roman" w:hAnsi="Arial" w:cs="Arial"/>
        </w:rPr>
        <w:t>combined datasets, 304 tumors had high level</w:t>
      </w:r>
      <w:r w:rsidR="00A83510" w:rsidRPr="00AC724E">
        <w:rPr>
          <w:rFonts w:ascii="Arial" w:eastAsia="Times New Roman" w:hAnsi="Arial" w:cs="Arial"/>
        </w:rPr>
        <w:t>s</w:t>
      </w:r>
      <w:r w:rsidRPr="00AC724E">
        <w:rPr>
          <w:rFonts w:ascii="Arial" w:eastAsia="Times New Roman" w:hAnsi="Arial" w:cs="Arial"/>
        </w:rPr>
        <w:t xml:space="preserve"> of expression and 999 had low level</w:t>
      </w:r>
      <w:r w:rsidR="00A83510" w:rsidRPr="00AC724E">
        <w:rPr>
          <w:rFonts w:ascii="Arial" w:eastAsia="Times New Roman" w:hAnsi="Arial" w:cs="Arial"/>
        </w:rPr>
        <w:t>s</w:t>
      </w:r>
      <w:r w:rsidRPr="00AC724E">
        <w:rPr>
          <w:rFonts w:ascii="Arial" w:eastAsia="Times New Roman" w:hAnsi="Arial" w:cs="Arial"/>
        </w:rPr>
        <w:t xml:space="preserve"> of expression.</w:t>
      </w:r>
    </w:p>
    <w:p w14:paraId="6B8F8F4D" w14:textId="77777777" w:rsidR="00F94E34" w:rsidRPr="00AC724E" w:rsidRDefault="00F94E34" w:rsidP="00062D4A">
      <w:pPr>
        <w:spacing w:after="60" w:line="360" w:lineRule="auto"/>
        <w:jc w:val="both"/>
        <w:rPr>
          <w:rFonts w:ascii="Arial" w:eastAsia="Times New Roman" w:hAnsi="Arial" w:cs="Arial"/>
          <w:b/>
          <w:lang w:val="en-GB"/>
        </w:rPr>
      </w:pPr>
    </w:p>
    <w:p w14:paraId="7D796DBC" w14:textId="77777777" w:rsidR="00F94E34" w:rsidRPr="00AC724E" w:rsidRDefault="00F94E34" w:rsidP="00062D4A">
      <w:pPr>
        <w:spacing w:after="60" w:line="360" w:lineRule="auto"/>
        <w:jc w:val="both"/>
        <w:rPr>
          <w:rFonts w:ascii="Arial" w:eastAsia="Times New Roman" w:hAnsi="Arial" w:cs="Arial"/>
          <w:b/>
          <w:lang w:val="en-GB"/>
        </w:rPr>
      </w:pPr>
    </w:p>
    <w:p w14:paraId="3D00FF2A" w14:textId="77777777" w:rsidR="00062D4A" w:rsidRPr="00AC724E" w:rsidRDefault="00062D4A" w:rsidP="00062D4A">
      <w:pPr>
        <w:spacing w:after="60" w:line="360" w:lineRule="auto"/>
        <w:jc w:val="both"/>
        <w:rPr>
          <w:rFonts w:ascii="Arial" w:eastAsia="Times New Roman" w:hAnsi="Arial" w:cs="Arial"/>
          <w:b/>
          <w:lang w:val="en-GB"/>
        </w:rPr>
      </w:pPr>
      <w:r w:rsidRPr="00AC724E">
        <w:rPr>
          <w:rFonts w:ascii="Arial" w:eastAsia="Times New Roman" w:hAnsi="Arial" w:cs="Arial"/>
          <w:b/>
          <w:lang w:val="en-GB"/>
        </w:rPr>
        <w:lastRenderedPageBreak/>
        <w:t>References (online methods)</w:t>
      </w:r>
    </w:p>
    <w:p w14:paraId="6A49B600" w14:textId="5635A0E5" w:rsidR="00062D4A" w:rsidRPr="00AC724E" w:rsidRDefault="00062D4A" w:rsidP="00062D4A">
      <w:pPr>
        <w:spacing w:after="60" w:line="360" w:lineRule="auto"/>
        <w:jc w:val="both"/>
        <w:rPr>
          <w:rFonts w:ascii="Arial" w:hAnsi="Arial" w:cs="Arial"/>
        </w:rPr>
      </w:pPr>
      <w:r w:rsidRPr="00AC724E">
        <w:rPr>
          <w:rFonts w:ascii="Arial" w:hAnsi="Arial" w:cs="Arial"/>
          <w:lang w:val="en-GB"/>
        </w:rPr>
        <w:t xml:space="preserve">1) Toledo RA, </w:t>
      </w:r>
      <w:r w:rsidRPr="00AC724E">
        <w:rPr>
          <w:rFonts w:ascii="Arial" w:hAnsi="Arial" w:cs="Arial"/>
          <w:i/>
          <w:lang w:val="en-GB"/>
        </w:rPr>
        <w:t>et al.</w:t>
      </w:r>
      <w:r w:rsidRPr="00AC724E">
        <w:rPr>
          <w:rFonts w:ascii="Arial" w:hAnsi="Arial" w:cs="Arial"/>
          <w:lang w:val="en-GB"/>
        </w:rPr>
        <w:t xml:space="preserve"> </w:t>
      </w:r>
      <w:r w:rsidRPr="00AC724E">
        <w:rPr>
          <w:rFonts w:ascii="Arial" w:hAnsi="Arial" w:cs="Arial"/>
        </w:rPr>
        <w:t>Clinical validation of prospective liquid biopsy monitoring in patients with wild-type RAS metastatic colorectal cancer treated with FOLFIRI-</w:t>
      </w:r>
      <w:proofErr w:type="spellStart"/>
      <w:r w:rsidRPr="00AC724E">
        <w:rPr>
          <w:rFonts w:ascii="Arial" w:hAnsi="Arial" w:cs="Arial"/>
        </w:rPr>
        <w:t>cetuximab</w:t>
      </w:r>
      <w:proofErr w:type="spellEnd"/>
      <w:r w:rsidRPr="00AC724E">
        <w:rPr>
          <w:rFonts w:ascii="Arial" w:hAnsi="Arial" w:cs="Arial"/>
        </w:rPr>
        <w:t xml:space="preserve">. </w:t>
      </w:r>
      <w:proofErr w:type="spellStart"/>
      <w:r w:rsidRPr="00AC724E">
        <w:rPr>
          <w:rFonts w:ascii="Arial" w:hAnsi="Arial" w:cs="Arial"/>
        </w:rPr>
        <w:t>Oncotarget</w:t>
      </w:r>
      <w:proofErr w:type="spellEnd"/>
      <w:r w:rsidRPr="00AC724E">
        <w:rPr>
          <w:rFonts w:ascii="Arial" w:hAnsi="Arial" w:cs="Arial"/>
        </w:rPr>
        <w:t xml:space="preserve">. 2017; 8:35289-35300 </w:t>
      </w:r>
    </w:p>
    <w:p w14:paraId="28D807F3" w14:textId="626A5C7D" w:rsidR="00062D4A" w:rsidRPr="00AC724E" w:rsidRDefault="00062D4A" w:rsidP="00062D4A">
      <w:pPr>
        <w:spacing w:after="60" w:line="360" w:lineRule="auto"/>
        <w:jc w:val="both"/>
        <w:rPr>
          <w:rFonts w:ascii="Arial" w:hAnsi="Arial" w:cs="Arial"/>
        </w:rPr>
      </w:pPr>
      <w:r w:rsidRPr="00AC724E">
        <w:rPr>
          <w:rFonts w:ascii="Arial" w:hAnsi="Arial" w:cs="Arial"/>
        </w:rPr>
        <w:t>2) Toledo RA</w:t>
      </w:r>
      <w:r w:rsidR="00F94E34" w:rsidRPr="00AC724E">
        <w:rPr>
          <w:rFonts w:ascii="Arial" w:hAnsi="Arial" w:cs="Arial"/>
          <w:lang w:val="en-GB"/>
        </w:rPr>
        <w:t xml:space="preserve">, </w:t>
      </w:r>
      <w:r w:rsidR="00F94E34" w:rsidRPr="00AC724E">
        <w:rPr>
          <w:rFonts w:ascii="Arial" w:hAnsi="Arial" w:cs="Arial"/>
          <w:i/>
          <w:lang w:val="en-GB"/>
        </w:rPr>
        <w:t>et al.</w:t>
      </w:r>
      <w:r w:rsidR="00F94E34" w:rsidRPr="00AC724E">
        <w:rPr>
          <w:rFonts w:ascii="Arial" w:hAnsi="Arial" w:cs="Arial"/>
          <w:lang w:val="en-GB"/>
        </w:rPr>
        <w:t xml:space="preserve"> </w:t>
      </w:r>
      <w:r w:rsidRPr="00AC724E">
        <w:rPr>
          <w:rFonts w:ascii="Arial" w:hAnsi="Arial" w:cs="Arial"/>
        </w:rPr>
        <w:t xml:space="preserve">Recurrent Mutations of Chromatin-Remodeling Genes and Kinase Receptors in </w:t>
      </w:r>
      <w:proofErr w:type="spellStart"/>
      <w:r w:rsidRPr="00AC724E">
        <w:rPr>
          <w:rFonts w:ascii="Arial" w:hAnsi="Arial" w:cs="Arial"/>
        </w:rPr>
        <w:t>Pheochromocytomas</w:t>
      </w:r>
      <w:proofErr w:type="spellEnd"/>
      <w:r w:rsidRPr="00AC724E">
        <w:rPr>
          <w:rFonts w:ascii="Arial" w:hAnsi="Arial" w:cs="Arial"/>
        </w:rPr>
        <w:t xml:space="preserve"> and </w:t>
      </w:r>
      <w:proofErr w:type="spellStart"/>
      <w:r w:rsidRPr="00AC724E">
        <w:rPr>
          <w:rFonts w:ascii="Arial" w:hAnsi="Arial" w:cs="Arial"/>
        </w:rPr>
        <w:t>Paragangliomas</w:t>
      </w:r>
      <w:proofErr w:type="spellEnd"/>
      <w:r w:rsidRPr="00AC724E">
        <w:rPr>
          <w:rFonts w:ascii="Arial" w:hAnsi="Arial" w:cs="Arial"/>
        </w:rPr>
        <w:t xml:space="preserve">. </w:t>
      </w:r>
      <w:proofErr w:type="spellStart"/>
      <w:r w:rsidRPr="00AC724E">
        <w:rPr>
          <w:rFonts w:ascii="Arial" w:hAnsi="Arial" w:cs="Arial"/>
        </w:rPr>
        <w:t>Clin</w:t>
      </w:r>
      <w:proofErr w:type="spellEnd"/>
      <w:r w:rsidRPr="00AC724E">
        <w:rPr>
          <w:rFonts w:ascii="Arial" w:hAnsi="Arial" w:cs="Arial"/>
        </w:rPr>
        <w:t xml:space="preserve"> Cancer Res. </w:t>
      </w:r>
      <w:proofErr w:type="gramStart"/>
      <w:r w:rsidRPr="00AC724E">
        <w:rPr>
          <w:rFonts w:ascii="Arial" w:hAnsi="Arial" w:cs="Arial"/>
        </w:rPr>
        <w:t>2016;22:2301</w:t>
      </w:r>
      <w:proofErr w:type="gramEnd"/>
      <w:r w:rsidRPr="00AC724E">
        <w:rPr>
          <w:rFonts w:ascii="Arial" w:hAnsi="Arial" w:cs="Arial"/>
        </w:rPr>
        <w:t>-10.</w:t>
      </w:r>
    </w:p>
    <w:p w14:paraId="02B5C8FA" w14:textId="256B0572" w:rsidR="00062D4A" w:rsidRPr="00AC724E" w:rsidRDefault="00062D4A" w:rsidP="00062D4A">
      <w:pPr>
        <w:spacing w:after="60" w:line="360" w:lineRule="auto"/>
        <w:jc w:val="both"/>
        <w:rPr>
          <w:rFonts w:ascii="Arial" w:hAnsi="Arial" w:cs="Arial"/>
        </w:rPr>
      </w:pPr>
      <w:r w:rsidRPr="00AC724E">
        <w:rPr>
          <w:rFonts w:ascii="Arial" w:hAnsi="Arial" w:cs="Arial"/>
        </w:rPr>
        <w:t>3) Liu X</w:t>
      </w:r>
      <w:r w:rsidR="00F94E34" w:rsidRPr="00AC724E">
        <w:rPr>
          <w:rFonts w:ascii="Arial" w:hAnsi="Arial" w:cs="Arial"/>
          <w:lang w:val="en-GB"/>
        </w:rPr>
        <w:t xml:space="preserve">, </w:t>
      </w:r>
      <w:r w:rsidR="00F94E34" w:rsidRPr="00AC724E">
        <w:rPr>
          <w:rFonts w:ascii="Arial" w:hAnsi="Arial" w:cs="Arial"/>
          <w:i/>
          <w:lang w:val="en-GB"/>
        </w:rPr>
        <w:t>et al.</w:t>
      </w:r>
      <w:r w:rsidR="00F94E34" w:rsidRPr="00AC724E">
        <w:rPr>
          <w:rFonts w:ascii="Arial" w:hAnsi="Arial" w:cs="Arial"/>
          <w:lang w:val="en-GB"/>
        </w:rPr>
        <w:t xml:space="preserve"> </w:t>
      </w:r>
      <w:proofErr w:type="spellStart"/>
      <w:r w:rsidRPr="00AC724E">
        <w:rPr>
          <w:rFonts w:ascii="Arial" w:hAnsi="Arial" w:cs="Arial"/>
        </w:rPr>
        <w:t>dbNSFP</w:t>
      </w:r>
      <w:proofErr w:type="spellEnd"/>
      <w:r w:rsidRPr="00AC724E">
        <w:rPr>
          <w:rFonts w:ascii="Arial" w:hAnsi="Arial" w:cs="Arial"/>
        </w:rPr>
        <w:t xml:space="preserve"> v3.0: A One-Stop Database of Functional Predictions and Annotations for Human Nonsynonymous and Splice-Site SNVs. Hum </w:t>
      </w:r>
      <w:proofErr w:type="spellStart"/>
      <w:r w:rsidRPr="00AC724E">
        <w:rPr>
          <w:rFonts w:ascii="Arial" w:hAnsi="Arial" w:cs="Arial"/>
        </w:rPr>
        <w:t>Mutat</w:t>
      </w:r>
      <w:proofErr w:type="spellEnd"/>
      <w:r w:rsidRPr="00AC724E">
        <w:rPr>
          <w:rFonts w:ascii="Arial" w:hAnsi="Arial" w:cs="Arial"/>
        </w:rPr>
        <w:t>. 2016 Mar;37(3):235-41.</w:t>
      </w:r>
    </w:p>
    <w:p w14:paraId="12EBCE2E" w14:textId="0FC37232" w:rsidR="00062D4A" w:rsidRPr="00AC724E" w:rsidRDefault="00062D4A" w:rsidP="00062D4A">
      <w:pPr>
        <w:spacing w:after="60" w:line="360" w:lineRule="auto"/>
        <w:jc w:val="both"/>
        <w:rPr>
          <w:rFonts w:ascii="Arial" w:hAnsi="Arial" w:cs="Arial"/>
        </w:rPr>
      </w:pPr>
      <w:r w:rsidRPr="00AC724E">
        <w:rPr>
          <w:rFonts w:ascii="Arial" w:hAnsi="Arial" w:cs="Arial"/>
        </w:rPr>
        <w:t xml:space="preserve">4) </w:t>
      </w:r>
      <w:proofErr w:type="spellStart"/>
      <w:r w:rsidRPr="00AC724E">
        <w:rPr>
          <w:rFonts w:ascii="Arial" w:hAnsi="Arial" w:cs="Arial"/>
        </w:rPr>
        <w:t>Lek</w:t>
      </w:r>
      <w:proofErr w:type="spellEnd"/>
      <w:r w:rsidRPr="00AC724E">
        <w:rPr>
          <w:rFonts w:ascii="Arial" w:hAnsi="Arial" w:cs="Arial"/>
        </w:rPr>
        <w:t xml:space="preserve"> M</w:t>
      </w:r>
      <w:r w:rsidR="00F94E34" w:rsidRPr="00AC724E">
        <w:rPr>
          <w:rFonts w:ascii="Arial" w:hAnsi="Arial" w:cs="Arial"/>
          <w:lang w:val="en-GB"/>
        </w:rPr>
        <w:t xml:space="preserve">, </w:t>
      </w:r>
      <w:r w:rsidR="00F94E34" w:rsidRPr="00AC724E">
        <w:rPr>
          <w:rFonts w:ascii="Arial" w:hAnsi="Arial" w:cs="Arial"/>
          <w:i/>
          <w:lang w:val="en-GB"/>
        </w:rPr>
        <w:t>et al.</w:t>
      </w:r>
      <w:r w:rsidR="00F94E34" w:rsidRPr="00AC724E">
        <w:rPr>
          <w:rFonts w:ascii="Arial" w:hAnsi="Arial" w:cs="Arial"/>
          <w:lang w:val="en-GB"/>
        </w:rPr>
        <w:t xml:space="preserve"> </w:t>
      </w:r>
      <w:r w:rsidRPr="00AC724E">
        <w:rPr>
          <w:rFonts w:ascii="Arial" w:hAnsi="Arial" w:cs="Arial"/>
        </w:rPr>
        <w:t>Exome Aggregation Consortium. Analysis of protein-coding genetic variation in 60,706 humans. Nature. 2016; 536:285-91</w:t>
      </w:r>
    </w:p>
    <w:p w14:paraId="7B516665" w14:textId="77777777" w:rsidR="00062D4A" w:rsidRPr="00AC724E" w:rsidRDefault="00062D4A" w:rsidP="00062D4A">
      <w:pPr>
        <w:spacing w:after="60" w:line="360" w:lineRule="auto"/>
        <w:jc w:val="both"/>
        <w:rPr>
          <w:rFonts w:ascii="Arial" w:hAnsi="Arial" w:cs="Arial"/>
        </w:rPr>
      </w:pPr>
      <w:r w:rsidRPr="00AC724E">
        <w:rPr>
          <w:rFonts w:ascii="Arial" w:hAnsi="Arial" w:cs="Arial"/>
        </w:rPr>
        <w:t>5) Exome Variant Server, NHLBI GO Exome Sequencing Project (ESP), Seattle, WA (URL: http://evs.gs.washington.edu/EVS/)(July, 2017).</w:t>
      </w:r>
    </w:p>
    <w:p w14:paraId="7CD21D8F" w14:textId="42B61A6E" w:rsidR="00062D4A" w:rsidRPr="00AC724E" w:rsidRDefault="00062D4A" w:rsidP="00062D4A">
      <w:pPr>
        <w:spacing w:after="60" w:line="360" w:lineRule="auto"/>
        <w:jc w:val="both"/>
        <w:rPr>
          <w:rFonts w:ascii="Arial" w:hAnsi="Arial" w:cs="Arial"/>
        </w:rPr>
      </w:pPr>
      <w:r w:rsidRPr="00AC724E">
        <w:rPr>
          <w:rFonts w:ascii="Arial" w:hAnsi="Arial" w:cs="Arial"/>
        </w:rPr>
        <w:t>6) Bamford S</w:t>
      </w:r>
      <w:r w:rsidR="00F94E34" w:rsidRPr="00AC724E">
        <w:rPr>
          <w:rFonts w:ascii="Arial" w:hAnsi="Arial" w:cs="Arial"/>
          <w:lang w:val="en-GB"/>
        </w:rPr>
        <w:t xml:space="preserve">, </w:t>
      </w:r>
      <w:r w:rsidR="00F94E34" w:rsidRPr="00AC724E">
        <w:rPr>
          <w:rFonts w:ascii="Arial" w:hAnsi="Arial" w:cs="Arial"/>
          <w:i/>
          <w:lang w:val="en-GB"/>
        </w:rPr>
        <w:t>et al.</w:t>
      </w:r>
      <w:r w:rsidR="00F94E34" w:rsidRPr="00AC724E">
        <w:rPr>
          <w:rFonts w:ascii="Arial" w:hAnsi="Arial" w:cs="Arial"/>
          <w:lang w:val="en-GB"/>
        </w:rPr>
        <w:t xml:space="preserve"> </w:t>
      </w:r>
      <w:r w:rsidRPr="00AC724E">
        <w:rPr>
          <w:rFonts w:ascii="Arial" w:hAnsi="Arial" w:cs="Arial"/>
        </w:rPr>
        <w:t xml:space="preserve">The COSMIC (Catalogue of Somatic Mutations in Cancer) database and website. Br J Cancer. </w:t>
      </w:r>
      <w:proofErr w:type="gramStart"/>
      <w:r w:rsidRPr="00AC724E">
        <w:rPr>
          <w:rFonts w:ascii="Arial" w:hAnsi="Arial" w:cs="Arial"/>
        </w:rPr>
        <w:t>2004;91:355</w:t>
      </w:r>
      <w:proofErr w:type="gramEnd"/>
      <w:r w:rsidRPr="00AC724E">
        <w:rPr>
          <w:rFonts w:ascii="Arial" w:hAnsi="Arial" w:cs="Arial"/>
        </w:rPr>
        <w:t>-8.</w:t>
      </w:r>
    </w:p>
    <w:p w14:paraId="23C4F44E" w14:textId="77777777" w:rsidR="00062D4A" w:rsidRPr="00AC724E" w:rsidRDefault="00062D4A" w:rsidP="00062D4A">
      <w:pPr>
        <w:spacing w:after="60" w:line="360" w:lineRule="auto"/>
        <w:jc w:val="both"/>
        <w:rPr>
          <w:rFonts w:ascii="Arial" w:hAnsi="Arial" w:cs="Arial"/>
        </w:rPr>
      </w:pPr>
      <w:r w:rsidRPr="00AC724E">
        <w:rPr>
          <w:rFonts w:ascii="Arial" w:hAnsi="Arial" w:cs="Arial"/>
        </w:rPr>
        <w:t xml:space="preserve">7) The AACR Project GENIE Consortium. AACR Project GENIE: Powering Precision Medicine Through </w:t>
      </w:r>
      <w:proofErr w:type="gramStart"/>
      <w:r w:rsidRPr="00AC724E">
        <w:rPr>
          <w:rFonts w:ascii="Arial" w:hAnsi="Arial" w:cs="Arial"/>
        </w:rPr>
        <w:t>An</w:t>
      </w:r>
      <w:proofErr w:type="gramEnd"/>
      <w:r w:rsidRPr="00AC724E">
        <w:rPr>
          <w:rFonts w:ascii="Arial" w:hAnsi="Arial" w:cs="Arial"/>
        </w:rPr>
        <w:t xml:space="preserve"> International Consortium, in preparation.</w:t>
      </w:r>
    </w:p>
    <w:p w14:paraId="55DD29D4" w14:textId="42C05D3D" w:rsidR="00062D4A" w:rsidRPr="00AC724E" w:rsidRDefault="00062D4A" w:rsidP="00062D4A">
      <w:pPr>
        <w:spacing w:after="60" w:line="360" w:lineRule="auto"/>
        <w:jc w:val="both"/>
        <w:rPr>
          <w:rFonts w:ascii="Arial" w:hAnsi="Arial" w:cs="Arial"/>
        </w:rPr>
      </w:pPr>
      <w:r w:rsidRPr="00AC724E">
        <w:rPr>
          <w:rFonts w:ascii="Arial" w:hAnsi="Arial" w:cs="Arial"/>
        </w:rPr>
        <w:t>8) Cancer Genome Atlas Research Network</w:t>
      </w:r>
      <w:r w:rsidR="00F94E34" w:rsidRPr="00AC724E">
        <w:rPr>
          <w:rFonts w:ascii="Arial" w:hAnsi="Arial" w:cs="Arial"/>
          <w:lang w:val="en-GB"/>
        </w:rPr>
        <w:t xml:space="preserve">, </w:t>
      </w:r>
      <w:r w:rsidR="00F94E34" w:rsidRPr="00AC724E">
        <w:rPr>
          <w:rFonts w:ascii="Arial" w:hAnsi="Arial" w:cs="Arial"/>
          <w:i/>
          <w:lang w:val="en-GB"/>
        </w:rPr>
        <w:t>et al.</w:t>
      </w:r>
      <w:r w:rsidRPr="00AC724E">
        <w:rPr>
          <w:rFonts w:ascii="Arial" w:hAnsi="Arial" w:cs="Arial"/>
        </w:rPr>
        <w:t xml:space="preserve"> The Cancer Genome Atlas Pan-Cancer analysis project. Nat </w:t>
      </w:r>
      <w:proofErr w:type="gramStart"/>
      <w:r w:rsidRPr="00AC724E">
        <w:rPr>
          <w:rFonts w:ascii="Arial" w:hAnsi="Arial" w:cs="Arial"/>
        </w:rPr>
        <w:t>Genet;45:1113</w:t>
      </w:r>
      <w:proofErr w:type="gramEnd"/>
      <w:r w:rsidRPr="00AC724E">
        <w:rPr>
          <w:rFonts w:ascii="Arial" w:hAnsi="Arial" w:cs="Arial"/>
        </w:rPr>
        <w:t>-20.</w:t>
      </w:r>
    </w:p>
    <w:p w14:paraId="209A8D86" w14:textId="08F6DF94" w:rsidR="00062D4A" w:rsidRPr="00AC724E" w:rsidRDefault="00062D4A" w:rsidP="00062D4A">
      <w:pPr>
        <w:spacing w:after="60" w:line="360" w:lineRule="auto"/>
        <w:jc w:val="both"/>
        <w:rPr>
          <w:rFonts w:ascii="Arial" w:hAnsi="Arial" w:cs="Arial"/>
          <w:lang w:val="en-GB"/>
        </w:rPr>
      </w:pPr>
      <w:r w:rsidRPr="00AC724E">
        <w:rPr>
          <w:rFonts w:ascii="Arial" w:hAnsi="Arial" w:cs="Arial"/>
          <w:lang w:val="de-CH"/>
        </w:rPr>
        <w:t>9) Gauthier NP</w:t>
      </w:r>
      <w:r w:rsidR="00F94E34" w:rsidRPr="00AC724E">
        <w:rPr>
          <w:rFonts w:ascii="Arial" w:hAnsi="Arial" w:cs="Arial"/>
          <w:lang w:val="en-GB"/>
        </w:rPr>
        <w:t xml:space="preserve">, </w:t>
      </w:r>
      <w:r w:rsidR="00F94E34" w:rsidRPr="00AC724E">
        <w:rPr>
          <w:rFonts w:ascii="Arial" w:hAnsi="Arial" w:cs="Arial"/>
          <w:i/>
          <w:lang w:val="en-GB"/>
        </w:rPr>
        <w:t>et al.</w:t>
      </w:r>
      <w:r w:rsidR="00F94E34" w:rsidRPr="00AC724E">
        <w:rPr>
          <w:rFonts w:ascii="Arial" w:hAnsi="Arial" w:cs="Arial"/>
          <w:lang w:val="en-GB"/>
        </w:rPr>
        <w:t xml:space="preserve"> </w:t>
      </w:r>
      <w:proofErr w:type="spellStart"/>
      <w:r w:rsidRPr="00AC724E">
        <w:rPr>
          <w:rFonts w:ascii="Arial" w:hAnsi="Arial" w:cs="Arial"/>
        </w:rPr>
        <w:t>MutationAligner</w:t>
      </w:r>
      <w:proofErr w:type="spellEnd"/>
      <w:r w:rsidRPr="00AC724E">
        <w:rPr>
          <w:rFonts w:ascii="Arial" w:hAnsi="Arial" w:cs="Arial"/>
        </w:rPr>
        <w:t xml:space="preserve">: a resource of recurrent mutation hotspots in protein domains in cancer. </w:t>
      </w:r>
      <w:r w:rsidRPr="00AC724E">
        <w:rPr>
          <w:rFonts w:ascii="Arial" w:hAnsi="Arial" w:cs="Arial"/>
          <w:lang w:val="en-GB"/>
        </w:rPr>
        <w:t xml:space="preserve">Nucleic Acids Res. </w:t>
      </w:r>
      <w:proofErr w:type="gramStart"/>
      <w:r w:rsidRPr="00AC724E">
        <w:rPr>
          <w:rFonts w:ascii="Arial" w:hAnsi="Arial" w:cs="Arial"/>
          <w:lang w:val="en-GB"/>
        </w:rPr>
        <w:t>2016;44:986</w:t>
      </w:r>
      <w:proofErr w:type="gramEnd"/>
      <w:r w:rsidRPr="00AC724E">
        <w:rPr>
          <w:rFonts w:ascii="Arial" w:hAnsi="Arial" w:cs="Arial"/>
          <w:lang w:val="en-GB"/>
        </w:rPr>
        <w:t>-91.</w:t>
      </w:r>
    </w:p>
    <w:p w14:paraId="6434098C" w14:textId="50949C39" w:rsidR="00062D4A" w:rsidRPr="00AC724E" w:rsidRDefault="00062D4A" w:rsidP="00062D4A">
      <w:pPr>
        <w:spacing w:after="60" w:line="360" w:lineRule="auto"/>
        <w:jc w:val="both"/>
        <w:rPr>
          <w:rFonts w:ascii="Arial" w:hAnsi="Arial" w:cs="Arial"/>
          <w:lang w:val="en-GB"/>
        </w:rPr>
      </w:pPr>
      <w:r w:rsidRPr="00AC724E">
        <w:rPr>
          <w:rFonts w:ascii="Arial" w:hAnsi="Arial" w:cs="Arial"/>
          <w:lang w:val="en-GB"/>
        </w:rPr>
        <w:t>10)</w:t>
      </w:r>
      <w:r w:rsidRPr="00AC724E">
        <w:rPr>
          <w:rFonts w:ascii="Arial" w:hAnsi="Arial" w:cs="Arial"/>
        </w:rPr>
        <w:t xml:space="preserve"> Wallace AC</w:t>
      </w:r>
      <w:r w:rsidR="00F94E34" w:rsidRPr="00AC724E">
        <w:rPr>
          <w:rFonts w:ascii="Arial" w:hAnsi="Arial" w:cs="Arial"/>
          <w:lang w:val="en-GB"/>
        </w:rPr>
        <w:t xml:space="preserve">, </w:t>
      </w:r>
      <w:r w:rsidR="00F94E34" w:rsidRPr="00AC724E">
        <w:rPr>
          <w:rFonts w:ascii="Arial" w:hAnsi="Arial" w:cs="Arial"/>
          <w:i/>
          <w:lang w:val="en-GB"/>
        </w:rPr>
        <w:t>et al.</w:t>
      </w:r>
      <w:r w:rsidR="00F94E34" w:rsidRPr="00AC724E">
        <w:rPr>
          <w:rFonts w:ascii="Arial" w:hAnsi="Arial" w:cs="Arial"/>
          <w:lang w:val="en-GB"/>
        </w:rPr>
        <w:t xml:space="preserve"> </w:t>
      </w:r>
      <w:r w:rsidRPr="00AC724E">
        <w:rPr>
          <w:rFonts w:ascii="Arial" w:hAnsi="Arial" w:cs="Arial"/>
        </w:rPr>
        <w:t xml:space="preserve">LIGPLOT: a program to generate schematic diagrams of protein-ligand interactions. </w:t>
      </w:r>
      <w:r w:rsidRPr="00AC724E">
        <w:rPr>
          <w:rFonts w:ascii="Arial" w:hAnsi="Arial" w:cs="Arial"/>
          <w:lang w:val="en-GB"/>
        </w:rPr>
        <w:t xml:space="preserve">Protein Eng. </w:t>
      </w:r>
      <w:proofErr w:type="gramStart"/>
      <w:r w:rsidRPr="00AC724E">
        <w:rPr>
          <w:rFonts w:ascii="Arial" w:hAnsi="Arial" w:cs="Arial"/>
          <w:lang w:val="en-GB"/>
        </w:rPr>
        <w:t>1995;8:127</w:t>
      </w:r>
      <w:proofErr w:type="gramEnd"/>
      <w:r w:rsidRPr="00AC724E">
        <w:rPr>
          <w:rFonts w:ascii="Arial" w:hAnsi="Arial" w:cs="Arial"/>
          <w:lang w:val="en-GB"/>
        </w:rPr>
        <w:t xml:space="preserve">-34. </w:t>
      </w:r>
    </w:p>
    <w:p w14:paraId="3B5F1EB8" w14:textId="703A0FB9" w:rsidR="00062D4A" w:rsidRPr="00AC724E" w:rsidRDefault="00062D4A" w:rsidP="00062D4A">
      <w:pPr>
        <w:spacing w:after="60" w:line="360" w:lineRule="auto"/>
        <w:jc w:val="both"/>
        <w:rPr>
          <w:rFonts w:ascii="Arial" w:hAnsi="Arial" w:cs="Arial"/>
        </w:rPr>
      </w:pPr>
      <w:r w:rsidRPr="00AC724E">
        <w:rPr>
          <w:rFonts w:ascii="Arial" w:hAnsi="Arial" w:cs="Arial"/>
          <w:lang w:val="en-GB"/>
        </w:rPr>
        <w:t xml:space="preserve">11) </w:t>
      </w:r>
      <w:proofErr w:type="spellStart"/>
      <w:r w:rsidRPr="00AC724E">
        <w:rPr>
          <w:rFonts w:ascii="Arial" w:hAnsi="Arial" w:cs="Arial"/>
          <w:lang w:val="en-GB"/>
        </w:rPr>
        <w:t>Garralda</w:t>
      </w:r>
      <w:proofErr w:type="spellEnd"/>
      <w:r w:rsidRPr="00AC724E">
        <w:rPr>
          <w:rFonts w:ascii="Arial" w:hAnsi="Arial" w:cs="Arial"/>
          <w:lang w:val="en-GB"/>
        </w:rPr>
        <w:t xml:space="preserve"> E</w:t>
      </w:r>
      <w:r w:rsidR="00F94E34" w:rsidRPr="00AC724E">
        <w:rPr>
          <w:rFonts w:ascii="Arial" w:hAnsi="Arial" w:cs="Arial"/>
          <w:lang w:val="en-GB"/>
        </w:rPr>
        <w:t xml:space="preserve">, </w:t>
      </w:r>
      <w:r w:rsidR="00F94E34" w:rsidRPr="00AC724E">
        <w:rPr>
          <w:rFonts w:ascii="Arial" w:hAnsi="Arial" w:cs="Arial"/>
          <w:i/>
          <w:lang w:val="en-GB"/>
        </w:rPr>
        <w:t>et al.</w:t>
      </w:r>
      <w:r w:rsidRPr="00AC724E">
        <w:rPr>
          <w:rFonts w:ascii="Arial" w:hAnsi="Arial" w:cs="Arial"/>
          <w:lang w:val="en-GB"/>
        </w:rPr>
        <w:t xml:space="preserve"> </w:t>
      </w:r>
      <w:r w:rsidRPr="00AC724E">
        <w:rPr>
          <w:rFonts w:ascii="Arial" w:hAnsi="Arial" w:cs="Arial"/>
        </w:rPr>
        <w:t xml:space="preserve">Integrated next-generation sequencing and avatar mouse models for personalized cancer treatment. </w:t>
      </w:r>
      <w:proofErr w:type="spellStart"/>
      <w:r w:rsidRPr="00AC724E">
        <w:rPr>
          <w:rFonts w:ascii="Arial" w:hAnsi="Arial" w:cs="Arial"/>
        </w:rPr>
        <w:t>Clin</w:t>
      </w:r>
      <w:proofErr w:type="spellEnd"/>
      <w:r w:rsidRPr="00AC724E">
        <w:rPr>
          <w:rFonts w:ascii="Arial" w:hAnsi="Arial" w:cs="Arial"/>
        </w:rPr>
        <w:t xml:space="preserve"> Cancer Res. </w:t>
      </w:r>
      <w:proofErr w:type="gramStart"/>
      <w:r w:rsidRPr="00AC724E">
        <w:rPr>
          <w:rFonts w:ascii="Arial" w:hAnsi="Arial" w:cs="Arial"/>
        </w:rPr>
        <w:t>2014;20:2476</w:t>
      </w:r>
      <w:proofErr w:type="gramEnd"/>
      <w:r w:rsidRPr="00AC724E">
        <w:rPr>
          <w:rFonts w:ascii="Arial" w:hAnsi="Arial" w:cs="Arial"/>
        </w:rPr>
        <w:t>-84.</w:t>
      </w:r>
    </w:p>
    <w:p w14:paraId="4B2A5109" w14:textId="7E7A14F4" w:rsidR="00062D4A" w:rsidRPr="00AC724E" w:rsidRDefault="00062D4A" w:rsidP="00062D4A">
      <w:pPr>
        <w:spacing w:after="60" w:line="360" w:lineRule="auto"/>
        <w:jc w:val="both"/>
        <w:rPr>
          <w:rFonts w:ascii="Arial" w:hAnsi="Arial" w:cs="Arial"/>
        </w:rPr>
      </w:pPr>
      <w:r w:rsidRPr="00AC724E">
        <w:rPr>
          <w:rFonts w:ascii="Arial" w:hAnsi="Arial" w:cs="Arial"/>
        </w:rPr>
        <w:t>12) Hidalgo M</w:t>
      </w:r>
      <w:r w:rsidR="00F94E34" w:rsidRPr="00AC724E">
        <w:rPr>
          <w:rFonts w:ascii="Arial" w:hAnsi="Arial" w:cs="Arial"/>
          <w:lang w:val="en-GB"/>
        </w:rPr>
        <w:t xml:space="preserve">, </w:t>
      </w:r>
      <w:r w:rsidR="00F94E34" w:rsidRPr="00AC724E">
        <w:rPr>
          <w:rFonts w:ascii="Arial" w:hAnsi="Arial" w:cs="Arial"/>
          <w:i/>
          <w:lang w:val="en-GB"/>
        </w:rPr>
        <w:t>et al.</w:t>
      </w:r>
      <w:r w:rsidR="00F94E34" w:rsidRPr="00AC724E">
        <w:rPr>
          <w:rFonts w:ascii="Arial" w:hAnsi="Arial" w:cs="Arial"/>
          <w:lang w:val="en-GB"/>
        </w:rPr>
        <w:t xml:space="preserve"> </w:t>
      </w:r>
      <w:r w:rsidRPr="00AC724E">
        <w:rPr>
          <w:rFonts w:ascii="Arial" w:hAnsi="Arial" w:cs="Arial"/>
        </w:rPr>
        <w:t xml:space="preserve">Patient-derived xenograft models: an emerging platform for translational cancer research. Cancer </w:t>
      </w:r>
      <w:proofErr w:type="spellStart"/>
      <w:r w:rsidRPr="00AC724E">
        <w:rPr>
          <w:rFonts w:ascii="Arial" w:hAnsi="Arial" w:cs="Arial"/>
        </w:rPr>
        <w:t>Discov</w:t>
      </w:r>
      <w:proofErr w:type="spellEnd"/>
      <w:r w:rsidRPr="00AC724E">
        <w:rPr>
          <w:rFonts w:ascii="Arial" w:hAnsi="Arial" w:cs="Arial"/>
        </w:rPr>
        <w:t xml:space="preserve">. </w:t>
      </w:r>
      <w:proofErr w:type="gramStart"/>
      <w:r w:rsidRPr="00AC724E">
        <w:rPr>
          <w:rFonts w:ascii="Arial" w:hAnsi="Arial" w:cs="Arial"/>
        </w:rPr>
        <w:t>2014;4:998</w:t>
      </w:r>
      <w:proofErr w:type="gramEnd"/>
      <w:r w:rsidRPr="00AC724E">
        <w:rPr>
          <w:rFonts w:ascii="Arial" w:hAnsi="Arial" w:cs="Arial"/>
        </w:rPr>
        <w:t>-1013.</w:t>
      </w:r>
    </w:p>
    <w:p w14:paraId="31739818" w14:textId="31D0385B" w:rsidR="00E4150F" w:rsidRPr="00AC724E" w:rsidRDefault="004B6430" w:rsidP="004B6430">
      <w:pPr>
        <w:spacing w:line="360" w:lineRule="auto"/>
        <w:jc w:val="both"/>
        <w:rPr>
          <w:rFonts w:ascii="Arial" w:hAnsi="Arial" w:cs="Arial"/>
        </w:rPr>
      </w:pPr>
      <w:r w:rsidRPr="00AC724E">
        <w:rPr>
          <w:rFonts w:ascii="Arial" w:hAnsi="Arial" w:cs="Arial"/>
        </w:rPr>
        <w:t>13) Longo PA</w:t>
      </w:r>
      <w:r w:rsidR="00F94E34" w:rsidRPr="00AC724E">
        <w:rPr>
          <w:rFonts w:ascii="Arial" w:hAnsi="Arial" w:cs="Arial"/>
          <w:lang w:val="en-GB"/>
        </w:rPr>
        <w:t xml:space="preserve">, </w:t>
      </w:r>
      <w:r w:rsidR="00F94E34" w:rsidRPr="00AC724E">
        <w:rPr>
          <w:rFonts w:ascii="Arial" w:hAnsi="Arial" w:cs="Arial"/>
          <w:i/>
          <w:lang w:val="en-GB"/>
        </w:rPr>
        <w:t>et al.</w:t>
      </w:r>
      <w:r w:rsidR="00F94E34" w:rsidRPr="00AC724E">
        <w:rPr>
          <w:rFonts w:ascii="Arial" w:hAnsi="Arial" w:cs="Arial"/>
          <w:lang w:val="en-GB"/>
        </w:rPr>
        <w:t xml:space="preserve"> </w:t>
      </w:r>
      <w:r w:rsidRPr="00AC724E">
        <w:rPr>
          <w:rFonts w:ascii="Arial" w:hAnsi="Arial" w:cs="Arial"/>
        </w:rPr>
        <w:t xml:space="preserve">Transient mammalian cell transfection with </w:t>
      </w:r>
      <w:proofErr w:type="spellStart"/>
      <w:r w:rsidRPr="00AC724E">
        <w:rPr>
          <w:rFonts w:ascii="Arial" w:hAnsi="Arial" w:cs="Arial"/>
        </w:rPr>
        <w:t>polyethylenimine</w:t>
      </w:r>
      <w:proofErr w:type="spellEnd"/>
      <w:r w:rsidRPr="00AC724E">
        <w:rPr>
          <w:rFonts w:ascii="Arial" w:hAnsi="Arial" w:cs="Arial"/>
        </w:rPr>
        <w:t xml:space="preserve"> (PEI). Methods </w:t>
      </w:r>
      <w:proofErr w:type="spellStart"/>
      <w:r w:rsidRPr="00AC724E">
        <w:rPr>
          <w:rFonts w:ascii="Arial" w:hAnsi="Arial" w:cs="Arial"/>
        </w:rPr>
        <w:t>Enzymol</w:t>
      </w:r>
      <w:proofErr w:type="spellEnd"/>
      <w:r w:rsidRPr="00AC724E">
        <w:rPr>
          <w:rFonts w:ascii="Arial" w:hAnsi="Arial" w:cs="Arial"/>
        </w:rPr>
        <w:t xml:space="preserve">. </w:t>
      </w:r>
      <w:proofErr w:type="gramStart"/>
      <w:r w:rsidRPr="00AC724E">
        <w:rPr>
          <w:rFonts w:ascii="Arial" w:hAnsi="Arial" w:cs="Arial"/>
        </w:rPr>
        <w:t>2013;529:227</w:t>
      </w:r>
      <w:proofErr w:type="gramEnd"/>
      <w:r w:rsidRPr="00AC724E">
        <w:rPr>
          <w:rFonts w:ascii="Arial" w:hAnsi="Arial" w:cs="Arial"/>
        </w:rPr>
        <w:t>-40.</w:t>
      </w:r>
    </w:p>
    <w:sectPr w:rsidR="00E4150F" w:rsidRPr="00AC724E" w:rsidSect="00B8141F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3EE365" w14:textId="77777777" w:rsidR="00645403" w:rsidRDefault="00645403">
      <w:r>
        <w:separator/>
      </w:r>
    </w:p>
  </w:endnote>
  <w:endnote w:type="continuationSeparator" w:id="0">
    <w:p w14:paraId="578544BD" w14:textId="77777777" w:rsidR="00645403" w:rsidRDefault="00645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4660456"/>
      <w:docPartObj>
        <w:docPartGallery w:val="Page Numbers (Bottom of Page)"/>
        <w:docPartUnique/>
      </w:docPartObj>
    </w:sdtPr>
    <w:sdtEndPr/>
    <w:sdtContent>
      <w:p w14:paraId="373DB269" w14:textId="6617B3D0" w:rsidR="00B8141F" w:rsidRDefault="00B8141F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6FA6" w:rsidRPr="00EF6FA6">
          <w:rPr>
            <w:noProof/>
            <w:lang w:val="es-ES"/>
          </w:rPr>
          <w:t>6</w:t>
        </w:r>
        <w:r>
          <w:fldChar w:fldCharType="end"/>
        </w:r>
      </w:p>
    </w:sdtContent>
  </w:sdt>
  <w:p w14:paraId="54F225C2" w14:textId="77777777" w:rsidR="00B8141F" w:rsidRDefault="00B8141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CBEBB0" w14:textId="77777777" w:rsidR="00645403" w:rsidRDefault="00645403">
      <w:r>
        <w:separator/>
      </w:r>
    </w:p>
  </w:footnote>
  <w:footnote w:type="continuationSeparator" w:id="0">
    <w:p w14:paraId="77CE63B9" w14:textId="77777777" w:rsidR="00645403" w:rsidRDefault="006454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584F22"/>
    <w:multiLevelType w:val="hybridMultilevel"/>
    <w:tmpl w:val="21B8E96C"/>
    <w:lvl w:ilvl="0" w:tplc="AE56CE9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D4A"/>
    <w:rsid w:val="00062D4A"/>
    <w:rsid w:val="000B4E83"/>
    <w:rsid w:val="000F0A16"/>
    <w:rsid w:val="001304C6"/>
    <w:rsid w:val="001545CB"/>
    <w:rsid w:val="0023683D"/>
    <w:rsid w:val="002C5E74"/>
    <w:rsid w:val="00304E8C"/>
    <w:rsid w:val="00332F75"/>
    <w:rsid w:val="003803F6"/>
    <w:rsid w:val="003A73F0"/>
    <w:rsid w:val="003C430B"/>
    <w:rsid w:val="00434200"/>
    <w:rsid w:val="004351A0"/>
    <w:rsid w:val="004438AF"/>
    <w:rsid w:val="004B6430"/>
    <w:rsid w:val="004C54DD"/>
    <w:rsid w:val="004D5701"/>
    <w:rsid w:val="004D6160"/>
    <w:rsid w:val="004E6AB8"/>
    <w:rsid w:val="004F238A"/>
    <w:rsid w:val="00506616"/>
    <w:rsid w:val="00521DDB"/>
    <w:rsid w:val="0056122F"/>
    <w:rsid w:val="00597755"/>
    <w:rsid w:val="005E509B"/>
    <w:rsid w:val="005F24C6"/>
    <w:rsid w:val="00617EB7"/>
    <w:rsid w:val="00631AF7"/>
    <w:rsid w:val="006353B8"/>
    <w:rsid w:val="00645403"/>
    <w:rsid w:val="00681F63"/>
    <w:rsid w:val="00682B9C"/>
    <w:rsid w:val="006A533E"/>
    <w:rsid w:val="006D4A9D"/>
    <w:rsid w:val="006E714C"/>
    <w:rsid w:val="006F11D2"/>
    <w:rsid w:val="0072785B"/>
    <w:rsid w:val="007634FF"/>
    <w:rsid w:val="007A3B89"/>
    <w:rsid w:val="007C12CD"/>
    <w:rsid w:val="008467C2"/>
    <w:rsid w:val="008558FC"/>
    <w:rsid w:val="00865F76"/>
    <w:rsid w:val="00873AB1"/>
    <w:rsid w:val="00917E4B"/>
    <w:rsid w:val="009530CC"/>
    <w:rsid w:val="00961756"/>
    <w:rsid w:val="009D4A74"/>
    <w:rsid w:val="00A30B41"/>
    <w:rsid w:val="00A63523"/>
    <w:rsid w:val="00A83510"/>
    <w:rsid w:val="00AA1200"/>
    <w:rsid w:val="00AA77F7"/>
    <w:rsid w:val="00AC0534"/>
    <w:rsid w:val="00AC724E"/>
    <w:rsid w:val="00AD7FEC"/>
    <w:rsid w:val="00B03A9F"/>
    <w:rsid w:val="00B1460D"/>
    <w:rsid w:val="00B60055"/>
    <w:rsid w:val="00B8141F"/>
    <w:rsid w:val="00B81AB4"/>
    <w:rsid w:val="00BA1EFE"/>
    <w:rsid w:val="00BF0748"/>
    <w:rsid w:val="00C000C3"/>
    <w:rsid w:val="00C11692"/>
    <w:rsid w:val="00C32179"/>
    <w:rsid w:val="00C62921"/>
    <w:rsid w:val="00C66EF5"/>
    <w:rsid w:val="00C71F57"/>
    <w:rsid w:val="00C75038"/>
    <w:rsid w:val="00CF0A16"/>
    <w:rsid w:val="00D70532"/>
    <w:rsid w:val="00D73188"/>
    <w:rsid w:val="00DB65CE"/>
    <w:rsid w:val="00DC6863"/>
    <w:rsid w:val="00DC7C9F"/>
    <w:rsid w:val="00DD3F9B"/>
    <w:rsid w:val="00E00C53"/>
    <w:rsid w:val="00E14F19"/>
    <w:rsid w:val="00E353A6"/>
    <w:rsid w:val="00E4150F"/>
    <w:rsid w:val="00E461C3"/>
    <w:rsid w:val="00E4644F"/>
    <w:rsid w:val="00E618BD"/>
    <w:rsid w:val="00EB2344"/>
    <w:rsid w:val="00EF0E97"/>
    <w:rsid w:val="00EF6FA6"/>
    <w:rsid w:val="00F237A8"/>
    <w:rsid w:val="00F60A5D"/>
    <w:rsid w:val="00F6738D"/>
    <w:rsid w:val="00F74B40"/>
    <w:rsid w:val="00F839A1"/>
    <w:rsid w:val="00F94E34"/>
    <w:rsid w:val="00FB23C3"/>
    <w:rsid w:val="00FB4B19"/>
    <w:rsid w:val="00FC42BC"/>
    <w:rsid w:val="00FF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27C4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62D4A"/>
    <w:rPr>
      <w:rFonts w:ascii="Times New Roman" w:eastAsiaTheme="minorEastAsia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2D4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62D4A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2D4A"/>
    <w:rPr>
      <w:rFonts w:ascii="Times New Roman" w:eastAsiaTheme="minorEastAsia" w:hAnsi="Times New Roman" w:cs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E353A6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EB23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23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2344"/>
    <w:rPr>
      <w:rFonts w:ascii="Times New Roman" w:eastAsiaTheme="minorEastAsia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23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2344"/>
    <w:rPr>
      <w:rFonts w:ascii="Times New Roman" w:eastAsiaTheme="minorEastAsia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3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344"/>
    <w:rPr>
      <w:rFonts w:ascii="Segoe UI" w:eastAsiaTheme="minorEastAsia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D70532"/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1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458A0-06ED-0E45-A8F4-41A423D55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3033</Words>
  <Characters>17292</Characters>
  <Application>Microsoft Macintosh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ETH Zuerich</Company>
  <LinksUpToDate>false</LinksUpToDate>
  <CharactersWithSpaces>20285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2018-02-14T22:09:00Z</dcterms:created>
  <dcterms:modified xsi:type="dcterms:W3CDTF">2018-02-14T22:09:00Z</dcterms:modified>
</cp:coreProperties>
</file>