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91EC" w14:textId="77777777" w:rsidR="009A1AFE" w:rsidRPr="00A13675" w:rsidRDefault="009A1AFE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Cs w:val="22"/>
        </w:rPr>
      </w:pPr>
      <w:r w:rsidRPr="00A13675">
        <w:rPr>
          <w:rFonts w:cs="Times New Roman"/>
          <w:b/>
          <w:caps/>
          <w:szCs w:val="22"/>
        </w:rPr>
        <w:t>Supplementary METHODS</w:t>
      </w:r>
    </w:p>
    <w:p w14:paraId="70C7EE9C" w14:textId="77777777" w:rsidR="002F3D7E" w:rsidRPr="00A13675" w:rsidRDefault="002F3D7E" w:rsidP="002F3D7E">
      <w:pPr>
        <w:rPr>
          <w:b/>
          <w:i/>
          <w:szCs w:val="22"/>
        </w:rPr>
      </w:pPr>
      <w:r w:rsidRPr="00A13675">
        <w:rPr>
          <w:b/>
          <w:i/>
          <w:szCs w:val="22"/>
        </w:rPr>
        <w:t>Tumor Tissue Analyses</w:t>
      </w:r>
    </w:p>
    <w:p w14:paraId="4119DBBF" w14:textId="544764B8" w:rsidR="009A1AFE" w:rsidRDefault="002F3D7E" w:rsidP="002F3D7E">
      <w:pPr>
        <w:rPr>
          <w:rFonts w:cs="Arial"/>
          <w:sz w:val="24"/>
        </w:rPr>
      </w:pPr>
      <w:r w:rsidRPr="00A13675">
        <w:rPr>
          <w:rFonts w:cs="Calibri"/>
          <w:szCs w:val="22"/>
        </w:rPr>
        <w:t>Archival FFPE</w:t>
      </w:r>
      <w:r w:rsidRPr="00A13675">
        <w:rPr>
          <w:szCs w:val="22"/>
        </w:rPr>
        <w:t xml:space="preserve"> specimens of patients’ primary and metastatic</w:t>
      </w:r>
      <w:r w:rsidRPr="00A13675">
        <w:rPr>
          <w:rFonts w:cs="Verdana"/>
          <w:szCs w:val="22"/>
          <w:lang w:bidi="en-US"/>
        </w:rPr>
        <w:t xml:space="preserve"> </w:t>
      </w:r>
      <w:r w:rsidRPr="00A13675">
        <w:rPr>
          <w:szCs w:val="22"/>
        </w:rPr>
        <w:t xml:space="preserve">tumors </w:t>
      </w:r>
      <w:r w:rsidR="000C65C5">
        <w:rPr>
          <w:szCs w:val="22"/>
        </w:rPr>
        <w:t xml:space="preserve">(minimum tumor content 20%) </w:t>
      </w:r>
      <w:bookmarkStart w:id="0" w:name="_GoBack"/>
      <w:bookmarkEnd w:id="0"/>
      <w:r w:rsidRPr="00A13675">
        <w:rPr>
          <w:szCs w:val="22"/>
        </w:rPr>
        <w:t xml:space="preserve">obtained from routine diagnostic and/or therapeutic procedures </w:t>
      </w:r>
      <w:r w:rsidRPr="00A13675">
        <w:rPr>
          <w:rFonts w:cs="Verdana"/>
          <w:szCs w:val="22"/>
          <w:lang w:bidi="en-US"/>
        </w:rPr>
        <w:t xml:space="preserve">were tested for </w:t>
      </w:r>
      <w:r w:rsidR="00E91803" w:rsidRPr="00A13675">
        <w:rPr>
          <w:rFonts w:cs="Arial"/>
          <w:i/>
          <w:szCs w:val="22"/>
        </w:rPr>
        <w:t>BRAF</w:t>
      </w:r>
      <w:r w:rsidR="00E91803" w:rsidRPr="00A13675">
        <w:rPr>
          <w:rFonts w:cs="Arial"/>
          <w:bCs/>
          <w:szCs w:val="22"/>
          <w:vertAlign w:val="superscript"/>
        </w:rPr>
        <w:t>V600</w:t>
      </w:r>
      <w:r w:rsidR="00E91803" w:rsidRPr="00A13675">
        <w:rPr>
          <w:rFonts w:cs="Arial"/>
          <w:szCs w:val="22"/>
        </w:rPr>
        <w:t xml:space="preserve">, </w:t>
      </w:r>
      <w:r w:rsidR="00E91803" w:rsidRPr="00A13675">
        <w:rPr>
          <w:rFonts w:cs="Arial"/>
          <w:i/>
          <w:szCs w:val="22"/>
        </w:rPr>
        <w:t>KRAS</w:t>
      </w:r>
      <w:r w:rsidR="00E91803" w:rsidRPr="00A13675">
        <w:rPr>
          <w:rFonts w:cs="Arial"/>
          <w:bCs/>
          <w:szCs w:val="22"/>
          <w:vertAlign w:val="superscript"/>
        </w:rPr>
        <w:t>G12/G13</w:t>
      </w:r>
      <w:r w:rsidR="00E91803" w:rsidRPr="00A13675">
        <w:rPr>
          <w:rFonts w:cs="Arial"/>
          <w:szCs w:val="22"/>
        </w:rPr>
        <w:t xml:space="preserve">, </w:t>
      </w:r>
      <w:r w:rsidR="00E842D0" w:rsidRPr="00A13675">
        <w:rPr>
          <w:rFonts w:cs="Arial"/>
          <w:szCs w:val="22"/>
        </w:rPr>
        <w:t xml:space="preserve">and </w:t>
      </w:r>
      <w:r w:rsidR="00E91803" w:rsidRPr="00A13675">
        <w:rPr>
          <w:rFonts w:cs="Arial"/>
          <w:i/>
          <w:szCs w:val="22"/>
        </w:rPr>
        <w:t>EGFR</w:t>
      </w:r>
      <w:r w:rsidR="00E91803" w:rsidRPr="00A13675">
        <w:rPr>
          <w:rFonts w:cs="Arial"/>
          <w:szCs w:val="22"/>
          <w:vertAlign w:val="superscript"/>
        </w:rPr>
        <w:t>exon19del/L858R</w:t>
      </w:r>
      <w:r w:rsidR="00E91803" w:rsidRPr="00A13675">
        <w:rPr>
          <w:rFonts w:cs="Calibri"/>
          <w:i/>
          <w:szCs w:val="22"/>
        </w:rPr>
        <w:t xml:space="preserve"> </w:t>
      </w:r>
      <w:r w:rsidRPr="00A13675">
        <w:rPr>
          <w:szCs w:val="22"/>
        </w:rPr>
        <w:t>mutations</w:t>
      </w:r>
      <w:r w:rsidRPr="00A13675">
        <w:rPr>
          <w:rFonts w:cs="Verdana"/>
          <w:szCs w:val="22"/>
          <w:lang w:bidi="en-US"/>
        </w:rPr>
        <w:t xml:space="preserve"> in MD Anderson’s CLIA-certified</w:t>
      </w:r>
      <w:r w:rsidRPr="00A13675">
        <w:rPr>
          <w:rFonts w:cs="Verdana"/>
          <w:szCs w:val="22"/>
          <w:vertAlign w:val="superscript"/>
          <w:lang w:bidi="en-US"/>
        </w:rPr>
        <w:t xml:space="preserve"> </w:t>
      </w:r>
      <w:r w:rsidRPr="00A13675">
        <w:rPr>
          <w:rFonts w:cs="Verdana"/>
          <w:szCs w:val="22"/>
          <w:lang w:bidi="en-US"/>
        </w:rPr>
        <w:t xml:space="preserve">Molecular Diagnostics Laboratory. DNA was extracted from </w:t>
      </w:r>
      <w:proofErr w:type="spellStart"/>
      <w:r w:rsidRPr="00A13675">
        <w:rPr>
          <w:rFonts w:cs="Verdana"/>
          <w:szCs w:val="22"/>
          <w:lang w:bidi="en-US"/>
        </w:rPr>
        <w:t>microdissected</w:t>
      </w:r>
      <w:proofErr w:type="spellEnd"/>
      <w:r w:rsidRPr="00A13675">
        <w:rPr>
          <w:rFonts w:cs="Verdana"/>
          <w:szCs w:val="22"/>
          <w:lang w:bidi="en-US"/>
        </w:rPr>
        <w:t xml:space="preserve"> paraffin-embedded tumor sections and analyzed with a PCR-based DNA sequencing method that used primers designed by MD Anderson’s Molecular Diagnostic Laboratory. In January 2011, </w:t>
      </w:r>
      <w:r w:rsidRPr="00A13675">
        <w:rPr>
          <w:szCs w:val="22"/>
        </w:rPr>
        <w:t>the assay was changed to mass spectrometric detection (</w:t>
      </w:r>
      <w:proofErr w:type="spellStart"/>
      <w:r w:rsidRPr="00A13675">
        <w:rPr>
          <w:szCs w:val="22"/>
        </w:rPr>
        <w:t>MassARRAY</w:t>
      </w:r>
      <w:proofErr w:type="spellEnd"/>
      <w:r w:rsidRPr="00A13675">
        <w:rPr>
          <w:szCs w:val="22"/>
        </w:rPr>
        <w:t xml:space="preserve">, </w:t>
      </w:r>
      <w:proofErr w:type="spellStart"/>
      <w:r w:rsidRPr="00A13675">
        <w:rPr>
          <w:szCs w:val="22"/>
        </w:rPr>
        <w:t>Sequenom</w:t>
      </w:r>
      <w:proofErr w:type="spellEnd"/>
      <w:r w:rsidRPr="00A13675">
        <w:rPr>
          <w:szCs w:val="22"/>
        </w:rPr>
        <w:t>, San Diego, CA), and in March 2012, to next-generation sequencing (Ion Torrent, Life Technologies, Carlsbad, CA). The lower limit of detection for these technologies is approximately 5-10% MAF and is influenced by clonal heterogeneity and the presence of normal tissue.</w:t>
      </w:r>
      <w:r w:rsidRPr="00E42FDF">
        <w:rPr>
          <w:sz w:val="24"/>
        </w:rPr>
        <w:t xml:space="preserve"> </w:t>
      </w:r>
    </w:p>
    <w:p w14:paraId="180FF8A5" w14:textId="77777777" w:rsidR="009A1AFE" w:rsidRDefault="009A1AFE" w:rsidP="002F3D7E">
      <w:pPr>
        <w:rPr>
          <w:rFonts w:cs="Arial"/>
          <w:sz w:val="24"/>
        </w:rPr>
      </w:pPr>
    </w:p>
    <w:p w14:paraId="26582DFF" w14:textId="05D8F66A" w:rsidR="00A13675" w:rsidRPr="00A13675" w:rsidRDefault="00A13675" w:rsidP="00A13675">
      <w:pPr>
        <w:rPr>
          <w:b/>
          <w:i/>
        </w:rPr>
      </w:pPr>
      <w:r w:rsidRPr="00A13675">
        <w:rPr>
          <w:b/>
          <w:i/>
        </w:rPr>
        <w:t>Exosome Depleted Plasma</w:t>
      </w:r>
    </w:p>
    <w:p w14:paraId="1FE96043" w14:textId="2D2761B4" w:rsidR="00A13675" w:rsidRDefault="00A13675" w:rsidP="00A13675">
      <w:r w:rsidRPr="009813DF">
        <w:t xml:space="preserve">Plasma samples were </w:t>
      </w:r>
      <w:r>
        <w:t xml:space="preserve">pre-filtered with 0.8 µm filter, </w:t>
      </w:r>
      <w:r w:rsidRPr="009813DF">
        <w:t xml:space="preserve">diluted 2:1 (30%) with PBS and </w:t>
      </w:r>
      <w:r>
        <w:t>ultra</w:t>
      </w:r>
      <w:r w:rsidRPr="009813DF">
        <w:t>-centrifug</w:t>
      </w:r>
      <w:r>
        <w:t>ed at</w:t>
      </w:r>
      <w:r w:rsidRPr="009813DF">
        <w:t xml:space="preserve"> 150,000</w:t>
      </w:r>
      <w:r>
        <w:t xml:space="preserve"> x </w:t>
      </w:r>
      <w:r w:rsidRPr="009813DF">
        <w:t xml:space="preserve">g for 4 hours. The supernatant was carefully </w:t>
      </w:r>
      <w:r>
        <w:t>transferred</w:t>
      </w:r>
      <w:r w:rsidRPr="009813DF">
        <w:t xml:space="preserve"> into a </w:t>
      </w:r>
      <w:r>
        <w:t>new tube and considered exosome depleted</w:t>
      </w:r>
      <w:r w:rsidRPr="009813DF">
        <w:t xml:space="preserve">. This procedure depletes about 75% of extracellular vesicles </w:t>
      </w:r>
      <w:r>
        <w:t xml:space="preserve">and is described in detail in </w:t>
      </w:r>
      <w:proofErr w:type="spellStart"/>
      <w:r w:rsidRPr="009813DF">
        <w:t>Eitan</w:t>
      </w:r>
      <w:proofErr w:type="spellEnd"/>
      <w:r w:rsidRPr="009813DF">
        <w:t xml:space="preserve"> et al. 2015</w:t>
      </w:r>
      <w:r>
        <w:t xml:space="preserve"> (PMID 25819213)</w:t>
      </w:r>
      <w:r w:rsidRPr="009813DF">
        <w:t xml:space="preserve">. </w:t>
      </w:r>
    </w:p>
    <w:p w14:paraId="6F71FF12" w14:textId="77777777" w:rsidR="00A13675" w:rsidRPr="009813DF" w:rsidRDefault="00A13675" w:rsidP="00A13675"/>
    <w:p w14:paraId="571EAEE6" w14:textId="03534915" w:rsidR="00A13675" w:rsidRPr="009813DF" w:rsidRDefault="00A13675" w:rsidP="00A13675">
      <w:pPr>
        <w:rPr>
          <w:b/>
        </w:rPr>
      </w:pPr>
      <w:r w:rsidRPr="00A13675">
        <w:rPr>
          <w:b/>
          <w:i/>
        </w:rPr>
        <w:t>Protein Isolation</w:t>
      </w:r>
    </w:p>
    <w:p w14:paraId="4F288F1C" w14:textId="77777777" w:rsidR="00A13675" w:rsidRDefault="00A13675" w:rsidP="00A13675">
      <w:r>
        <w:t xml:space="preserve">Exosomes and </w:t>
      </w:r>
      <w:proofErr w:type="spellStart"/>
      <w:r>
        <w:t>cfDNA</w:t>
      </w:r>
      <w:proofErr w:type="spellEnd"/>
      <w:r>
        <w:t xml:space="preserve"> from plasma samples</w:t>
      </w:r>
      <w:r w:rsidRPr="009813DF">
        <w:t xml:space="preserve"> </w:t>
      </w:r>
      <w:r>
        <w:t xml:space="preserve">pre-filtered with 0.8 µm </w:t>
      </w:r>
      <w:r w:rsidRPr="009813DF">
        <w:t xml:space="preserve">were </w:t>
      </w:r>
      <w:r>
        <w:t xml:space="preserve">bound to </w:t>
      </w:r>
      <w:proofErr w:type="spellStart"/>
      <w:r>
        <w:t>ExoLution</w:t>
      </w:r>
      <w:proofErr w:type="spellEnd"/>
      <w:r>
        <w:t>™ Plus isolation columns and washed according to the manufacturer’s instructions. Subsequently, t</w:t>
      </w:r>
      <w:r w:rsidRPr="009813DF">
        <w:t>he column</w:t>
      </w:r>
      <w:r>
        <w:t xml:space="preserve">s were moved to a new collection tube, </w:t>
      </w:r>
      <w:r w:rsidRPr="009813DF">
        <w:t>400</w:t>
      </w:r>
      <w:r>
        <w:t xml:space="preserve"> µL</w:t>
      </w:r>
      <w:r w:rsidRPr="009813DF">
        <w:t xml:space="preserve"> of lysis buffer (M</w:t>
      </w:r>
      <w:r>
        <w:t>-</w:t>
      </w:r>
      <w:r w:rsidRPr="009813DF">
        <w:t>PER</w:t>
      </w:r>
      <w:r>
        <w:t xml:space="preserve">, </w:t>
      </w:r>
      <w:proofErr w:type="spellStart"/>
      <w:r>
        <w:t>Thermo</w:t>
      </w:r>
      <w:proofErr w:type="spellEnd"/>
      <w:r>
        <w:t xml:space="preserve"> Fisher Scientific 78501)</w:t>
      </w:r>
      <w:r w:rsidRPr="009813DF">
        <w:t xml:space="preserve"> was ad</w:t>
      </w:r>
      <w:r>
        <w:t>ded to the column and incubated for an hour at 4°C degrees. T</w:t>
      </w:r>
      <w:r w:rsidRPr="009813DF">
        <w:t xml:space="preserve">he </w:t>
      </w:r>
      <w:r>
        <w:t xml:space="preserve">protein lysate was eluted from the </w:t>
      </w:r>
      <w:r w:rsidRPr="009813DF">
        <w:t>column</w:t>
      </w:r>
      <w:r>
        <w:t>s</w:t>
      </w:r>
      <w:r w:rsidRPr="009813DF">
        <w:t xml:space="preserve"> </w:t>
      </w:r>
      <w:r>
        <w:t>by centrifugation for 5 min at</w:t>
      </w:r>
      <w:r w:rsidRPr="009813DF">
        <w:t xml:space="preserve"> 5000</w:t>
      </w:r>
      <w:r>
        <w:t xml:space="preserve"> x </w:t>
      </w:r>
      <w:r w:rsidRPr="009813DF">
        <w:t>g</w:t>
      </w:r>
      <w:r>
        <w:t xml:space="preserve">. </w:t>
      </w:r>
    </w:p>
    <w:p w14:paraId="6CF4A1E8" w14:textId="77777777" w:rsidR="00A13675" w:rsidRPr="009813DF" w:rsidRDefault="00A13675" w:rsidP="00A13675"/>
    <w:p w14:paraId="6207120A" w14:textId="7FF43651" w:rsidR="00A13675" w:rsidRPr="00A13675" w:rsidRDefault="00A13675" w:rsidP="00A13675">
      <w:pPr>
        <w:rPr>
          <w:b/>
          <w:i/>
        </w:rPr>
      </w:pPr>
      <w:r w:rsidRPr="00A13675">
        <w:rPr>
          <w:b/>
          <w:i/>
        </w:rPr>
        <w:lastRenderedPageBreak/>
        <w:t xml:space="preserve">Western Blot </w:t>
      </w:r>
    </w:p>
    <w:p w14:paraId="444C06EA" w14:textId="77777777" w:rsidR="00A13675" w:rsidRDefault="00A13675" w:rsidP="00A13675">
      <w:r w:rsidRPr="009813DF">
        <w:t>The exosome protein lysate</w:t>
      </w:r>
      <w:r>
        <w:t>s were spun for 20 min at</w:t>
      </w:r>
      <w:r w:rsidRPr="009813DF">
        <w:t xml:space="preserve"> 8,000</w:t>
      </w:r>
      <w:r>
        <w:t xml:space="preserve"> x </w:t>
      </w:r>
      <w:r w:rsidRPr="009813DF">
        <w:t xml:space="preserve">g </w:t>
      </w:r>
      <w:r>
        <w:t>to remove</w:t>
      </w:r>
      <w:r w:rsidRPr="009813DF">
        <w:t xml:space="preserve"> membrane debris. The supernatant was tra</w:t>
      </w:r>
      <w:r>
        <w:t xml:space="preserve">nsferred into a new tube and incubated with </w:t>
      </w:r>
      <w:r w:rsidRPr="009813DF">
        <w:t>protein G beads</w:t>
      </w:r>
      <w:r>
        <w:t xml:space="preserve"> </w:t>
      </w:r>
      <w:r w:rsidRPr="009813DF">
        <w:t>to deplete endogenous IgG antibodies. The tubes were placed on a magnet and the supernatant was transferred into a new tube. 30</w:t>
      </w:r>
      <w:r>
        <w:t xml:space="preserve"> µL</w:t>
      </w:r>
      <w:r w:rsidRPr="009813DF">
        <w:t xml:space="preserve"> of the protein sample was added to 10</w:t>
      </w:r>
      <w:r>
        <w:t xml:space="preserve"> µL of</w:t>
      </w:r>
      <w:r w:rsidRPr="009813DF">
        <w:t xml:space="preserve"> 4X sample buffer</w:t>
      </w:r>
      <w:r>
        <w:t xml:space="preserve"> (</w:t>
      </w:r>
      <w:proofErr w:type="spellStart"/>
      <w:r>
        <w:t>NuPage</w:t>
      </w:r>
      <w:proofErr w:type="spellEnd"/>
      <w:r>
        <w:t xml:space="preserve"> LDS </w:t>
      </w:r>
      <w:proofErr w:type="spellStart"/>
      <w:r>
        <w:t>Thermo</w:t>
      </w:r>
      <w:proofErr w:type="spellEnd"/>
      <w:r>
        <w:t xml:space="preserve"> Fisher Scientific NP0007)</w:t>
      </w:r>
      <w:r w:rsidRPr="009813DF">
        <w:t xml:space="preserve"> and centrifuge</w:t>
      </w:r>
      <w:r>
        <w:t>d</w:t>
      </w:r>
      <w:r w:rsidRPr="009813DF">
        <w:t xml:space="preserve"> for 5 min</w:t>
      </w:r>
      <w:r>
        <w:t>s at</w:t>
      </w:r>
      <w:r w:rsidRPr="009813DF">
        <w:t xml:space="preserve"> 8000</w:t>
      </w:r>
      <w:r>
        <w:t xml:space="preserve"> x </w:t>
      </w:r>
      <w:r w:rsidRPr="009813DF">
        <w:t>g. The supernatant was transferred into a new t</w:t>
      </w:r>
      <w:r>
        <w:t>ube and placed for 10 minutes in 80</w:t>
      </w:r>
      <w:r w:rsidRPr="009813DF">
        <w:t>°C degrees and then</w:t>
      </w:r>
      <w:r>
        <w:t xml:space="preserve"> placed for</w:t>
      </w:r>
      <w:r w:rsidRPr="009813DF">
        <w:t xml:space="preserve"> 2 min</w:t>
      </w:r>
      <w:r>
        <w:t>utes on</w:t>
      </w:r>
      <w:r w:rsidRPr="009813DF">
        <w:t xml:space="preserve"> ice.</w:t>
      </w:r>
      <w:r>
        <w:t xml:space="preserve"> 10µg of U87 cells protein lysate were added to sample buffer and were used as positive control. </w:t>
      </w:r>
      <w:r w:rsidRPr="009813DF">
        <w:t xml:space="preserve"> The entire sample </w:t>
      </w:r>
      <w:r>
        <w:t>(40µ</w:t>
      </w:r>
      <w:proofErr w:type="gramStart"/>
      <w:r>
        <w:t>l )</w:t>
      </w:r>
      <w:proofErr w:type="gramEnd"/>
      <w:r>
        <w:t xml:space="preserve"> </w:t>
      </w:r>
      <w:r w:rsidRPr="009813DF">
        <w:t xml:space="preserve">was loaded to a 4-12% </w:t>
      </w:r>
      <w:proofErr w:type="spellStart"/>
      <w:r>
        <w:t>Bis-Tris</w:t>
      </w:r>
      <w:proofErr w:type="spellEnd"/>
      <w:r w:rsidRPr="009813DF">
        <w:t xml:space="preserve"> gel</w:t>
      </w:r>
      <w:r>
        <w:t xml:space="preserve"> (Invitrogen NP0322BOX)</w:t>
      </w:r>
      <w:r w:rsidRPr="009813DF">
        <w:t xml:space="preserve"> and run with </w:t>
      </w:r>
      <w:r>
        <w:t>MOPS SDS</w:t>
      </w:r>
      <w:r w:rsidRPr="009813DF">
        <w:t xml:space="preserve"> running buffer</w:t>
      </w:r>
      <w:r>
        <w:t xml:space="preserve"> (</w:t>
      </w:r>
      <w:proofErr w:type="spellStart"/>
      <w:r>
        <w:t>Thermo</w:t>
      </w:r>
      <w:proofErr w:type="spellEnd"/>
      <w:r>
        <w:t xml:space="preserve"> Fisher Scientific NP0001). T</w:t>
      </w:r>
      <w:r w:rsidRPr="009813DF">
        <w:t>he sample was</w:t>
      </w:r>
      <w:r>
        <w:t xml:space="preserve"> then</w:t>
      </w:r>
      <w:r w:rsidRPr="009813DF">
        <w:t xml:space="preserve"> transferred to </w:t>
      </w:r>
      <w:r>
        <w:t xml:space="preserve">a </w:t>
      </w:r>
      <w:r w:rsidRPr="007B11D7">
        <w:t>nitrocellulose</w:t>
      </w:r>
      <w:r w:rsidRPr="009813DF">
        <w:t xml:space="preserve"> membrane and </w:t>
      </w:r>
      <w:r>
        <w:t>blotted</w:t>
      </w:r>
      <w:r w:rsidRPr="009813DF">
        <w:t xml:space="preserve"> with </w:t>
      </w:r>
      <w:r>
        <w:t xml:space="preserve">the following antibodies from </w:t>
      </w:r>
      <w:proofErr w:type="spellStart"/>
      <w:r>
        <w:t>Abcam</w:t>
      </w:r>
      <w:proofErr w:type="spellEnd"/>
      <w:r>
        <w:t>: FLOT1 (ab133497 1:2000 dilution)</w:t>
      </w:r>
      <w:r w:rsidRPr="009813DF">
        <w:t>, TSG101 (</w:t>
      </w:r>
      <w:r>
        <w:t>ab83 1:200 dilution</w:t>
      </w:r>
      <w:r w:rsidRPr="009813DF">
        <w:t xml:space="preserve">) and </w:t>
      </w:r>
      <w:proofErr w:type="spellStart"/>
      <w:r w:rsidRPr="009813DF">
        <w:t>calnexin</w:t>
      </w:r>
      <w:proofErr w:type="spellEnd"/>
      <w:r w:rsidRPr="009813DF">
        <w:t xml:space="preserve"> (</w:t>
      </w:r>
      <w:r>
        <w:t>ab22595 1:1000 dilution</w:t>
      </w:r>
      <w:r w:rsidRPr="009813DF">
        <w:t>).</w:t>
      </w:r>
      <w:r>
        <w:t xml:space="preserve"> The following secondary antibodies were used: </w:t>
      </w:r>
      <w:r w:rsidRPr="009073C8">
        <w:t>Goat anti-Mouse IgG</w:t>
      </w:r>
      <w:r>
        <w:t xml:space="preserve"> HRP (</w:t>
      </w:r>
      <w:proofErr w:type="spellStart"/>
      <w:r>
        <w:t>Thermo</w:t>
      </w:r>
      <w:proofErr w:type="spellEnd"/>
      <w:r>
        <w:t xml:space="preserve"> Fisher Scientific PI-31430) and </w:t>
      </w:r>
      <w:r w:rsidRPr="009073C8">
        <w:t>Goat Anti-</w:t>
      </w:r>
      <w:r>
        <w:t>Rabbit</w:t>
      </w:r>
      <w:r w:rsidRPr="009073C8">
        <w:t xml:space="preserve"> IgG</w:t>
      </w:r>
      <w:r>
        <w:t xml:space="preserve"> HRP (</w:t>
      </w:r>
      <w:proofErr w:type="spellStart"/>
      <w:r>
        <w:t>Thermo</w:t>
      </w:r>
      <w:proofErr w:type="spellEnd"/>
      <w:r>
        <w:t xml:space="preserve"> Fisher Scientific PI-31460) antibodies. Three samples were exposed only to secondary antibodies (Anti-Mice and Anti-Rabbit) to control for nonspecific signal.  The western was developed with </w:t>
      </w:r>
      <w:r w:rsidRPr="005311C3">
        <w:t>WESTERN LIGHTNING PLUS-ECL</w:t>
      </w:r>
      <w:r>
        <w:t xml:space="preserve"> (</w:t>
      </w:r>
      <w:proofErr w:type="spellStart"/>
      <w:r>
        <w:t>Thermo</w:t>
      </w:r>
      <w:proofErr w:type="spellEnd"/>
      <w:r>
        <w:t xml:space="preserve"> Fisher Scientific </w:t>
      </w:r>
      <w:r w:rsidRPr="005311C3">
        <w:t>50-904-9323</w:t>
      </w:r>
      <w:proofErr w:type="gramStart"/>
      <w:r w:rsidRPr="005311C3">
        <w:t>)</w:t>
      </w:r>
      <w:r w:rsidRPr="009813DF">
        <w:t>The</w:t>
      </w:r>
      <w:proofErr w:type="gramEnd"/>
      <w:r w:rsidRPr="009813DF">
        <w:t xml:space="preserve"> s</w:t>
      </w:r>
      <w:r>
        <w:t>ignal was detected using LI-COR Biosciences</w:t>
      </w:r>
      <w:r w:rsidRPr="009813DF">
        <w:t xml:space="preserve"> instrument</w:t>
      </w:r>
      <w:r>
        <w:t>.</w:t>
      </w:r>
    </w:p>
    <w:p w14:paraId="56D4B723" w14:textId="77777777" w:rsidR="00A13675" w:rsidRDefault="00A13675" w:rsidP="00A13675"/>
    <w:p w14:paraId="33B20D75" w14:textId="3982A157" w:rsidR="00A13675" w:rsidRPr="00A13675" w:rsidRDefault="00A13675" w:rsidP="00A13675">
      <w:pPr>
        <w:rPr>
          <w:b/>
          <w:i/>
        </w:rPr>
      </w:pPr>
      <w:r w:rsidRPr="00A13675">
        <w:rPr>
          <w:b/>
          <w:i/>
        </w:rPr>
        <w:t>Nanoparticle Tracking Analysis (NTA)</w:t>
      </w:r>
    </w:p>
    <w:p w14:paraId="50BB2229" w14:textId="77777777" w:rsidR="00A13675" w:rsidRDefault="00A13675" w:rsidP="00A13675">
      <w:r w:rsidRPr="00E96C35">
        <w:t xml:space="preserve">Intact vesicles </w:t>
      </w:r>
      <w:r>
        <w:t>from 2 mL plasma was</w:t>
      </w:r>
      <w:r w:rsidRPr="00E96C35">
        <w:t xml:space="preserve"> eluted from </w:t>
      </w:r>
      <w:r>
        <w:t xml:space="preserve">an </w:t>
      </w:r>
      <w:proofErr w:type="spellStart"/>
      <w:r w:rsidRPr="00E96C35">
        <w:t>ExoLution</w:t>
      </w:r>
      <w:proofErr w:type="spellEnd"/>
      <w:r w:rsidRPr="00E96C35">
        <w:t xml:space="preserve"> ™ column into </w:t>
      </w:r>
      <w:r>
        <w:t>400</w:t>
      </w:r>
      <w:r w:rsidRPr="00E96C35">
        <w:t xml:space="preserve"> µL 1x Elution Buffer using a 5 min incubation step </w:t>
      </w:r>
      <w:r>
        <w:t>followed by</w:t>
      </w:r>
      <w:r w:rsidRPr="00E96C35">
        <w:t xml:space="preserve"> a </w:t>
      </w:r>
      <w:r w:rsidRPr="00FB3F14">
        <w:rPr>
          <w:rFonts w:eastAsia="Times New Roman" w:cs="Arial"/>
          <w:color w:val="333333"/>
          <w:shd w:val="clear" w:color="auto" w:fill="FFFFFF"/>
        </w:rPr>
        <w:t xml:space="preserve">5 min spin at </w:t>
      </w:r>
      <w:r w:rsidRPr="00FB3F14">
        <w:t xml:space="preserve">500 x g to collect the EVs for </w:t>
      </w:r>
      <w:r>
        <w:t xml:space="preserve">analysis with a </w:t>
      </w:r>
      <w:proofErr w:type="spellStart"/>
      <w:r>
        <w:t>NanoSight</w:t>
      </w:r>
      <w:proofErr w:type="spellEnd"/>
      <w:r>
        <w:t xml:space="preserve"> LM10 instrument</w:t>
      </w:r>
      <w:r w:rsidRPr="00E96C35">
        <w:t>.</w:t>
      </w:r>
      <w:r>
        <w:t xml:space="preserve"> Briefly, the sample was diluted 1:100 in elution buffer, </w:t>
      </w:r>
      <w:r w:rsidRPr="006F34B7">
        <w:t>loaded into the assembled sample chamber</w:t>
      </w:r>
      <w:r>
        <w:t xml:space="preserve"> and </w:t>
      </w:r>
      <w:r w:rsidRPr="006F34B7">
        <w:t xml:space="preserve">brought into focus using the thumbprint region as a reference; </w:t>
      </w:r>
      <w:r>
        <w:t>three 30</w:t>
      </w:r>
      <w:r w:rsidRPr="006F34B7">
        <w:t>-s video images were acquired and analyzed</w:t>
      </w:r>
      <w:r>
        <w:t xml:space="preserve"> using the </w:t>
      </w:r>
      <w:proofErr w:type="spellStart"/>
      <w:r>
        <w:t>NanoSight</w:t>
      </w:r>
      <w:proofErr w:type="spellEnd"/>
      <w:r>
        <w:t xml:space="preserve"> NTA 2.3 software according to the manufacturer’s instructions</w:t>
      </w:r>
      <w:r w:rsidRPr="006F34B7">
        <w:t>.</w:t>
      </w:r>
    </w:p>
    <w:p w14:paraId="03D85941" w14:textId="77777777" w:rsidR="00A13675" w:rsidRPr="00CE56C8" w:rsidRDefault="00A13675" w:rsidP="00A13675">
      <w:pPr>
        <w:rPr>
          <w:color w:val="FF0000"/>
        </w:rPr>
      </w:pPr>
    </w:p>
    <w:p w14:paraId="361A64DF" w14:textId="63746876" w:rsidR="00A13675" w:rsidRPr="00A13675" w:rsidRDefault="00A13675" w:rsidP="00A13675">
      <w:pPr>
        <w:rPr>
          <w:b/>
          <w:i/>
        </w:rPr>
      </w:pPr>
      <w:r w:rsidRPr="00A13675">
        <w:rPr>
          <w:b/>
          <w:i/>
        </w:rPr>
        <w:t>Scanning Electron Microscopy (SEM)</w:t>
      </w:r>
    </w:p>
    <w:p w14:paraId="2D9CA105" w14:textId="77777777" w:rsidR="00A13675" w:rsidRPr="00CE56C8" w:rsidRDefault="00A13675" w:rsidP="00A13675">
      <w:pPr>
        <w:rPr>
          <w:rFonts w:ascii="Times New Roman" w:eastAsia="Times New Roman" w:hAnsi="Times New Roman" w:cs="Times New Roman"/>
          <w:sz w:val="24"/>
        </w:rPr>
      </w:pPr>
      <w:r w:rsidRPr="00E96C35">
        <w:t xml:space="preserve">Intact vesicles were eluted from </w:t>
      </w:r>
      <w:proofErr w:type="spellStart"/>
      <w:r w:rsidRPr="00E96C35">
        <w:t>ExoLution</w:t>
      </w:r>
      <w:proofErr w:type="spellEnd"/>
      <w:r w:rsidRPr="00E96C35">
        <w:t xml:space="preserve"> ™ columns into 280 µL 1x Elution Buffer using a 5 min incubation step </w:t>
      </w:r>
      <w:r>
        <w:t>followed by</w:t>
      </w:r>
      <w:r w:rsidRPr="00E96C35">
        <w:t xml:space="preserve"> a </w:t>
      </w:r>
      <w:r w:rsidRPr="00FB3F14">
        <w:rPr>
          <w:rFonts w:eastAsia="Times New Roman" w:cs="Arial"/>
          <w:color w:val="333333"/>
          <w:shd w:val="clear" w:color="auto" w:fill="FFFFFF"/>
        </w:rPr>
        <w:t xml:space="preserve">5 min spin at </w:t>
      </w:r>
      <w:r w:rsidRPr="00FB3F14">
        <w:t xml:space="preserve">500 x g to collect the eluted </w:t>
      </w:r>
      <w:r>
        <w:t>vesicles</w:t>
      </w:r>
      <w:r w:rsidRPr="00FB3F14">
        <w:t xml:space="preserve"> for subsequent </w:t>
      </w:r>
      <w:proofErr w:type="spellStart"/>
      <w:r w:rsidRPr="00E96C35">
        <w:t>cryo</w:t>
      </w:r>
      <w:proofErr w:type="spellEnd"/>
      <w:r w:rsidRPr="00E96C35">
        <w:t xml:space="preserve">-fixation. </w:t>
      </w:r>
      <w:r w:rsidRPr="00FB3F14">
        <w:t>Undiluted sample was applied to a glass microscopy slide with a cover slip and snap frozen in liquid nitrogen. After removal of the cover slip the frozen specimen was fixed with 2.5% glutaraldehy</w:t>
      </w:r>
      <w:r>
        <w:t>de in exosome elution buffer</w:t>
      </w:r>
      <w:r w:rsidRPr="00FB3F14">
        <w:t xml:space="preserve">, washed once with </w:t>
      </w:r>
      <w:r>
        <w:t>elution buffer</w:t>
      </w:r>
      <w:r w:rsidRPr="00FB3F14">
        <w:t xml:space="preserve"> and </w:t>
      </w:r>
      <w:r>
        <w:t xml:space="preserve">once with </w:t>
      </w:r>
      <w:r w:rsidRPr="00FB3F14">
        <w:t xml:space="preserve">water, </w:t>
      </w:r>
      <w:r>
        <w:t xml:space="preserve">then </w:t>
      </w:r>
      <w:r w:rsidRPr="00FB3F14">
        <w:t xml:space="preserve">dehydrated </w:t>
      </w:r>
      <w:r>
        <w:t>using</w:t>
      </w:r>
      <w:r w:rsidRPr="00FB3F14">
        <w:t xml:space="preserve"> aceton</w:t>
      </w:r>
      <w:r>
        <w:t>e</w:t>
      </w:r>
      <w:r w:rsidRPr="00FB3F14">
        <w:t xml:space="preserve">. </w:t>
      </w:r>
      <w:r>
        <w:t>The a</w:t>
      </w:r>
      <w:r w:rsidRPr="00FB3F14">
        <w:t>ceton</w:t>
      </w:r>
      <w:r>
        <w:t>e</w:t>
      </w:r>
      <w:r w:rsidRPr="00FB3F14">
        <w:t xml:space="preserve"> was removed using critical point drying with liquid carbon dioxide. </w:t>
      </w:r>
      <w:r>
        <w:t>Mounting was performed</w:t>
      </w:r>
      <w:r w:rsidRPr="00FB3F14">
        <w:t xml:space="preserve"> on </w:t>
      </w:r>
      <w:r w:rsidRPr="00E96C35">
        <w:t>aluminum</w:t>
      </w:r>
      <w:r w:rsidRPr="00FB3F14">
        <w:t xml:space="preserve"> stubs with </w:t>
      </w:r>
      <w:proofErr w:type="spellStart"/>
      <w:r w:rsidRPr="00FB3F14">
        <w:t>tempfix</w:t>
      </w:r>
      <w:proofErr w:type="spellEnd"/>
      <w:r w:rsidRPr="00FB3F14">
        <w:t xml:space="preserve"> adhesive and </w:t>
      </w:r>
      <w:r w:rsidRPr="00E96C35">
        <w:t>contacting</w:t>
      </w:r>
      <w:r w:rsidRPr="00FB3F14">
        <w:t xml:space="preserve"> using colloidal silver</w:t>
      </w:r>
      <w:r>
        <w:t xml:space="preserve">. Samples were </w:t>
      </w:r>
      <w:r w:rsidRPr="00B477A6">
        <w:t xml:space="preserve">examined </w:t>
      </w:r>
      <w:r w:rsidRPr="00FB3F14">
        <w:t>with a Zeiss Auriga Workstation</w:t>
      </w:r>
      <w:r>
        <w:t xml:space="preserve"> after sputter-coating</w:t>
      </w:r>
      <w:r w:rsidRPr="00FB3F14">
        <w:t xml:space="preserve"> with 3-5 nm </w:t>
      </w:r>
      <w:r w:rsidRPr="00E96C35">
        <w:t>platinum</w:t>
      </w:r>
      <w:r w:rsidRPr="00FB3F14">
        <w:t>.</w:t>
      </w:r>
    </w:p>
    <w:p w14:paraId="599AE536" w14:textId="77777777" w:rsidR="00A13675" w:rsidRDefault="00A13675" w:rsidP="002F3D7E">
      <w:pPr>
        <w:rPr>
          <w:rFonts w:cs="Arial"/>
          <w:sz w:val="24"/>
        </w:rPr>
      </w:pPr>
    </w:p>
    <w:p w14:paraId="37C285A5" w14:textId="77777777" w:rsidR="009A1AFE" w:rsidRDefault="009A1AFE" w:rsidP="002F3D7E">
      <w:pPr>
        <w:rPr>
          <w:rFonts w:cs="Arial"/>
          <w:sz w:val="24"/>
        </w:rPr>
      </w:pPr>
    </w:p>
    <w:p w14:paraId="3C8DCB28" w14:textId="77777777" w:rsidR="009A1AFE" w:rsidRDefault="009A1AFE" w:rsidP="002F3D7E">
      <w:pPr>
        <w:rPr>
          <w:rFonts w:cs="Arial"/>
          <w:sz w:val="24"/>
        </w:rPr>
      </w:pPr>
    </w:p>
    <w:p w14:paraId="26B78A8F" w14:textId="77777777" w:rsidR="009A1AFE" w:rsidRDefault="009A1AFE" w:rsidP="002F3D7E">
      <w:pPr>
        <w:rPr>
          <w:rFonts w:cs="Arial"/>
          <w:sz w:val="24"/>
        </w:rPr>
      </w:pPr>
    </w:p>
    <w:p w14:paraId="6A4B5F4C" w14:textId="77777777" w:rsidR="009A1AFE" w:rsidRDefault="009A1AFE" w:rsidP="002F3D7E">
      <w:pPr>
        <w:rPr>
          <w:rFonts w:cs="Arial"/>
          <w:sz w:val="24"/>
        </w:rPr>
      </w:pPr>
    </w:p>
    <w:p w14:paraId="6893CE28" w14:textId="77777777" w:rsidR="009A1AFE" w:rsidRDefault="009A1AFE" w:rsidP="002F3D7E">
      <w:pPr>
        <w:rPr>
          <w:rFonts w:cs="Arial"/>
          <w:sz w:val="24"/>
        </w:rPr>
      </w:pPr>
    </w:p>
    <w:p w14:paraId="0958D5C9" w14:textId="77777777" w:rsidR="009A1AFE" w:rsidRDefault="009A1AFE" w:rsidP="002F3D7E">
      <w:pPr>
        <w:rPr>
          <w:rFonts w:cs="Arial"/>
          <w:sz w:val="24"/>
        </w:rPr>
      </w:pPr>
    </w:p>
    <w:p w14:paraId="300E4029" w14:textId="77777777" w:rsidR="009A1AFE" w:rsidRDefault="009A1AFE" w:rsidP="002F3D7E">
      <w:pPr>
        <w:rPr>
          <w:rFonts w:cs="Arial"/>
          <w:sz w:val="24"/>
        </w:rPr>
      </w:pPr>
    </w:p>
    <w:p w14:paraId="2DC02AF4" w14:textId="77777777" w:rsidR="00E91803" w:rsidRDefault="00E91803" w:rsidP="002F3D7E">
      <w:pPr>
        <w:rPr>
          <w:rFonts w:cs="Arial"/>
          <w:sz w:val="24"/>
        </w:rPr>
      </w:pPr>
    </w:p>
    <w:p w14:paraId="403CA61C" w14:textId="77777777" w:rsidR="00E91803" w:rsidRDefault="00E91803" w:rsidP="002F3D7E">
      <w:pPr>
        <w:rPr>
          <w:rFonts w:cs="Arial"/>
          <w:sz w:val="24"/>
        </w:rPr>
      </w:pPr>
    </w:p>
    <w:p w14:paraId="71BD6758" w14:textId="77777777" w:rsidR="00E91803" w:rsidRDefault="00E91803" w:rsidP="002F3D7E">
      <w:pPr>
        <w:rPr>
          <w:rFonts w:cs="Arial"/>
          <w:sz w:val="24"/>
        </w:rPr>
      </w:pPr>
    </w:p>
    <w:p w14:paraId="1DE4B2AF" w14:textId="77777777" w:rsidR="00A13675" w:rsidRDefault="00A13675" w:rsidP="00444BE1">
      <w:pPr>
        <w:rPr>
          <w:rFonts w:cs="Arial"/>
          <w:b/>
        </w:rPr>
      </w:pPr>
    </w:p>
    <w:p w14:paraId="0A329FBF" w14:textId="33303F8A" w:rsidR="00444BE1" w:rsidRDefault="004944C9" w:rsidP="00444BE1">
      <w:pPr>
        <w:rPr>
          <w:rFonts w:cs="Arial"/>
        </w:rPr>
      </w:pPr>
      <w:r>
        <w:rPr>
          <w:rFonts w:cs="Arial"/>
          <w:b/>
        </w:rPr>
        <w:lastRenderedPageBreak/>
        <w:t>Supplementary T</w:t>
      </w:r>
      <w:r w:rsidR="00444BE1" w:rsidRPr="0078629A">
        <w:rPr>
          <w:rFonts w:cs="Arial"/>
          <w:b/>
        </w:rPr>
        <w:t>able 1.</w:t>
      </w:r>
      <w:r w:rsidR="00444BE1">
        <w:rPr>
          <w:rFonts w:cs="Arial"/>
        </w:rPr>
        <w:t xml:space="preserve"> Sensitivity and specificity for </w:t>
      </w:r>
      <w:r w:rsidR="00444BE1" w:rsidRPr="000D75CD">
        <w:rPr>
          <w:rFonts w:cs="Arial"/>
          <w:i/>
        </w:rPr>
        <w:t>BRAF</w:t>
      </w:r>
      <w:r w:rsidR="00444BE1">
        <w:rPr>
          <w:rFonts w:cs="Arial"/>
        </w:rPr>
        <w:t xml:space="preserve">, </w:t>
      </w:r>
      <w:r w:rsidR="00444BE1" w:rsidRPr="000D75CD">
        <w:rPr>
          <w:rFonts w:cs="Arial"/>
          <w:i/>
        </w:rPr>
        <w:t>KRAS</w:t>
      </w:r>
      <w:r w:rsidR="00444BE1">
        <w:rPr>
          <w:rFonts w:cs="Arial"/>
        </w:rPr>
        <w:t xml:space="preserve">, and </w:t>
      </w:r>
      <w:r w:rsidR="00444BE1" w:rsidRPr="00DB3325">
        <w:rPr>
          <w:rFonts w:cs="Arial"/>
          <w:i/>
        </w:rPr>
        <w:t>EGFR</w:t>
      </w:r>
      <w:r w:rsidR="00E842D0">
        <w:rPr>
          <w:rFonts w:cs="Arial"/>
          <w:vertAlign w:val="superscript"/>
        </w:rPr>
        <w:t xml:space="preserve"> </w:t>
      </w:r>
      <w:r w:rsidR="00444BE1">
        <w:rPr>
          <w:rFonts w:cs="Arial"/>
        </w:rPr>
        <w:t xml:space="preserve">mutations testing of plasma </w:t>
      </w:r>
      <w:proofErr w:type="spellStart"/>
      <w:r w:rsidR="00444BE1">
        <w:rPr>
          <w:rFonts w:cs="Arial"/>
        </w:rPr>
        <w:t>exosomal</w:t>
      </w:r>
      <w:proofErr w:type="spellEnd"/>
      <w:r w:rsidR="00444BE1">
        <w:rPr>
          <w:rFonts w:cs="Arial"/>
        </w:rPr>
        <w:t xml:space="preserve"> </w:t>
      </w:r>
      <w:r w:rsidR="00E842D0">
        <w:rPr>
          <w:rFonts w:cs="Arial"/>
        </w:rPr>
        <w:t>nucleic acids</w:t>
      </w:r>
      <w:r w:rsidR="00444BE1">
        <w:rPr>
          <w:rFonts w:cs="Arial"/>
        </w:rPr>
        <w:t xml:space="preserve"> </w:t>
      </w:r>
      <w:r w:rsidR="00AF01FE">
        <w:rPr>
          <w:rFonts w:cs="Arial"/>
        </w:rPr>
        <w:t>and cell-free DNA (</w:t>
      </w:r>
      <w:proofErr w:type="spellStart"/>
      <w:r w:rsidR="00AF01FE">
        <w:rPr>
          <w:rFonts w:cs="Arial"/>
        </w:rPr>
        <w:t>exoNA</w:t>
      </w:r>
      <w:proofErr w:type="spellEnd"/>
      <w:r w:rsidR="00AF01FE">
        <w:rPr>
          <w:rFonts w:cs="Arial"/>
        </w:rPr>
        <w:t xml:space="preserve">) </w:t>
      </w:r>
      <w:r w:rsidR="00444BE1">
        <w:rPr>
          <w:rFonts w:cs="Arial"/>
        </w:rPr>
        <w:t xml:space="preserve">using the next-generation sequencing and plasma cell-free DNA using droplet digital PCR or </w:t>
      </w:r>
      <w:proofErr w:type="spellStart"/>
      <w:r w:rsidR="00444BE1">
        <w:rPr>
          <w:rFonts w:cs="Arial"/>
        </w:rPr>
        <w:t>BEAMing</w:t>
      </w:r>
      <w:proofErr w:type="spellEnd"/>
      <w:r w:rsidR="00444BE1">
        <w:rPr>
          <w:rFonts w:cs="Arial"/>
        </w:rPr>
        <w:t xml:space="preserve"> digital PCR.</w:t>
      </w:r>
    </w:p>
    <w:p w14:paraId="532710C4" w14:textId="77777777" w:rsidR="00444BE1" w:rsidRDefault="00444BE1" w:rsidP="00444BE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44BE1" w14:paraId="4AA5B90A" w14:textId="77777777" w:rsidTr="007916B6">
        <w:tc>
          <w:tcPr>
            <w:tcW w:w="2337" w:type="dxa"/>
          </w:tcPr>
          <w:p w14:paraId="1CBB19C1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</w:rPr>
              <w:t>Method</w:t>
            </w:r>
          </w:p>
        </w:tc>
        <w:tc>
          <w:tcPr>
            <w:tcW w:w="2338" w:type="dxa"/>
          </w:tcPr>
          <w:p w14:paraId="50D7BFD4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</w:rPr>
              <w:t>Mutations</w:t>
            </w:r>
          </w:p>
        </w:tc>
        <w:tc>
          <w:tcPr>
            <w:tcW w:w="2337" w:type="dxa"/>
          </w:tcPr>
          <w:p w14:paraId="7FE70320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</w:rPr>
              <w:t>Sensitivity % (95% confidence interval)</w:t>
            </w:r>
          </w:p>
        </w:tc>
        <w:tc>
          <w:tcPr>
            <w:tcW w:w="2338" w:type="dxa"/>
          </w:tcPr>
          <w:p w14:paraId="5C6FDE08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</w:rPr>
              <w:t>Specificity % (95% confidence interval)</w:t>
            </w:r>
          </w:p>
        </w:tc>
      </w:tr>
      <w:tr w:rsidR="00444BE1" w14:paraId="6666A7F8" w14:textId="77777777" w:rsidTr="007916B6">
        <w:tc>
          <w:tcPr>
            <w:tcW w:w="2337" w:type="dxa"/>
            <w:vMerge w:val="restart"/>
          </w:tcPr>
          <w:p w14:paraId="52B89032" w14:textId="5DEA7E40" w:rsidR="00444BE1" w:rsidRPr="00ED20AD" w:rsidRDefault="00AF01FE" w:rsidP="007916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NGS of </w:t>
            </w:r>
            <w:proofErr w:type="spellStart"/>
            <w:r>
              <w:rPr>
                <w:rFonts w:cs="Arial"/>
                <w:b/>
              </w:rPr>
              <w:t>exo</w:t>
            </w:r>
            <w:r w:rsidR="00444BE1" w:rsidRPr="00ED20AD">
              <w:rPr>
                <w:rFonts w:cs="Arial"/>
                <w:b/>
              </w:rPr>
              <w:t>NA</w:t>
            </w:r>
            <w:proofErr w:type="spellEnd"/>
          </w:p>
        </w:tc>
        <w:tc>
          <w:tcPr>
            <w:tcW w:w="2338" w:type="dxa"/>
          </w:tcPr>
          <w:p w14:paraId="0D80A6A8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  <w:i/>
              </w:rPr>
              <w:t>BRAF</w:t>
            </w:r>
            <w:r w:rsidRPr="00ED20AD">
              <w:rPr>
                <w:rFonts w:cs="Arial"/>
                <w:b/>
                <w:vertAlign w:val="superscript"/>
              </w:rPr>
              <w:t>V600</w:t>
            </w:r>
          </w:p>
        </w:tc>
        <w:tc>
          <w:tcPr>
            <w:tcW w:w="2337" w:type="dxa"/>
          </w:tcPr>
          <w:p w14:paraId="1B86425E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95% (75%-100%)</w:t>
            </w:r>
          </w:p>
        </w:tc>
        <w:tc>
          <w:tcPr>
            <w:tcW w:w="2338" w:type="dxa"/>
          </w:tcPr>
          <w:p w14:paraId="08ACC0A1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100% (85%-100%)</w:t>
            </w:r>
          </w:p>
        </w:tc>
      </w:tr>
      <w:tr w:rsidR="00444BE1" w14:paraId="4A861CD8" w14:textId="77777777" w:rsidTr="007916B6">
        <w:tc>
          <w:tcPr>
            <w:tcW w:w="2337" w:type="dxa"/>
            <w:vMerge/>
          </w:tcPr>
          <w:p w14:paraId="0B46B9E0" w14:textId="77777777" w:rsidR="00444BE1" w:rsidRPr="00ED20AD" w:rsidRDefault="00444BE1" w:rsidP="007916B6">
            <w:pPr>
              <w:rPr>
                <w:rFonts w:cs="Arial"/>
                <w:b/>
              </w:rPr>
            </w:pPr>
          </w:p>
        </w:tc>
        <w:tc>
          <w:tcPr>
            <w:tcW w:w="2338" w:type="dxa"/>
          </w:tcPr>
          <w:p w14:paraId="3355859E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  <w:i/>
              </w:rPr>
              <w:t>KRAS</w:t>
            </w:r>
            <w:r w:rsidRPr="00ED20AD">
              <w:rPr>
                <w:rFonts w:cs="Arial"/>
                <w:b/>
                <w:vertAlign w:val="superscript"/>
              </w:rPr>
              <w:t>G12/G13</w:t>
            </w:r>
          </w:p>
        </w:tc>
        <w:tc>
          <w:tcPr>
            <w:tcW w:w="2337" w:type="dxa"/>
          </w:tcPr>
          <w:p w14:paraId="72F3BD8F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100% (80%-100%)</w:t>
            </w:r>
          </w:p>
        </w:tc>
        <w:tc>
          <w:tcPr>
            <w:tcW w:w="2338" w:type="dxa"/>
          </w:tcPr>
          <w:p w14:paraId="0BBC1BE0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100% (87%-100%)</w:t>
            </w:r>
          </w:p>
        </w:tc>
      </w:tr>
      <w:tr w:rsidR="00444BE1" w14:paraId="1A2BCA9A" w14:textId="77777777" w:rsidTr="007916B6">
        <w:tc>
          <w:tcPr>
            <w:tcW w:w="2337" w:type="dxa"/>
            <w:vMerge/>
          </w:tcPr>
          <w:p w14:paraId="160D545A" w14:textId="77777777" w:rsidR="00444BE1" w:rsidRPr="00ED20AD" w:rsidRDefault="00444BE1" w:rsidP="007916B6">
            <w:pPr>
              <w:rPr>
                <w:rFonts w:cs="Arial"/>
                <w:b/>
              </w:rPr>
            </w:pPr>
          </w:p>
        </w:tc>
        <w:tc>
          <w:tcPr>
            <w:tcW w:w="2338" w:type="dxa"/>
          </w:tcPr>
          <w:p w14:paraId="1869B7EC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  <w:i/>
              </w:rPr>
              <w:t>EGFR</w:t>
            </w:r>
            <w:r w:rsidRPr="00ED20AD">
              <w:rPr>
                <w:rFonts w:cs="Arial"/>
                <w:b/>
                <w:vertAlign w:val="superscript"/>
              </w:rPr>
              <w:t>exon19del/L858R</w:t>
            </w:r>
          </w:p>
        </w:tc>
        <w:tc>
          <w:tcPr>
            <w:tcW w:w="2337" w:type="dxa"/>
          </w:tcPr>
          <w:p w14:paraId="2AC18731" w14:textId="7E8DFDD5" w:rsidR="00444BE1" w:rsidRPr="00BA0223" w:rsidRDefault="00E842D0" w:rsidP="00E842D0">
            <w:pPr>
              <w:rPr>
                <w:rFonts w:cs="Arial"/>
              </w:rPr>
            </w:pPr>
            <w:r>
              <w:rPr>
                <w:rFonts w:cs="Arial"/>
              </w:rPr>
              <w:t>75</w:t>
            </w:r>
            <w:r w:rsidR="00444BE1" w:rsidRPr="00BA0223">
              <w:rPr>
                <w:rFonts w:cs="Arial"/>
              </w:rPr>
              <w:t>% (</w:t>
            </w:r>
            <w:r>
              <w:rPr>
                <w:rFonts w:cs="Arial"/>
              </w:rPr>
              <w:t>19</w:t>
            </w:r>
            <w:r w:rsidR="00444BE1" w:rsidRPr="00BA0223">
              <w:rPr>
                <w:rFonts w:cs="Arial"/>
              </w:rPr>
              <w:t>%-9</w:t>
            </w:r>
            <w:r>
              <w:rPr>
                <w:rFonts w:cs="Arial"/>
              </w:rPr>
              <w:t>9</w:t>
            </w:r>
            <w:r w:rsidR="00444BE1" w:rsidRPr="00BA0223">
              <w:rPr>
                <w:rFonts w:cs="Arial"/>
              </w:rPr>
              <w:t>%)</w:t>
            </w:r>
          </w:p>
        </w:tc>
        <w:tc>
          <w:tcPr>
            <w:tcW w:w="2338" w:type="dxa"/>
          </w:tcPr>
          <w:p w14:paraId="5D6C2DF4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100% (91%-100%)</w:t>
            </w:r>
          </w:p>
        </w:tc>
      </w:tr>
      <w:tr w:rsidR="00444BE1" w14:paraId="31FB15FD" w14:textId="77777777" w:rsidTr="007916B6">
        <w:tc>
          <w:tcPr>
            <w:tcW w:w="2337" w:type="dxa"/>
            <w:vMerge w:val="restart"/>
          </w:tcPr>
          <w:p w14:paraId="1D082B12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</w:rPr>
              <w:t xml:space="preserve">Droplet digital PCR of </w:t>
            </w:r>
            <w:proofErr w:type="spellStart"/>
            <w:r w:rsidRPr="00ED20AD">
              <w:rPr>
                <w:rFonts w:cs="Arial"/>
                <w:b/>
              </w:rPr>
              <w:t>cfDNA</w:t>
            </w:r>
            <w:proofErr w:type="spellEnd"/>
            <w:r w:rsidRPr="00ED20AD">
              <w:rPr>
                <w:rFonts w:cs="Arial"/>
                <w:b/>
              </w:rPr>
              <w:t xml:space="preserve"> </w:t>
            </w:r>
          </w:p>
        </w:tc>
        <w:tc>
          <w:tcPr>
            <w:tcW w:w="2338" w:type="dxa"/>
          </w:tcPr>
          <w:p w14:paraId="5D69230F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  <w:i/>
              </w:rPr>
              <w:t>BRAF</w:t>
            </w:r>
            <w:r w:rsidRPr="00ED20AD">
              <w:rPr>
                <w:rFonts w:cs="Arial"/>
                <w:b/>
                <w:vertAlign w:val="superscript"/>
              </w:rPr>
              <w:t>V600</w:t>
            </w:r>
          </w:p>
        </w:tc>
        <w:tc>
          <w:tcPr>
            <w:tcW w:w="2337" w:type="dxa"/>
          </w:tcPr>
          <w:p w14:paraId="2572E844" w14:textId="77777777" w:rsidR="00444BE1" w:rsidRPr="00BA0223" w:rsidRDefault="00444BE1" w:rsidP="007916B6">
            <w:pPr>
              <w:rPr>
                <w:rFonts w:cs="Arial"/>
              </w:rPr>
            </w:pPr>
            <w:r w:rsidRPr="00BA0223">
              <w:rPr>
                <w:rFonts w:cs="Arial"/>
                <w:color w:val="000000"/>
              </w:rPr>
              <w:t>89% (67%-99%)</w:t>
            </w:r>
          </w:p>
        </w:tc>
        <w:tc>
          <w:tcPr>
            <w:tcW w:w="2338" w:type="dxa"/>
          </w:tcPr>
          <w:p w14:paraId="44454F2C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100% (85%-100%)</w:t>
            </w:r>
          </w:p>
        </w:tc>
      </w:tr>
      <w:tr w:rsidR="00444BE1" w14:paraId="2D3A40DF" w14:textId="77777777" w:rsidTr="007916B6">
        <w:tc>
          <w:tcPr>
            <w:tcW w:w="2337" w:type="dxa"/>
            <w:vMerge/>
          </w:tcPr>
          <w:p w14:paraId="08875DEF" w14:textId="77777777" w:rsidR="00444BE1" w:rsidRPr="00ED20AD" w:rsidRDefault="00444BE1" w:rsidP="007916B6">
            <w:pPr>
              <w:rPr>
                <w:rFonts w:cs="Arial"/>
                <w:b/>
              </w:rPr>
            </w:pPr>
          </w:p>
        </w:tc>
        <w:tc>
          <w:tcPr>
            <w:tcW w:w="2338" w:type="dxa"/>
          </w:tcPr>
          <w:p w14:paraId="4C2B5731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  <w:i/>
              </w:rPr>
              <w:t>KRAS</w:t>
            </w:r>
            <w:r w:rsidRPr="00ED20AD">
              <w:rPr>
                <w:rFonts w:cs="Arial"/>
                <w:b/>
                <w:vertAlign w:val="superscript"/>
              </w:rPr>
              <w:t>G12/G13</w:t>
            </w:r>
          </w:p>
        </w:tc>
        <w:tc>
          <w:tcPr>
            <w:tcW w:w="2337" w:type="dxa"/>
          </w:tcPr>
          <w:p w14:paraId="35BCC393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95% (80</w:t>
            </w:r>
            <w:r w:rsidRPr="000D75CD">
              <w:rPr>
                <w:rFonts w:cs="Arial"/>
              </w:rPr>
              <w:t>%-100%</w:t>
            </w:r>
            <w:r>
              <w:rPr>
                <w:rFonts w:cs="Arial"/>
              </w:rPr>
              <w:t>)</w:t>
            </w:r>
          </w:p>
        </w:tc>
        <w:tc>
          <w:tcPr>
            <w:tcW w:w="2338" w:type="dxa"/>
          </w:tcPr>
          <w:p w14:paraId="25A7B0E6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96% (79%-100%)</w:t>
            </w:r>
          </w:p>
        </w:tc>
      </w:tr>
      <w:tr w:rsidR="00444BE1" w14:paraId="212AD72A" w14:textId="77777777" w:rsidTr="007916B6">
        <w:tc>
          <w:tcPr>
            <w:tcW w:w="2337" w:type="dxa"/>
            <w:vMerge/>
          </w:tcPr>
          <w:p w14:paraId="2ED77245" w14:textId="77777777" w:rsidR="00444BE1" w:rsidRPr="00ED20AD" w:rsidRDefault="00444BE1" w:rsidP="007916B6">
            <w:pPr>
              <w:rPr>
                <w:rFonts w:cs="Arial"/>
                <w:b/>
              </w:rPr>
            </w:pPr>
          </w:p>
        </w:tc>
        <w:tc>
          <w:tcPr>
            <w:tcW w:w="2338" w:type="dxa"/>
          </w:tcPr>
          <w:p w14:paraId="1A4790F1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  <w:i/>
              </w:rPr>
              <w:t>EGFR</w:t>
            </w:r>
            <w:r w:rsidRPr="00ED20AD">
              <w:rPr>
                <w:rFonts w:cs="Arial"/>
                <w:b/>
                <w:vertAlign w:val="superscript"/>
              </w:rPr>
              <w:t>exon19del/L858R</w:t>
            </w:r>
          </w:p>
        </w:tc>
        <w:tc>
          <w:tcPr>
            <w:tcW w:w="2337" w:type="dxa"/>
          </w:tcPr>
          <w:p w14:paraId="46903927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67</w:t>
            </w:r>
            <w:r w:rsidRPr="000D75CD">
              <w:rPr>
                <w:rFonts w:cs="Arial"/>
              </w:rPr>
              <w:t>%</w:t>
            </w:r>
            <w:r>
              <w:rPr>
                <w:rFonts w:cs="Arial"/>
              </w:rPr>
              <w:t xml:space="preserve"> (9</w:t>
            </w:r>
            <w:r w:rsidRPr="000D75CD">
              <w:rPr>
                <w:rFonts w:cs="Arial"/>
              </w:rPr>
              <w:t>%-</w:t>
            </w:r>
            <w:r>
              <w:rPr>
                <w:rFonts w:cs="Arial"/>
              </w:rPr>
              <w:t>99</w:t>
            </w:r>
            <w:r w:rsidRPr="000D75CD">
              <w:rPr>
                <w:rFonts w:cs="Arial"/>
              </w:rPr>
              <w:t>%</w:t>
            </w:r>
            <w:r>
              <w:rPr>
                <w:rFonts w:cs="Arial"/>
              </w:rPr>
              <w:t>)</w:t>
            </w:r>
          </w:p>
        </w:tc>
        <w:tc>
          <w:tcPr>
            <w:tcW w:w="2338" w:type="dxa"/>
          </w:tcPr>
          <w:p w14:paraId="25ED7193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100% (90%-100%)</w:t>
            </w:r>
          </w:p>
        </w:tc>
      </w:tr>
      <w:tr w:rsidR="00444BE1" w14:paraId="2A2B8D39" w14:textId="77777777" w:rsidTr="007916B6">
        <w:tc>
          <w:tcPr>
            <w:tcW w:w="2337" w:type="dxa"/>
            <w:vMerge w:val="restart"/>
          </w:tcPr>
          <w:p w14:paraId="038D3A08" w14:textId="77777777" w:rsidR="00444BE1" w:rsidRPr="00ED20AD" w:rsidRDefault="00444BE1" w:rsidP="007916B6">
            <w:pPr>
              <w:rPr>
                <w:rFonts w:cs="Arial"/>
                <w:b/>
              </w:rPr>
            </w:pPr>
            <w:proofErr w:type="spellStart"/>
            <w:r w:rsidRPr="00ED20AD">
              <w:rPr>
                <w:rFonts w:cs="Arial"/>
                <w:b/>
              </w:rPr>
              <w:t>BEAMing</w:t>
            </w:r>
            <w:proofErr w:type="spellEnd"/>
            <w:r w:rsidRPr="00ED20AD">
              <w:rPr>
                <w:rFonts w:cs="Arial"/>
                <w:b/>
              </w:rPr>
              <w:t xml:space="preserve"> digital PCR of </w:t>
            </w:r>
            <w:proofErr w:type="spellStart"/>
            <w:r w:rsidRPr="00ED20AD">
              <w:rPr>
                <w:rFonts w:cs="Arial"/>
                <w:b/>
              </w:rPr>
              <w:t>cfDNA</w:t>
            </w:r>
            <w:proofErr w:type="spellEnd"/>
            <w:r w:rsidRPr="00ED20AD">
              <w:rPr>
                <w:rFonts w:cs="Arial"/>
                <w:b/>
              </w:rPr>
              <w:t xml:space="preserve"> </w:t>
            </w:r>
          </w:p>
        </w:tc>
        <w:tc>
          <w:tcPr>
            <w:tcW w:w="2338" w:type="dxa"/>
          </w:tcPr>
          <w:p w14:paraId="5BF7FB3A" w14:textId="77777777" w:rsidR="00444BE1" w:rsidRPr="00ED20AD" w:rsidRDefault="00444BE1" w:rsidP="007916B6">
            <w:pPr>
              <w:rPr>
                <w:rFonts w:cs="Arial"/>
                <w:b/>
              </w:rPr>
            </w:pPr>
            <w:r w:rsidRPr="00ED20AD">
              <w:rPr>
                <w:rFonts w:cs="Arial"/>
                <w:b/>
                <w:i/>
              </w:rPr>
              <w:t>BRAF</w:t>
            </w:r>
            <w:r w:rsidRPr="00ED20AD">
              <w:rPr>
                <w:rFonts w:cs="Arial"/>
                <w:b/>
                <w:vertAlign w:val="superscript"/>
              </w:rPr>
              <w:t>V600</w:t>
            </w:r>
          </w:p>
        </w:tc>
        <w:tc>
          <w:tcPr>
            <w:tcW w:w="2337" w:type="dxa"/>
          </w:tcPr>
          <w:p w14:paraId="536DD45C" w14:textId="77777777" w:rsidR="00444BE1" w:rsidRPr="00ED20AD" w:rsidRDefault="00444BE1" w:rsidP="007916B6">
            <w:pPr>
              <w:rPr>
                <w:rFonts w:cs="Arial"/>
              </w:rPr>
            </w:pPr>
            <w:r w:rsidRPr="00ED20AD">
              <w:rPr>
                <w:rFonts w:cs="Arial"/>
                <w:color w:val="000000"/>
              </w:rPr>
              <w:t>93% (66%-100%)</w:t>
            </w:r>
          </w:p>
        </w:tc>
        <w:tc>
          <w:tcPr>
            <w:tcW w:w="2338" w:type="dxa"/>
          </w:tcPr>
          <w:p w14:paraId="3778A3AA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96% (78%-100%)</w:t>
            </w:r>
          </w:p>
        </w:tc>
      </w:tr>
      <w:tr w:rsidR="00444BE1" w14:paraId="546CC660" w14:textId="77777777" w:rsidTr="007916B6">
        <w:tc>
          <w:tcPr>
            <w:tcW w:w="2337" w:type="dxa"/>
            <w:vMerge/>
          </w:tcPr>
          <w:p w14:paraId="63D57CBA" w14:textId="77777777" w:rsidR="00444BE1" w:rsidRDefault="00444BE1" w:rsidP="007916B6">
            <w:pPr>
              <w:rPr>
                <w:rFonts w:cs="Arial"/>
              </w:rPr>
            </w:pPr>
          </w:p>
        </w:tc>
        <w:tc>
          <w:tcPr>
            <w:tcW w:w="2338" w:type="dxa"/>
          </w:tcPr>
          <w:p w14:paraId="101ECE2E" w14:textId="77777777" w:rsidR="00444BE1" w:rsidRPr="00ED20AD" w:rsidRDefault="00444BE1" w:rsidP="007916B6">
            <w:pPr>
              <w:rPr>
                <w:rFonts w:cs="Arial"/>
                <w:b/>
                <w:i/>
              </w:rPr>
            </w:pPr>
            <w:r w:rsidRPr="00ED20AD">
              <w:rPr>
                <w:rFonts w:cs="Arial"/>
                <w:b/>
                <w:i/>
              </w:rPr>
              <w:t>KRAS</w:t>
            </w:r>
            <w:r w:rsidRPr="00ED20AD">
              <w:rPr>
                <w:rFonts w:cs="Arial"/>
                <w:b/>
                <w:vertAlign w:val="superscript"/>
              </w:rPr>
              <w:t>G12/G13</w:t>
            </w:r>
          </w:p>
        </w:tc>
        <w:tc>
          <w:tcPr>
            <w:tcW w:w="2337" w:type="dxa"/>
          </w:tcPr>
          <w:p w14:paraId="08D86FB0" w14:textId="77777777" w:rsidR="00444BE1" w:rsidRPr="00ED20AD" w:rsidRDefault="00444BE1" w:rsidP="007916B6">
            <w:pPr>
              <w:rPr>
                <w:rFonts w:cs="Arial"/>
              </w:rPr>
            </w:pPr>
            <w:r w:rsidRPr="00ED20AD">
              <w:rPr>
                <w:rFonts w:cs="Arial"/>
              </w:rPr>
              <w:t>100% (80%-100%)</w:t>
            </w:r>
          </w:p>
        </w:tc>
        <w:tc>
          <w:tcPr>
            <w:tcW w:w="2338" w:type="dxa"/>
          </w:tcPr>
          <w:p w14:paraId="72417685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85% (62%-97%)</w:t>
            </w:r>
          </w:p>
        </w:tc>
      </w:tr>
      <w:tr w:rsidR="00444BE1" w14:paraId="098C612E" w14:textId="77777777" w:rsidTr="007916B6">
        <w:tc>
          <w:tcPr>
            <w:tcW w:w="2337" w:type="dxa"/>
            <w:vMerge/>
          </w:tcPr>
          <w:p w14:paraId="6C0326AA" w14:textId="77777777" w:rsidR="00444BE1" w:rsidRDefault="00444BE1" w:rsidP="007916B6">
            <w:pPr>
              <w:rPr>
                <w:rFonts w:cs="Arial"/>
              </w:rPr>
            </w:pPr>
          </w:p>
        </w:tc>
        <w:tc>
          <w:tcPr>
            <w:tcW w:w="2338" w:type="dxa"/>
          </w:tcPr>
          <w:p w14:paraId="4FEF4723" w14:textId="77777777" w:rsidR="00444BE1" w:rsidRPr="00ED20AD" w:rsidRDefault="00444BE1" w:rsidP="007916B6">
            <w:pPr>
              <w:rPr>
                <w:rFonts w:cs="Arial"/>
                <w:b/>
                <w:i/>
              </w:rPr>
            </w:pPr>
            <w:r w:rsidRPr="00ED20AD">
              <w:rPr>
                <w:rFonts w:cs="Arial"/>
                <w:b/>
                <w:i/>
              </w:rPr>
              <w:t>EGFR</w:t>
            </w:r>
            <w:r w:rsidRPr="00ED20AD">
              <w:rPr>
                <w:rFonts w:cs="Arial"/>
                <w:b/>
                <w:vertAlign w:val="superscript"/>
              </w:rPr>
              <w:t>exon19del/L858R</w:t>
            </w:r>
          </w:p>
        </w:tc>
        <w:tc>
          <w:tcPr>
            <w:tcW w:w="2337" w:type="dxa"/>
          </w:tcPr>
          <w:p w14:paraId="2988DB77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Pr="000D75CD">
              <w:rPr>
                <w:rFonts w:cs="Arial"/>
              </w:rPr>
              <w:t>%</w:t>
            </w:r>
            <w:r>
              <w:rPr>
                <w:rFonts w:cs="Arial"/>
              </w:rPr>
              <w:t xml:space="preserve"> (40</w:t>
            </w:r>
            <w:r w:rsidRPr="000D75CD">
              <w:rPr>
                <w:rFonts w:cs="Arial"/>
              </w:rPr>
              <w:t>%-</w:t>
            </w:r>
            <w:r>
              <w:rPr>
                <w:rFonts w:cs="Arial"/>
              </w:rPr>
              <w:t>100</w:t>
            </w:r>
            <w:r w:rsidRPr="000D75CD">
              <w:rPr>
                <w:rFonts w:cs="Arial"/>
              </w:rPr>
              <w:t>%</w:t>
            </w:r>
            <w:r>
              <w:rPr>
                <w:rFonts w:cs="Arial"/>
              </w:rPr>
              <w:t>)</w:t>
            </w:r>
          </w:p>
        </w:tc>
        <w:tc>
          <w:tcPr>
            <w:tcW w:w="2338" w:type="dxa"/>
          </w:tcPr>
          <w:p w14:paraId="02581E3B" w14:textId="77777777" w:rsidR="00444BE1" w:rsidRDefault="00444BE1" w:rsidP="007916B6">
            <w:pPr>
              <w:rPr>
                <w:rFonts w:cs="Arial"/>
              </w:rPr>
            </w:pPr>
            <w:r>
              <w:rPr>
                <w:rFonts w:cs="Arial"/>
              </w:rPr>
              <w:t>100% (88%-100%)</w:t>
            </w:r>
          </w:p>
        </w:tc>
      </w:tr>
    </w:tbl>
    <w:p w14:paraId="6978C77A" w14:textId="77777777" w:rsidR="00444BE1" w:rsidRPr="00A13B80" w:rsidRDefault="00444BE1" w:rsidP="00444BE1">
      <w:pPr>
        <w:rPr>
          <w:rFonts w:cs="Arial"/>
        </w:rPr>
      </w:pPr>
      <w:r>
        <w:rPr>
          <w:rFonts w:cs="Arial"/>
        </w:rPr>
        <w:t xml:space="preserve"> </w:t>
      </w:r>
    </w:p>
    <w:p w14:paraId="598972C5" w14:textId="77777777" w:rsidR="00444BE1" w:rsidRDefault="00444BE1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 w:val="24"/>
        </w:rPr>
      </w:pPr>
    </w:p>
    <w:p w14:paraId="0904C9DC" w14:textId="77777777" w:rsidR="00444BE1" w:rsidRDefault="00444BE1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 w:val="24"/>
        </w:rPr>
      </w:pPr>
    </w:p>
    <w:p w14:paraId="17C0ABAE" w14:textId="77777777" w:rsidR="00444BE1" w:rsidRDefault="00444BE1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 w:val="24"/>
        </w:rPr>
      </w:pPr>
    </w:p>
    <w:p w14:paraId="5586F2E0" w14:textId="77777777" w:rsidR="00444BE1" w:rsidRDefault="00444BE1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 w:val="24"/>
        </w:rPr>
      </w:pPr>
    </w:p>
    <w:p w14:paraId="35204BD9" w14:textId="77777777" w:rsidR="00444BE1" w:rsidRDefault="00444BE1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 w:val="24"/>
        </w:rPr>
      </w:pPr>
    </w:p>
    <w:p w14:paraId="330AA0D2" w14:textId="77777777" w:rsidR="00444BE1" w:rsidRDefault="00444BE1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 w:val="24"/>
        </w:rPr>
      </w:pPr>
    </w:p>
    <w:p w14:paraId="39C85BBA" w14:textId="77777777" w:rsidR="00444BE1" w:rsidRDefault="00444BE1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 w:val="24"/>
        </w:rPr>
      </w:pPr>
    </w:p>
    <w:p w14:paraId="5673B454" w14:textId="77777777" w:rsidR="00444BE1" w:rsidRDefault="00444BE1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 w:val="24"/>
        </w:rPr>
      </w:pPr>
    </w:p>
    <w:p w14:paraId="2FD9D87A" w14:textId="77777777" w:rsidR="00444BE1" w:rsidRDefault="00444BE1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 w:val="24"/>
        </w:rPr>
      </w:pPr>
    </w:p>
    <w:p w14:paraId="5352919E" w14:textId="77777777" w:rsidR="009A1AFE" w:rsidRPr="00A13675" w:rsidRDefault="009A1AFE" w:rsidP="009A1AFE">
      <w:pPr>
        <w:tabs>
          <w:tab w:val="clear" w:pos="-1440"/>
        </w:tabs>
        <w:autoSpaceDE/>
        <w:autoSpaceDN/>
        <w:adjustRightInd/>
        <w:rPr>
          <w:rFonts w:cs="Times New Roman"/>
          <w:b/>
          <w:caps/>
          <w:szCs w:val="22"/>
        </w:rPr>
      </w:pPr>
      <w:r w:rsidRPr="00A13675">
        <w:rPr>
          <w:rFonts w:cs="Times New Roman"/>
          <w:b/>
          <w:caps/>
          <w:szCs w:val="22"/>
        </w:rPr>
        <w:lastRenderedPageBreak/>
        <w:t>Supplementary FIGURE</w:t>
      </w:r>
      <w:r w:rsidR="00444BE1" w:rsidRPr="00A13675">
        <w:rPr>
          <w:rFonts w:cs="Times New Roman"/>
          <w:b/>
          <w:caps/>
          <w:szCs w:val="22"/>
        </w:rPr>
        <w:t xml:space="preserve"> LEGEND</w:t>
      </w:r>
    </w:p>
    <w:p w14:paraId="2E0A1E96" w14:textId="79FC2A92" w:rsidR="00A13675" w:rsidRDefault="009A1AFE" w:rsidP="00E91803">
      <w:pPr>
        <w:rPr>
          <w:b/>
          <w:sz w:val="24"/>
        </w:rPr>
      </w:pPr>
      <w:r w:rsidRPr="00A13675">
        <w:rPr>
          <w:b/>
          <w:szCs w:val="22"/>
        </w:rPr>
        <w:t>Supplementary Fig</w:t>
      </w:r>
      <w:r w:rsidR="00A13675">
        <w:rPr>
          <w:b/>
          <w:szCs w:val="22"/>
        </w:rPr>
        <w:t>.</w:t>
      </w:r>
      <w:r w:rsidRPr="00A13675">
        <w:rPr>
          <w:b/>
          <w:szCs w:val="22"/>
        </w:rPr>
        <w:t xml:space="preserve"> 1. </w:t>
      </w:r>
      <w:r w:rsidR="00A13675" w:rsidRPr="00A13675">
        <w:rPr>
          <w:rFonts w:cs="Arial"/>
          <w:b/>
          <w:bCs/>
          <w:color w:val="000000" w:themeColor="text1"/>
          <w:kern w:val="24"/>
          <w:szCs w:val="22"/>
        </w:rPr>
        <w:t xml:space="preserve">Isolation of exosomes by spin-column purification (A) </w:t>
      </w:r>
      <w:r w:rsidR="00A13675" w:rsidRPr="00A13675">
        <w:rPr>
          <w:rFonts w:cs="Arial"/>
          <w:color w:val="000000" w:themeColor="text1"/>
          <w:kern w:val="24"/>
          <w:szCs w:val="22"/>
        </w:rPr>
        <w:t xml:space="preserve">Exosomes bound to the </w:t>
      </w:r>
      <w:proofErr w:type="spellStart"/>
      <w:r w:rsidR="00A13675" w:rsidRPr="00A13675">
        <w:rPr>
          <w:rFonts w:cs="Arial"/>
          <w:color w:val="000000" w:themeColor="text1"/>
          <w:kern w:val="24"/>
          <w:szCs w:val="22"/>
        </w:rPr>
        <w:t>ExoLution</w:t>
      </w:r>
      <w:proofErr w:type="spellEnd"/>
      <w:r w:rsidR="00A13675" w:rsidRPr="00A13675">
        <w:rPr>
          <w:rFonts w:cs="Arial"/>
          <w:color w:val="000000" w:themeColor="text1"/>
          <w:kern w:val="24"/>
          <w:szCs w:val="22"/>
        </w:rPr>
        <w:t xml:space="preserve">™ column were lysed and analyzed by Western Blot for the </w:t>
      </w:r>
      <w:proofErr w:type="spellStart"/>
      <w:r w:rsidR="00A13675" w:rsidRPr="00A13675">
        <w:rPr>
          <w:rFonts w:cs="Arial"/>
          <w:color w:val="000000" w:themeColor="text1"/>
          <w:kern w:val="24"/>
          <w:szCs w:val="22"/>
        </w:rPr>
        <w:t>exosomal</w:t>
      </w:r>
      <w:proofErr w:type="spellEnd"/>
      <w:r w:rsidR="00A13675" w:rsidRPr="00A13675">
        <w:rPr>
          <w:rFonts w:cs="Arial"/>
          <w:color w:val="000000" w:themeColor="text1"/>
          <w:kern w:val="24"/>
          <w:szCs w:val="22"/>
        </w:rPr>
        <w:t xml:space="preserve"> markers FLOT1 and TSG101 and the cellular marker </w:t>
      </w:r>
      <w:proofErr w:type="spellStart"/>
      <w:r w:rsidR="00A13675" w:rsidRPr="00A13675">
        <w:rPr>
          <w:rFonts w:cs="Arial"/>
          <w:color w:val="000000" w:themeColor="text1"/>
          <w:kern w:val="24"/>
          <w:szCs w:val="22"/>
        </w:rPr>
        <w:t>Calnexin</w:t>
      </w:r>
      <w:proofErr w:type="spellEnd"/>
      <w:r w:rsidR="00A13675" w:rsidRPr="00A13675">
        <w:rPr>
          <w:rFonts w:cs="Arial"/>
          <w:color w:val="000000" w:themeColor="text1"/>
          <w:kern w:val="24"/>
          <w:szCs w:val="22"/>
        </w:rPr>
        <w:t xml:space="preserve">. Samples were isolated from 0.5, 1 and 2 mL of two plasma pools and from exosome-depleted plasma as an internal control </w:t>
      </w:r>
      <w:r w:rsidR="00A13675" w:rsidRPr="00A13675">
        <w:rPr>
          <w:rFonts w:cs="Arial"/>
          <w:b/>
          <w:bCs/>
          <w:color w:val="000000" w:themeColor="text1"/>
          <w:kern w:val="24"/>
          <w:szCs w:val="22"/>
        </w:rPr>
        <w:t>(B)</w:t>
      </w:r>
      <w:r w:rsidR="00A13675" w:rsidRPr="00A13675">
        <w:rPr>
          <w:rFonts w:cs="Arial"/>
          <w:color w:val="000000" w:themeColor="text1"/>
          <w:kern w:val="24"/>
          <w:szCs w:val="22"/>
        </w:rPr>
        <w:t xml:space="preserve">. Protein extracts from 2 mL of plasma pool #1 and 2 mL of exosome-depleted plasma pool #2 were run alongside the samples presented in A but exposed only to mice and rabbit secondary antibodies to reveal a single unspecific band at 150 </w:t>
      </w:r>
      <w:proofErr w:type="spellStart"/>
      <w:r w:rsidR="00A13675" w:rsidRPr="00A13675">
        <w:rPr>
          <w:rFonts w:cs="Arial"/>
          <w:color w:val="000000" w:themeColor="text1"/>
          <w:kern w:val="24"/>
          <w:szCs w:val="22"/>
        </w:rPr>
        <w:t>kDa</w:t>
      </w:r>
      <w:proofErr w:type="spellEnd"/>
      <w:r w:rsidR="00A13675" w:rsidRPr="00A13675">
        <w:rPr>
          <w:rFonts w:cs="Arial"/>
          <w:color w:val="000000" w:themeColor="text1"/>
          <w:kern w:val="24"/>
          <w:szCs w:val="22"/>
        </w:rPr>
        <w:t>.</w:t>
      </w:r>
      <w:r w:rsidR="00A13675" w:rsidRPr="00A13675">
        <w:rPr>
          <w:rFonts w:cs="Arial"/>
          <w:color w:val="00B0F0"/>
          <w:kern w:val="24"/>
          <w:szCs w:val="22"/>
        </w:rPr>
        <w:t xml:space="preserve"> </w:t>
      </w:r>
      <w:r w:rsidR="00A13675" w:rsidRPr="00A13675">
        <w:rPr>
          <w:rFonts w:cs="Arial"/>
          <w:b/>
          <w:bCs/>
          <w:color w:val="000000" w:themeColor="text1"/>
          <w:kern w:val="24"/>
          <w:szCs w:val="22"/>
        </w:rPr>
        <w:t xml:space="preserve">(C) </w:t>
      </w:r>
      <w:r w:rsidR="00A13675" w:rsidRPr="00A13675">
        <w:rPr>
          <w:rFonts w:cs="Arial"/>
          <w:color w:val="000000" w:themeColor="text1"/>
          <w:kern w:val="24"/>
          <w:szCs w:val="22"/>
        </w:rPr>
        <w:t xml:space="preserve">Scanning electron microscopy using 8190x magnification show plasma vesicles eluted from the </w:t>
      </w:r>
      <w:proofErr w:type="spellStart"/>
      <w:r w:rsidR="00A13675" w:rsidRPr="00A13675">
        <w:rPr>
          <w:rFonts w:cs="Arial"/>
          <w:color w:val="000000" w:themeColor="text1"/>
          <w:kern w:val="24"/>
          <w:szCs w:val="22"/>
        </w:rPr>
        <w:t>ExoLution</w:t>
      </w:r>
      <w:proofErr w:type="spellEnd"/>
      <w:r w:rsidR="00A13675" w:rsidRPr="00A13675">
        <w:rPr>
          <w:rFonts w:cs="Arial"/>
          <w:color w:val="000000" w:themeColor="text1"/>
          <w:kern w:val="24"/>
          <w:szCs w:val="22"/>
        </w:rPr>
        <w:t xml:space="preserve">™ column. The scale bar depicts 1 µm and white arrows point out 50-200 nm structures identified as exosomes or other extracellular vesicles. </w:t>
      </w:r>
      <w:r w:rsidR="00A13675" w:rsidRPr="00A13675">
        <w:rPr>
          <w:rFonts w:cs="Arial"/>
          <w:b/>
          <w:bCs/>
          <w:color w:val="000000" w:themeColor="text1"/>
          <w:kern w:val="24"/>
          <w:szCs w:val="22"/>
        </w:rPr>
        <w:t xml:space="preserve">(D) </w:t>
      </w:r>
      <w:r w:rsidR="00A13675" w:rsidRPr="00A13675">
        <w:rPr>
          <w:rFonts w:cs="Arial"/>
          <w:color w:val="000000" w:themeColor="text1"/>
          <w:kern w:val="24"/>
          <w:szCs w:val="22"/>
        </w:rPr>
        <w:t xml:space="preserve">Representative nanoparticle tracking analysis of plasma vesicles eluted from an </w:t>
      </w:r>
      <w:proofErr w:type="spellStart"/>
      <w:r w:rsidR="00A13675" w:rsidRPr="00A13675">
        <w:rPr>
          <w:rFonts w:cs="Arial"/>
          <w:color w:val="000000" w:themeColor="text1"/>
          <w:kern w:val="24"/>
          <w:szCs w:val="22"/>
        </w:rPr>
        <w:t>ExoLution</w:t>
      </w:r>
      <w:proofErr w:type="spellEnd"/>
      <w:r w:rsidR="00A13675" w:rsidRPr="00A13675">
        <w:rPr>
          <w:rFonts w:cs="Arial"/>
          <w:color w:val="000000" w:themeColor="text1"/>
          <w:kern w:val="24"/>
          <w:szCs w:val="22"/>
        </w:rPr>
        <w:t>™ column (</w:t>
      </w:r>
      <w:proofErr w:type="spellStart"/>
      <w:r w:rsidR="00A13675" w:rsidRPr="00A13675">
        <w:rPr>
          <w:rFonts w:cs="Arial"/>
          <w:color w:val="000000" w:themeColor="text1"/>
          <w:kern w:val="24"/>
          <w:szCs w:val="22"/>
        </w:rPr>
        <w:t>NanoSight</w:t>
      </w:r>
      <w:proofErr w:type="spellEnd"/>
      <w:r w:rsidR="00A13675" w:rsidRPr="00A13675">
        <w:rPr>
          <w:rFonts w:cs="Arial"/>
          <w:color w:val="000000" w:themeColor="text1"/>
          <w:kern w:val="24"/>
          <w:szCs w:val="22"/>
        </w:rPr>
        <w:t xml:space="preserve"> LM10). Red bars indicate +/- 1 standard error of mean from three measurements of the same sample, resulting in the above values for particle count and maximum peak size. Using eluted vesicles from 4 independent plasma samples, we detected an average of 6.0 x 10^10 +/- 16% particles per mL with an average maximum peak size (mode) of 180.6 +/- 7% nm.</w:t>
      </w:r>
    </w:p>
    <w:p w14:paraId="34DDA7CB" w14:textId="77777777" w:rsidR="00A13675" w:rsidRDefault="00A13675" w:rsidP="00E91803">
      <w:pPr>
        <w:rPr>
          <w:b/>
          <w:sz w:val="24"/>
        </w:rPr>
      </w:pPr>
    </w:p>
    <w:p w14:paraId="21A93750" w14:textId="59FA1647" w:rsidR="00E91803" w:rsidRPr="00A13675" w:rsidRDefault="00A13675" w:rsidP="00E91803">
      <w:pPr>
        <w:rPr>
          <w:b/>
          <w:sz w:val="24"/>
        </w:rPr>
      </w:pPr>
      <w:r w:rsidRPr="00A13675">
        <w:rPr>
          <w:b/>
          <w:szCs w:val="22"/>
        </w:rPr>
        <w:t>Supplementary Fig</w:t>
      </w:r>
      <w:r>
        <w:rPr>
          <w:b/>
          <w:szCs w:val="22"/>
        </w:rPr>
        <w:t>.</w:t>
      </w:r>
      <w:r w:rsidRPr="00A13675">
        <w:rPr>
          <w:b/>
          <w:szCs w:val="22"/>
        </w:rPr>
        <w:t xml:space="preserve"> </w:t>
      </w:r>
      <w:r>
        <w:rPr>
          <w:b/>
          <w:szCs w:val="22"/>
        </w:rPr>
        <w:t>2</w:t>
      </w:r>
      <w:r w:rsidRPr="00A13675">
        <w:rPr>
          <w:b/>
          <w:szCs w:val="22"/>
        </w:rPr>
        <w:t>.</w:t>
      </w:r>
      <w:r>
        <w:rPr>
          <w:b/>
          <w:sz w:val="24"/>
        </w:rPr>
        <w:t xml:space="preserve"> </w:t>
      </w:r>
      <w:r w:rsidR="00AF01FE" w:rsidRPr="00A13675">
        <w:rPr>
          <w:szCs w:val="22"/>
        </w:rPr>
        <w:t xml:space="preserve">The median survival time of 25 </w:t>
      </w:r>
      <w:r w:rsidR="00AF01FE" w:rsidRPr="00A13675">
        <w:rPr>
          <w:rFonts w:cs="Arial"/>
          <w:szCs w:val="22"/>
        </w:rPr>
        <w:t xml:space="preserve">patients </w:t>
      </w:r>
      <w:r w:rsidR="00AF01FE" w:rsidRPr="00A13675">
        <w:rPr>
          <w:rFonts w:cs="Arial"/>
          <w:color w:val="000000"/>
          <w:szCs w:val="22"/>
        </w:rPr>
        <w:t xml:space="preserve">with RMH scores of 0 or 1 (dashed blue line; 8.4 months; 95% CI, 6.0–10.8 months) was significantly longer than that of 18 patients with RMH scores of 2 or 3 (red line; 6.0 months; 95% CI, 2.3–9.7 months; </w:t>
      </w:r>
      <w:r w:rsidR="00AF01FE" w:rsidRPr="00A13675">
        <w:rPr>
          <w:rFonts w:cs="Arial"/>
          <w:i/>
          <w:iCs/>
          <w:color w:val="000000"/>
          <w:szCs w:val="22"/>
        </w:rPr>
        <w:t>P</w:t>
      </w:r>
      <w:r w:rsidR="00AF01FE" w:rsidRPr="00A13675">
        <w:rPr>
          <w:rFonts w:cs="Arial"/>
          <w:color w:val="000000"/>
          <w:szCs w:val="22"/>
        </w:rPr>
        <w:t>=0.017).</w:t>
      </w:r>
    </w:p>
    <w:p w14:paraId="73BBB487" w14:textId="77777777" w:rsidR="00444BE1" w:rsidRDefault="00444BE1" w:rsidP="00E91803">
      <w:pPr>
        <w:rPr>
          <w:rFonts w:cs="Arial"/>
          <w:color w:val="000000"/>
          <w:szCs w:val="22"/>
        </w:rPr>
      </w:pPr>
    </w:p>
    <w:p w14:paraId="03098F4A" w14:textId="77777777" w:rsidR="00444BE1" w:rsidRDefault="00444BE1" w:rsidP="00E91803">
      <w:pPr>
        <w:rPr>
          <w:rFonts w:cs="Arial"/>
          <w:color w:val="000000"/>
          <w:szCs w:val="22"/>
        </w:rPr>
      </w:pPr>
    </w:p>
    <w:p w14:paraId="20CAC142" w14:textId="77777777" w:rsidR="00E91803" w:rsidRDefault="00E91803" w:rsidP="00E91803">
      <w:pPr>
        <w:rPr>
          <w:rFonts w:cs="Arial"/>
          <w:color w:val="000000"/>
          <w:szCs w:val="22"/>
        </w:rPr>
      </w:pPr>
    </w:p>
    <w:p w14:paraId="1D64BD60" w14:textId="77777777" w:rsidR="00E91803" w:rsidRPr="0056146F" w:rsidRDefault="00E91803" w:rsidP="00E91803">
      <w:pPr>
        <w:rPr>
          <w:rFonts w:cs="Arial"/>
        </w:rPr>
      </w:pPr>
    </w:p>
    <w:p w14:paraId="3CC1BF6D" w14:textId="77777777" w:rsidR="00C47ADC" w:rsidRPr="0056146F" w:rsidRDefault="00C47ADC" w:rsidP="009A1AFE">
      <w:pPr>
        <w:rPr>
          <w:rFonts w:cs="Arial"/>
        </w:rPr>
      </w:pPr>
    </w:p>
    <w:sectPr w:rsidR="00C47ADC" w:rsidRPr="0056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08771266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6F"/>
    <w:rsid w:val="000C65C5"/>
    <w:rsid w:val="002F3D7E"/>
    <w:rsid w:val="00444BE1"/>
    <w:rsid w:val="004944C9"/>
    <w:rsid w:val="0056146F"/>
    <w:rsid w:val="009A1AFE"/>
    <w:rsid w:val="00A13675"/>
    <w:rsid w:val="00AA5038"/>
    <w:rsid w:val="00AF01FE"/>
    <w:rsid w:val="00B520B0"/>
    <w:rsid w:val="00C47ADC"/>
    <w:rsid w:val="00CD5DF3"/>
    <w:rsid w:val="00E842D0"/>
    <w:rsid w:val="00E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5A66F"/>
  <w15:docId w15:val="{4057F3E3-357C-40CD-9F3D-35CD7600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7E"/>
    <w:pPr>
      <w:tabs>
        <w:tab w:val="left" w:pos="-1440"/>
      </w:tabs>
      <w:autoSpaceDE w:val="0"/>
      <w:autoSpaceDN w:val="0"/>
      <w:adjustRightInd w:val="0"/>
      <w:spacing w:after="0" w:line="480" w:lineRule="auto"/>
    </w:pPr>
    <w:rPr>
      <w:rFonts w:ascii="Arial" w:eastAsia="Calibri" w:hAnsi="Arial" w:cs="AdvTT087712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1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03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03"/>
    <w:rPr>
      <w:rFonts w:ascii="Arial" w:eastAsia="Calibri" w:hAnsi="Arial" w:cs="AdvTT08771266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803"/>
    <w:rPr>
      <w:rFonts w:ascii="Arial" w:eastAsia="Calibri" w:hAnsi="Arial" w:cs="AdvTT08771266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0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03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Janku,Filip</dc:creator>
  <cp:keywords/>
  <dc:description/>
  <cp:lastModifiedBy>Janku,Filip</cp:lastModifiedBy>
  <cp:revision>9</cp:revision>
  <dcterms:created xsi:type="dcterms:W3CDTF">2017-05-13T02:28:00Z</dcterms:created>
  <dcterms:modified xsi:type="dcterms:W3CDTF">2017-09-13T03:46:00Z</dcterms:modified>
</cp:coreProperties>
</file>