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57D1" w14:textId="77777777" w:rsidR="00E369D5" w:rsidRPr="00C0734F" w:rsidRDefault="00E369D5" w:rsidP="00E369D5">
      <w:pPr>
        <w:spacing w:line="480" w:lineRule="auto"/>
        <w:rPr>
          <w:b/>
        </w:rPr>
      </w:pPr>
      <w:r w:rsidRPr="00C0734F">
        <w:rPr>
          <w:b/>
        </w:rPr>
        <w:t>SUPPLEMENTARY TABLES :</w:t>
      </w:r>
    </w:p>
    <w:p w14:paraId="4D61B741" w14:textId="77777777" w:rsidR="00E369D5" w:rsidRPr="00C0734F" w:rsidRDefault="00E369D5" w:rsidP="00E369D5">
      <w:pPr>
        <w:pStyle w:val="normal0"/>
        <w:spacing w:line="480" w:lineRule="auto"/>
        <w:jc w:val="both"/>
        <w:rPr>
          <w:b/>
          <w:lang w:val="en-US"/>
        </w:rPr>
      </w:pPr>
    </w:p>
    <w:p w14:paraId="38C019A5" w14:textId="77777777" w:rsidR="00E369D5" w:rsidRPr="00C0734F" w:rsidRDefault="00E369D5" w:rsidP="00E369D5">
      <w:pPr>
        <w:pStyle w:val="normal0"/>
        <w:spacing w:line="480" w:lineRule="auto"/>
        <w:jc w:val="both"/>
      </w:pPr>
      <w:r w:rsidRPr="00C0734F">
        <w:rPr>
          <w:b/>
          <w:lang w:val="en-US"/>
        </w:rPr>
        <w:t xml:space="preserve">TABLE S1: </w:t>
      </w:r>
      <w:r w:rsidRPr="00C0734F">
        <w:t xml:space="preserve">Overall survival estimates (landmark survival analysis) </w:t>
      </w:r>
    </w:p>
    <w:p w14:paraId="3CA4B166" w14:textId="77777777" w:rsidR="00E369D5" w:rsidRPr="00C0734F" w:rsidRDefault="00E369D5" w:rsidP="00E369D5">
      <w:pPr>
        <w:pStyle w:val="normal0"/>
        <w:spacing w:line="480" w:lineRule="auto"/>
        <w:jc w:val="both"/>
        <w:rPr>
          <w:lang w:val="en-US"/>
        </w:rPr>
      </w:pPr>
      <w:r w:rsidRPr="00C0734F">
        <w:rPr>
          <w:lang w:val="en-US"/>
        </w:rPr>
        <w:t>*HPD adapted RECIST classes:  complete response (CR), partial response  (PR) and stable disease (SD) remained as defined by RECIST 1.1. Regarding progressive disease patients, these were allocated to PD non-HPD and to HPD. HPD patients are defined as progressive disease (PD) by RECIST 1.1 at the first evaluation and an increase ≥ two-fold in the TGR EXPERIMENTAL compared to REFERENCE period.</w:t>
      </w:r>
    </w:p>
    <w:p w14:paraId="15366375" w14:textId="77777777" w:rsidR="00E369D5" w:rsidRPr="00C0734F" w:rsidRDefault="00E369D5" w:rsidP="00E369D5">
      <w:pPr>
        <w:pStyle w:val="normal0"/>
        <w:spacing w:line="480" w:lineRule="auto"/>
        <w:jc w:val="both"/>
      </w:pPr>
    </w:p>
    <w:p w14:paraId="62924B54" w14:textId="7C300636" w:rsidR="00E369D5" w:rsidRPr="00C0734F" w:rsidRDefault="00E369D5" w:rsidP="00E369D5">
      <w:pPr>
        <w:pStyle w:val="normal0"/>
        <w:spacing w:line="480" w:lineRule="auto"/>
        <w:jc w:val="both"/>
        <w:rPr>
          <w:lang w:val="en-US"/>
        </w:rPr>
      </w:pPr>
      <w:r w:rsidRPr="00C0734F">
        <w:rPr>
          <w:b/>
          <w:lang w:val="en-US"/>
        </w:rPr>
        <w:t xml:space="preserve">TABLE </w:t>
      </w:r>
      <w:r w:rsidR="00FF2737">
        <w:rPr>
          <w:b/>
          <w:lang w:val="en-US"/>
        </w:rPr>
        <w:t>S</w:t>
      </w:r>
      <w:bookmarkStart w:id="0" w:name="_GoBack"/>
      <w:bookmarkEnd w:id="0"/>
      <w:r w:rsidRPr="00C0734F">
        <w:rPr>
          <w:b/>
          <w:lang w:val="en-US"/>
        </w:rPr>
        <w:t xml:space="preserve">2: </w:t>
      </w:r>
      <w:r w:rsidRPr="00C0734F">
        <w:rPr>
          <w:highlight w:val="white"/>
          <w:lang w:val="en-US"/>
        </w:rPr>
        <w:t xml:space="preserve">Multivariate Cox regression analysis of the overall survival according to RMH prognostic score and HPD adapted RECIST classes (landmark analysis). Practically, patients with SD, PD and HPD lead 4.9, 16.5 and 25.9 fold increase in the death the death hazard compared to patients with CR-PR, respectively. </w:t>
      </w:r>
    </w:p>
    <w:p w14:paraId="2160CED4" w14:textId="77777777" w:rsidR="00E369D5" w:rsidRPr="00C0734F" w:rsidRDefault="00E369D5" w:rsidP="00E369D5">
      <w:pPr>
        <w:pStyle w:val="normal0"/>
        <w:spacing w:line="480" w:lineRule="auto"/>
        <w:jc w:val="both"/>
        <w:rPr>
          <w:lang w:val="en-US"/>
        </w:rPr>
      </w:pPr>
      <w:r w:rsidRPr="00C0734F">
        <w:rPr>
          <w:highlight w:val="white"/>
          <w:lang w:val="en-US"/>
        </w:rPr>
        <w:tab/>
      </w:r>
    </w:p>
    <w:p w14:paraId="19EB516B" w14:textId="77777777" w:rsidR="00E369D5" w:rsidRPr="00C0734F" w:rsidRDefault="00E369D5" w:rsidP="00E369D5">
      <w:pPr>
        <w:pStyle w:val="normal0"/>
        <w:spacing w:line="480" w:lineRule="auto"/>
        <w:jc w:val="both"/>
        <w:rPr>
          <w:lang w:val="en-US"/>
        </w:rPr>
      </w:pPr>
      <w:r w:rsidRPr="00C0734F">
        <w:rPr>
          <w:lang w:val="en-US"/>
        </w:rPr>
        <w:t>*HPD adapted RECIST classes:  complete response (CR), partial response  (PR) and stable disease (SD) remained as defined by RECIST 1.1. Regarding progressive disease patients, these were allocated to PD non-HPD and to HPD. HPD patients are defined as progressive disease (PD) by RECIST 1.1 at the first evaluation and an increase ≥ two-fold in the TGR EXPERIMENTAL compared to REFERENCE period.</w:t>
      </w:r>
    </w:p>
    <w:p w14:paraId="739F2466" w14:textId="77777777" w:rsidR="00E369D5" w:rsidRPr="00C0734F" w:rsidRDefault="00E369D5" w:rsidP="00E369D5">
      <w:pPr>
        <w:pStyle w:val="normal0"/>
        <w:spacing w:line="480" w:lineRule="auto"/>
        <w:jc w:val="both"/>
        <w:rPr>
          <w:b/>
          <w:lang w:val="en-US"/>
        </w:rPr>
      </w:pPr>
    </w:p>
    <w:p w14:paraId="3B44558A" w14:textId="77777777" w:rsidR="00E369D5" w:rsidRPr="00C0734F" w:rsidRDefault="00E369D5" w:rsidP="00E369D5">
      <w:pPr>
        <w:spacing w:line="480" w:lineRule="auto"/>
        <w:rPr>
          <w:b/>
        </w:rPr>
      </w:pPr>
      <w:r w:rsidRPr="00C0734F">
        <w:rPr>
          <w:b/>
        </w:rPr>
        <w:t xml:space="preserve">TABLE S3 : </w:t>
      </w:r>
      <w:r w:rsidRPr="00C0734F">
        <w:t>Multivariate linear regression model evaluating the association between tumor response (RECIST, %)  and the following variables : age &gt; 65 y.o. (yes/no), TGR REFERENCE and the Royal Marsden Prognostic score High (2-3) vs Low (1-2)</w:t>
      </w:r>
    </w:p>
    <w:p w14:paraId="47926BF8" w14:textId="77777777" w:rsidR="00E369D5" w:rsidRPr="00C0734F" w:rsidRDefault="00E369D5" w:rsidP="00E369D5">
      <w:pPr>
        <w:pStyle w:val="normal0"/>
        <w:spacing w:line="480" w:lineRule="auto"/>
        <w:jc w:val="both"/>
      </w:pPr>
    </w:p>
    <w:p w14:paraId="5744E4F4" w14:textId="77777777" w:rsidR="00E369D5" w:rsidRPr="00C0734F" w:rsidRDefault="00E369D5" w:rsidP="00E369D5">
      <w:pPr>
        <w:pStyle w:val="normal0"/>
        <w:spacing w:line="480" w:lineRule="auto"/>
        <w:jc w:val="both"/>
      </w:pPr>
      <w:r w:rsidRPr="00C0734F">
        <w:t>* To be clinically meaningful, estimates are computed for 10% variation in TGR</w:t>
      </w:r>
    </w:p>
    <w:p w14:paraId="09105902" w14:textId="77777777" w:rsidR="00E369D5" w:rsidRPr="002D3E77" w:rsidRDefault="00E369D5" w:rsidP="00E369D5">
      <w:pPr>
        <w:pStyle w:val="normal0"/>
        <w:spacing w:line="480" w:lineRule="auto"/>
        <w:jc w:val="both"/>
        <w:rPr>
          <w:lang w:val="en-US"/>
        </w:rPr>
      </w:pPr>
      <w:r w:rsidRPr="002D3E77">
        <w:rPr>
          <w:b/>
          <w:lang w:val="en-US"/>
        </w:rPr>
        <w:lastRenderedPageBreak/>
        <w:t>SUPPLEMENTARY FIGURES :</w:t>
      </w:r>
    </w:p>
    <w:p w14:paraId="3DD84541" w14:textId="6672CB9B" w:rsidR="0035096A" w:rsidRPr="002D3E77" w:rsidRDefault="00F44347" w:rsidP="0035096A">
      <w:pPr>
        <w:pStyle w:val="normal0"/>
        <w:spacing w:line="480" w:lineRule="auto"/>
        <w:jc w:val="both"/>
        <w:rPr>
          <w:b/>
          <w:lang w:val="en-US"/>
        </w:rPr>
      </w:pPr>
      <w:r w:rsidRPr="002D3E77">
        <w:rPr>
          <w:b/>
          <w:lang w:val="en-US"/>
        </w:rPr>
        <w:t xml:space="preserve">Figure S1 A: </w:t>
      </w:r>
      <w:r w:rsidR="0035096A" w:rsidRPr="002D3E77">
        <w:rPr>
          <w:b/>
          <w:lang w:val="en-US"/>
        </w:rPr>
        <w:t>Distribution of the TGR</w:t>
      </w:r>
      <w:r w:rsidR="00435DA2">
        <w:rPr>
          <w:b/>
          <w:lang w:val="en-US"/>
        </w:rPr>
        <w:t xml:space="preserve"> EXPERIMENTAL/TGR REFERENCE</w:t>
      </w:r>
      <w:r w:rsidR="0035096A" w:rsidRPr="002D3E77">
        <w:rPr>
          <w:b/>
          <w:lang w:val="en-US"/>
        </w:rPr>
        <w:t xml:space="preserve"> ratio for HPD patients</w:t>
      </w:r>
      <w:r w:rsidR="0035096A" w:rsidRPr="002D3E77">
        <w:rPr>
          <w:lang w:val="en-US"/>
        </w:rPr>
        <w:t xml:space="preserve"> (as defined as PD estimated by the RECIST sum and TGR ratio ≥ 2). The red dashed line represents the threshold of TGR=2 fold.</w:t>
      </w:r>
      <w:r w:rsidR="0035096A" w:rsidRPr="002D3E77">
        <w:rPr>
          <w:b/>
          <w:lang w:val="en-US"/>
        </w:rPr>
        <w:t xml:space="preserve"> </w:t>
      </w:r>
    </w:p>
    <w:p w14:paraId="5CF9DF6F" w14:textId="77777777" w:rsidR="00435DA2" w:rsidRDefault="00435DA2" w:rsidP="00E369D5">
      <w:pPr>
        <w:pStyle w:val="normal0"/>
        <w:spacing w:line="480" w:lineRule="auto"/>
        <w:jc w:val="both"/>
        <w:rPr>
          <w:lang w:val="en-US"/>
        </w:rPr>
      </w:pPr>
    </w:p>
    <w:p w14:paraId="073673C9" w14:textId="77777777" w:rsidR="00E369D5" w:rsidRDefault="00E369D5" w:rsidP="00E369D5">
      <w:pPr>
        <w:pStyle w:val="normal0"/>
        <w:spacing w:line="480" w:lineRule="auto"/>
        <w:jc w:val="both"/>
        <w:rPr>
          <w:b/>
          <w:lang w:val="en-US"/>
        </w:rPr>
      </w:pPr>
      <w:r>
        <w:rPr>
          <w:b/>
          <w:lang w:val="en-US"/>
        </w:rPr>
        <w:t>Figure S1</w:t>
      </w:r>
      <w:r w:rsidR="00F44347">
        <w:rPr>
          <w:b/>
          <w:lang w:val="en-US"/>
        </w:rPr>
        <w:t xml:space="preserve"> B-F</w:t>
      </w:r>
      <w:r w:rsidRPr="000C3C67">
        <w:rPr>
          <w:b/>
          <w:lang w:val="en-US"/>
        </w:rPr>
        <w:t>: Association between HPD and anatomo-clinical variables</w:t>
      </w:r>
    </w:p>
    <w:p w14:paraId="4F049EE4" w14:textId="77777777" w:rsidR="00E369D5" w:rsidRPr="00E75956" w:rsidRDefault="00F44347" w:rsidP="00E369D5">
      <w:pPr>
        <w:pStyle w:val="normal0"/>
        <w:spacing w:line="480" w:lineRule="auto"/>
        <w:jc w:val="both"/>
        <w:rPr>
          <w:lang w:val="en-US"/>
        </w:rPr>
      </w:pPr>
      <w:r>
        <w:rPr>
          <w:b/>
          <w:lang w:val="en-US"/>
        </w:rPr>
        <w:t>(B</w:t>
      </w:r>
      <w:r w:rsidR="00E369D5">
        <w:rPr>
          <w:b/>
          <w:lang w:val="en-US"/>
        </w:rPr>
        <w:t xml:space="preserve">) </w:t>
      </w:r>
      <w:r w:rsidR="00E369D5" w:rsidRPr="000C3C67">
        <w:rPr>
          <w:b/>
          <w:lang w:val="en-US"/>
        </w:rPr>
        <w:t>Patterns of progression at the first tumor evaluation (N=49)</w:t>
      </w:r>
      <w:r w:rsidR="00E369D5">
        <w:rPr>
          <w:b/>
          <w:lang w:val="en-US"/>
        </w:rPr>
        <w:t>:</w:t>
      </w:r>
      <w:r w:rsidR="00E369D5">
        <w:rPr>
          <w:lang w:val="en-US"/>
        </w:rPr>
        <w:t xml:space="preserve"> </w:t>
      </w:r>
      <w:r w:rsidR="00E369D5" w:rsidRPr="000C3C67">
        <w:rPr>
          <w:lang w:val="en-US"/>
        </w:rPr>
        <w:t xml:space="preserve">Among </w:t>
      </w:r>
      <w:r w:rsidR="00E369D5" w:rsidRPr="00E75956">
        <w:rPr>
          <w:lang w:val="en-US"/>
        </w:rPr>
        <w:t>patients with progressive disease by RECIST at the first evaluation, HPD patients exhibited a lower rate of new lesions than non-HPD progressing patients.</w:t>
      </w:r>
    </w:p>
    <w:p w14:paraId="7F50657E" w14:textId="77777777" w:rsidR="00E369D5" w:rsidRPr="00E75956" w:rsidRDefault="00F44347" w:rsidP="00E369D5">
      <w:pPr>
        <w:pStyle w:val="normal0"/>
        <w:spacing w:line="480" w:lineRule="auto"/>
        <w:jc w:val="both"/>
        <w:rPr>
          <w:lang w:val="en-US"/>
        </w:rPr>
      </w:pPr>
      <w:r>
        <w:rPr>
          <w:b/>
          <w:lang w:val="en-US"/>
        </w:rPr>
        <w:t>(C</w:t>
      </w:r>
      <w:r w:rsidR="00E369D5" w:rsidRPr="00E75956">
        <w:rPr>
          <w:b/>
          <w:lang w:val="en-US"/>
        </w:rPr>
        <w:t xml:space="preserve">) </w:t>
      </w:r>
      <w:r w:rsidR="00E369D5" w:rsidRPr="00E75956">
        <w:rPr>
          <w:lang w:val="en-US"/>
        </w:rPr>
        <w:t>Distribution of the tumor burden at baseline (estimated by the RECIST sum) across the HPD (N=12) and the non-HPD patients (N=119)</w:t>
      </w:r>
    </w:p>
    <w:p w14:paraId="4A529CB7" w14:textId="77777777" w:rsidR="00E369D5" w:rsidRDefault="00F44347" w:rsidP="00E369D5">
      <w:pPr>
        <w:pStyle w:val="normal0"/>
        <w:spacing w:line="480" w:lineRule="auto"/>
        <w:jc w:val="both"/>
        <w:rPr>
          <w:lang w:val="en-US"/>
        </w:rPr>
      </w:pPr>
      <w:r>
        <w:rPr>
          <w:b/>
          <w:lang w:val="en-US"/>
        </w:rPr>
        <w:t>(D</w:t>
      </w:r>
      <w:r w:rsidR="00E369D5" w:rsidRPr="00E75956">
        <w:rPr>
          <w:b/>
          <w:lang w:val="en-US"/>
        </w:rPr>
        <w:t>)</w:t>
      </w:r>
      <w:r w:rsidR="00E369D5">
        <w:rPr>
          <w:lang w:val="en-US"/>
        </w:rPr>
        <w:t xml:space="preserve"> Frequencies of the HPD patients among the different categories of </w:t>
      </w:r>
      <w:r w:rsidR="00E369D5" w:rsidRPr="00E75956">
        <w:rPr>
          <w:lang w:val="en-US"/>
        </w:rPr>
        <w:t xml:space="preserve">Royal Marsden Hospital (RMH) prognostic score </w:t>
      </w:r>
    </w:p>
    <w:p w14:paraId="5E5301C1" w14:textId="77777777" w:rsidR="00E369D5" w:rsidRPr="00E75956" w:rsidRDefault="00F44347" w:rsidP="00E369D5">
      <w:pPr>
        <w:pStyle w:val="normal0"/>
        <w:spacing w:line="480" w:lineRule="auto"/>
        <w:jc w:val="both"/>
        <w:rPr>
          <w:lang w:val="en-US"/>
        </w:rPr>
      </w:pPr>
      <w:r>
        <w:rPr>
          <w:b/>
          <w:lang w:val="en-US"/>
        </w:rPr>
        <w:t>(</w:t>
      </w:r>
      <w:r w:rsidR="00E369D5" w:rsidRPr="00E75956">
        <w:rPr>
          <w:b/>
          <w:lang w:val="en-US"/>
        </w:rPr>
        <w:t>E</w:t>
      </w:r>
      <w:r>
        <w:rPr>
          <w:b/>
          <w:lang w:val="en-US"/>
        </w:rPr>
        <w:t>-F</w:t>
      </w:r>
      <w:r w:rsidR="00E369D5" w:rsidRPr="00E75956">
        <w:rPr>
          <w:b/>
          <w:lang w:val="en-US"/>
        </w:rPr>
        <w:t xml:space="preserve">) </w:t>
      </w:r>
      <w:r w:rsidR="00E369D5" w:rsidRPr="00E75956">
        <w:rPr>
          <w:lang w:val="en-US"/>
        </w:rPr>
        <w:t>Distribution of the lymphocytes (D) or LDH baseline level (E), across the HPD (N=12) and the non-HPD patients (N=119)</w:t>
      </w:r>
    </w:p>
    <w:p w14:paraId="31772AD2" w14:textId="77777777" w:rsidR="00C671F0" w:rsidRDefault="00C671F0"/>
    <w:sectPr w:rsidR="00C671F0" w:rsidSect="00C671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D5"/>
    <w:rsid w:val="00014AD9"/>
    <w:rsid w:val="001C3FF3"/>
    <w:rsid w:val="002D3E77"/>
    <w:rsid w:val="0035096A"/>
    <w:rsid w:val="00435DA2"/>
    <w:rsid w:val="006352AD"/>
    <w:rsid w:val="00C671F0"/>
    <w:rsid w:val="00D6771A"/>
    <w:rsid w:val="00E369D5"/>
    <w:rsid w:val="00F44347"/>
    <w:rsid w:val="00F8419A"/>
    <w:rsid w:val="00FB7C0F"/>
    <w:rsid w:val="00FF2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A9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D5"/>
    <w:rPr>
      <w:rFonts w:eastAsia="Arial" w:cs="Arial"/>
      <w:color w:val="000000"/>
      <w:lang w:val="fr-FR"/>
    </w:rPr>
  </w:style>
  <w:style w:type="paragraph" w:styleId="Titre1">
    <w:name w:val="heading 1"/>
    <w:basedOn w:val="Normal"/>
    <w:next w:val="Normal"/>
    <w:link w:val="Titre1Car"/>
    <w:autoRedefine/>
    <w:uiPriority w:val="9"/>
    <w:qFormat/>
    <w:rsid w:val="001C3FF3"/>
    <w:pPr>
      <w:keepNext/>
      <w:keepLines/>
      <w:spacing w:before="480"/>
      <w:outlineLvl w:val="0"/>
    </w:pPr>
    <w:rPr>
      <w:rFonts w:eastAsiaTheme="majorEastAsia" w:cstheme="majorBidi"/>
      <w:b/>
      <w:bCs/>
      <w:color w:val="345A8A" w:themeColor="accent1" w:themeShade="B5"/>
      <w:szCs w:val="32"/>
    </w:rPr>
  </w:style>
  <w:style w:type="paragraph" w:styleId="Titre2">
    <w:name w:val="heading 2"/>
    <w:basedOn w:val="Normal"/>
    <w:next w:val="Normal"/>
    <w:link w:val="Titre2Car"/>
    <w:autoRedefine/>
    <w:uiPriority w:val="9"/>
    <w:unhideWhenUsed/>
    <w:qFormat/>
    <w:rsid w:val="001C3FF3"/>
    <w:pPr>
      <w:keepNext/>
      <w:keepLines/>
      <w:jc w:val="center"/>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
    <w:name w:val="Titre A"/>
    <w:basedOn w:val="Normal"/>
    <w:next w:val="Normal"/>
    <w:autoRedefine/>
    <w:qFormat/>
    <w:rsid w:val="001C3FF3"/>
    <w:pPr>
      <w:jc w:val="center"/>
    </w:pPr>
    <w:rPr>
      <w:rFonts w:eastAsiaTheme="minorEastAsia" w:cs="Times New Roman"/>
      <w:b/>
      <w:color w:val="000000" w:themeColor="text1"/>
    </w:rPr>
  </w:style>
  <w:style w:type="paragraph" w:customStyle="1" w:styleId="TitreB">
    <w:name w:val="Titre B"/>
    <w:basedOn w:val="Normal"/>
    <w:autoRedefine/>
    <w:qFormat/>
    <w:rsid w:val="001C3FF3"/>
    <w:pPr>
      <w:jc w:val="center"/>
    </w:pPr>
    <w:rPr>
      <w:rFonts w:eastAsiaTheme="minorEastAsia" w:cs="Times New Roman"/>
      <w:color w:val="auto"/>
      <w:sz w:val="56"/>
      <w:szCs w:val="56"/>
    </w:rPr>
  </w:style>
  <w:style w:type="character" w:customStyle="1" w:styleId="Titre1Car">
    <w:name w:val="Titre 1 Car"/>
    <w:basedOn w:val="Policepardfaut"/>
    <w:link w:val="Titre1"/>
    <w:uiPriority w:val="9"/>
    <w:rsid w:val="001C3FF3"/>
    <w:rPr>
      <w:rFonts w:eastAsiaTheme="majorEastAsia" w:cstheme="majorBidi"/>
      <w:b/>
      <w:bCs/>
      <w:color w:val="345A8A" w:themeColor="accent1" w:themeShade="B5"/>
      <w:szCs w:val="32"/>
      <w:lang w:val="fr-FR"/>
    </w:rPr>
  </w:style>
  <w:style w:type="character" w:customStyle="1" w:styleId="Titre2Car">
    <w:name w:val="Titre 2 Car"/>
    <w:basedOn w:val="Policepardfaut"/>
    <w:link w:val="Titre2"/>
    <w:uiPriority w:val="9"/>
    <w:rsid w:val="001C3FF3"/>
    <w:rPr>
      <w:rFonts w:eastAsiaTheme="majorEastAsia" w:cstheme="majorBidi"/>
      <w:b/>
      <w:bCs/>
      <w:color w:val="000000" w:themeColor="text1"/>
      <w:szCs w:val="26"/>
      <w:lang w:val="fr-FR"/>
    </w:rPr>
  </w:style>
  <w:style w:type="paragraph" w:customStyle="1" w:styleId="normal0">
    <w:name w:val="normal"/>
    <w:rsid w:val="00E369D5"/>
    <w:rPr>
      <w:rFonts w:eastAsia="Arial" w:cs="Arial"/>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D5"/>
    <w:rPr>
      <w:rFonts w:eastAsia="Arial" w:cs="Arial"/>
      <w:color w:val="000000"/>
      <w:lang w:val="fr-FR"/>
    </w:rPr>
  </w:style>
  <w:style w:type="paragraph" w:styleId="Titre1">
    <w:name w:val="heading 1"/>
    <w:basedOn w:val="Normal"/>
    <w:next w:val="Normal"/>
    <w:link w:val="Titre1Car"/>
    <w:autoRedefine/>
    <w:uiPriority w:val="9"/>
    <w:qFormat/>
    <w:rsid w:val="001C3FF3"/>
    <w:pPr>
      <w:keepNext/>
      <w:keepLines/>
      <w:spacing w:before="480"/>
      <w:outlineLvl w:val="0"/>
    </w:pPr>
    <w:rPr>
      <w:rFonts w:eastAsiaTheme="majorEastAsia" w:cstheme="majorBidi"/>
      <w:b/>
      <w:bCs/>
      <w:color w:val="345A8A" w:themeColor="accent1" w:themeShade="B5"/>
      <w:szCs w:val="32"/>
    </w:rPr>
  </w:style>
  <w:style w:type="paragraph" w:styleId="Titre2">
    <w:name w:val="heading 2"/>
    <w:basedOn w:val="Normal"/>
    <w:next w:val="Normal"/>
    <w:link w:val="Titre2Car"/>
    <w:autoRedefine/>
    <w:uiPriority w:val="9"/>
    <w:unhideWhenUsed/>
    <w:qFormat/>
    <w:rsid w:val="001C3FF3"/>
    <w:pPr>
      <w:keepNext/>
      <w:keepLines/>
      <w:jc w:val="center"/>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
    <w:name w:val="Titre A"/>
    <w:basedOn w:val="Normal"/>
    <w:next w:val="Normal"/>
    <w:autoRedefine/>
    <w:qFormat/>
    <w:rsid w:val="001C3FF3"/>
    <w:pPr>
      <w:jc w:val="center"/>
    </w:pPr>
    <w:rPr>
      <w:rFonts w:eastAsiaTheme="minorEastAsia" w:cs="Times New Roman"/>
      <w:b/>
      <w:color w:val="000000" w:themeColor="text1"/>
    </w:rPr>
  </w:style>
  <w:style w:type="paragraph" w:customStyle="1" w:styleId="TitreB">
    <w:name w:val="Titre B"/>
    <w:basedOn w:val="Normal"/>
    <w:autoRedefine/>
    <w:qFormat/>
    <w:rsid w:val="001C3FF3"/>
    <w:pPr>
      <w:jc w:val="center"/>
    </w:pPr>
    <w:rPr>
      <w:rFonts w:eastAsiaTheme="minorEastAsia" w:cs="Times New Roman"/>
      <w:color w:val="auto"/>
      <w:sz w:val="56"/>
      <w:szCs w:val="56"/>
    </w:rPr>
  </w:style>
  <w:style w:type="character" w:customStyle="1" w:styleId="Titre1Car">
    <w:name w:val="Titre 1 Car"/>
    <w:basedOn w:val="Policepardfaut"/>
    <w:link w:val="Titre1"/>
    <w:uiPriority w:val="9"/>
    <w:rsid w:val="001C3FF3"/>
    <w:rPr>
      <w:rFonts w:eastAsiaTheme="majorEastAsia" w:cstheme="majorBidi"/>
      <w:b/>
      <w:bCs/>
      <w:color w:val="345A8A" w:themeColor="accent1" w:themeShade="B5"/>
      <w:szCs w:val="32"/>
      <w:lang w:val="fr-FR"/>
    </w:rPr>
  </w:style>
  <w:style w:type="character" w:customStyle="1" w:styleId="Titre2Car">
    <w:name w:val="Titre 2 Car"/>
    <w:basedOn w:val="Policepardfaut"/>
    <w:link w:val="Titre2"/>
    <w:uiPriority w:val="9"/>
    <w:rsid w:val="001C3FF3"/>
    <w:rPr>
      <w:rFonts w:eastAsiaTheme="majorEastAsia" w:cstheme="majorBidi"/>
      <w:b/>
      <w:bCs/>
      <w:color w:val="000000" w:themeColor="text1"/>
      <w:szCs w:val="26"/>
      <w:lang w:val="fr-FR"/>
    </w:rPr>
  </w:style>
  <w:style w:type="paragraph" w:customStyle="1" w:styleId="normal0">
    <w:name w:val="normal"/>
    <w:rsid w:val="00E369D5"/>
    <w:rPr>
      <w:rFonts w:eastAsia="Arial" w:cs="Arial"/>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2932">
      <w:bodyDiv w:val="1"/>
      <w:marLeft w:val="0"/>
      <w:marRight w:val="0"/>
      <w:marTop w:val="0"/>
      <w:marBottom w:val="0"/>
      <w:divBdr>
        <w:top w:val="none" w:sz="0" w:space="0" w:color="auto"/>
        <w:left w:val="none" w:sz="0" w:space="0" w:color="auto"/>
        <w:bottom w:val="none" w:sz="0" w:space="0" w:color="auto"/>
        <w:right w:val="none" w:sz="0" w:space="0" w:color="auto"/>
      </w:divBdr>
    </w:div>
    <w:div w:id="2108235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374</Words>
  <Characters>2060</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Champiat</dc:creator>
  <cp:keywords/>
  <dc:description/>
  <cp:lastModifiedBy>Stéphane Champiat</cp:lastModifiedBy>
  <cp:revision>6</cp:revision>
  <dcterms:created xsi:type="dcterms:W3CDTF">2016-07-12T21:28:00Z</dcterms:created>
  <dcterms:modified xsi:type="dcterms:W3CDTF">2016-09-26T07:15:00Z</dcterms:modified>
</cp:coreProperties>
</file>