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305C1" w14:textId="77777777" w:rsidR="00D94AB5" w:rsidRPr="00C44715" w:rsidRDefault="00D94AB5" w:rsidP="00D94AB5">
      <w:pPr>
        <w:pStyle w:val="Paragraph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C44715">
        <w:rPr>
          <w:rFonts w:ascii="Arial" w:hAnsi="Arial" w:cs="Arial"/>
          <w:b/>
          <w:sz w:val="22"/>
          <w:szCs w:val="22"/>
        </w:rPr>
        <w:t>SUPPLEMENTARY MATERIALS and METHODS</w:t>
      </w:r>
    </w:p>
    <w:p w14:paraId="5210AAA8" w14:textId="77777777" w:rsidR="002C34E8" w:rsidRPr="00C44715" w:rsidRDefault="002C34E8" w:rsidP="00D94AB5">
      <w:pPr>
        <w:pStyle w:val="Paragraph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646FDE73" w14:textId="77777777" w:rsidR="00D94AB5" w:rsidRPr="00C44715" w:rsidRDefault="00D94AB5" w:rsidP="00D94AB5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C44715">
        <w:rPr>
          <w:rFonts w:ascii="Arial" w:hAnsi="Arial" w:cs="Arial"/>
          <w:b/>
          <w:sz w:val="22"/>
          <w:szCs w:val="22"/>
        </w:rPr>
        <w:sym w:font="Symbol" w:char="F062"/>
      </w:r>
      <w:r w:rsidRPr="00C44715">
        <w:rPr>
          <w:rFonts w:ascii="Arial" w:hAnsi="Arial" w:cs="Arial"/>
          <w:b/>
          <w:sz w:val="22"/>
          <w:szCs w:val="22"/>
        </w:rPr>
        <w:t>-</w:t>
      </w:r>
      <w:proofErr w:type="gramStart"/>
      <w:r w:rsidRPr="00C44715">
        <w:rPr>
          <w:rFonts w:ascii="Arial" w:hAnsi="Arial" w:cs="Arial"/>
          <w:b/>
          <w:sz w:val="22"/>
          <w:szCs w:val="22"/>
        </w:rPr>
        <w:t>galactosidase</w:t>
      </w:r>
      <w:proofErr w:type="gramEnd"/>
      <w:r w:rsidRPr="00C44715">
        <w:rPr>
          <w:rFonts w:ascii="Arial" w:hAnsi="Arial" w:cs="Arial"/>
          <w:b/>
          <w:sz w:val="22"/>
          <w:szCs w:val="22"/>
        </w:rPr>
        <w:t xml:space="preserve"> Staining</w:t>
      </w:r>
    </w:p>
    <w:p w14:paraId="32B5BF70" w14:textId="77777777" w:rsidR="00D94AB5" w:rsidRPr="00C44715" w:rsidRDefault="00D94AB5" w:rsidP="00D94AB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44715">
        <w:rPr>
          <w:rFonts w:ascii="Arial" w:hAnsi="Arial" w:cs="Arial"/>
          <w:sz w:val="22"/>
          <w:szCs w:val="22"/>
        </w:rPr>
        <w:t xml:space="preserve">Cells were seeded in 35 mm dishes and treated 24 hours later with </w:t>
      </w:r>
      <w:r w:rsidR="006622B6" w:rsidRPr="00C44715">
        <w:rPr>
          <w:rFonts w:ascii="Arial" w:hAnsi="Arial" w:cs="Arial"/>
          <w:sz w:val="22"/>
          <w:szCs w:val="22"/>
        </w:rPr>
        <w:t>ribociclib</w:t>
      </w:r>
      <w:r w:rsidRPr="00C44715">
        <w:rPr>
          <w:rFonts w:ascii="Arial" w:hAnsi="Arial" w:cs="Arial"/>
          <w:sz w:val="22"/>
          <w:szCs w:val="22"/>
        </w:rPr>
        <w:t xml:space="preserve">, binimetinib, or with both agents. After 6 days of treatment, cells were fixed and stained for </w:t>
      </w:r>
      <w:r w:rsidRPr="00C44715">
        <w:rPr>
          <w:rFonts w:ascii="Arial" w:hAnsi="Arial" w:cs="Arial"/>
          <w:sz w:val="22"/>
          <w:szCs w:val="22"/>
        </w:rPr>
        <w:sym w:font="Symbol" w:char="F062"/>
      </w:r>
      <w:r w:rsidRPr="00C44715">
        <w:rPr>
          <w:rFonts w:ascii="Arial" w:hAnsi="Arial" w:cs="Arial"/>
          <w:sz w:val="22"/>
          <w:szCs w:val="22"/>
        </w:rPr>
        <w:t xml:space="preserve">-galactosidase activity according to the manufacturer’s protocol (Cell Signaling, #9608). Imaging was performed under a 10x/N.A.0.40 objective of a Leica DM400B microscope using a SPOT RT3 slider camera (SPOT Imaging). At least two representative images were acquired per treatment, and although brightness levels were uniformly enhanced using </w:t>
      </w:r>
      <w:proofErr w:type="spellStart"/>
      <w:r w:rsidRPr="00C44715">
        <w:rPr>
          <w:rFonts w:ascii="Arial" w:hAnsi="Arial" w:cs="Arial"/>
          <w:sz w:val="22"/>
          <w:szCs w:val="22"/>
        </w:rPr>
        <w:t>ImageJ</w:t>
      </w:r>
      <w:proofErr w:type="spellEnd"/>
      <w:r w:rsidRPr="00C44715">
        <w:rPr>
          <w:rFonts w:ascii="Arial" w:hAnsi="Arial" w:cs="Arial"/>
          <w:sz w:val="22"/>
          <w:szCs w:val="22"/>
        </w:rPr>
        <w:t xml:space="preserve"> (NIH), the images were otherwise unaltered. All experiments were repeated at least twice. </w:t>
      </w:r>
    </w:p>
    <w:p w14:paraId="017E077B" w14:textId="77777777" w:rsidR="00D94AB5" w:rsidRPr="00C44715" w:rsidRDefault="00D94AB5" w:rsidP="00D94AB5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5AF19A5A" w14:textId="77777777" w:rsidR="00D94AB5" w:rsidRPr="00C44715" w:rsidRDefault="00D94AB5" w:rsidP="00D94AB5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C44715">
        <w:rPr>
          <w:rFonts w:ascii="Arial" w:hAnsi="Arial" w:cs="Arial"/>
          <w:b/>
          <w:sz w:val="22"/>
          <w:szCs w:val="22"/>
        </w:rPr>
        <w:t>Real-Time Cell Imaging</w:t>
      </w:r>
    </w:p>
    <w:p w14:paraId="01BB5008" w14:textId="52049BA7" w:rsidR="00D94AB5" w:rsidRDefault="00D94AB5" w:rsidP="00D94AB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44715">
        <w:rPr>
          <w:rFonts w:ascii="Arial" w:hAnsi="Arial" w:cs="Arial"/>
          <w:sz w:val="22"/>
          <w:szCs w:val="22"/>
        </w:rPr>
        <w:t>The NBL-S neuroblastoma cell line was seeded into a 6-well plate and treated with 1/2x IC</w:t>
      </w:r>
      <w:r w:rsidRPr="00C44715">
        <w:rPr>
          <w:rFonts w:ascii="Arial" w:hAnsi="Arial" w:cs="Arial"/>
          <w:sz w:val="22"/>
          <w:szCs w:val="22"/>
          <w:vertAlign w:val="subscript"/>
        </w:rPr>
        <w:t>50</w:t>
      </w:r>
      <w:r w:rsidRPr="00C44715">
        <w:rPr>
          <w:rFonts w:ascii="Arial" w:hAnsi="Arial" w:cs="Arial"/>
          <w:sz w:val="22"/>
          <w:szCs w:val="22"/>
        </w:rPr>
        <w:t xml:space="preserve"> </w:t>
      </w:r>
      <w:r w:rsidR="006622B6" w:rsidRPr="00C44715">
        <w:rPr>
          <w:rFonts w:ascii="Arial" w:hAnsi="Arial" w:cs="Arial"/>
          <w:sz w:val="22"/>
          <w:szCs w:val="22"/>
        </w:rPr>
        <w:t>ribociclib</w:t>
      </w:r>
      <w:r w:rsidRPr="00C44715">
        <w:rPr>
          <w:rFonts w:ascii="Arial" w:hAnsi="Arial" w:cs="Arial"/>
          <w:sz w:val="22"/>
          <w:szCs w:val="22"/>
        </w:rPr>
        <w:t xml:space="preserve">, binimetinib, or the combination of </w:t>
      </w:r>
      <w:r w:rsidR="006622B6" w:rsidRPr="00C44715">
        <w:rPr>
          <w:rFonts w:ascii="Arial" w:hAnsi="Arial" w:cs="Arial"/>
          <w:sz w:val="22"/>
          <w:szCs w:val="22"/>
        </w:rPr>
        <w:t>ribociclib</w:t>
      </w:r>
      <w:r w:rsidRPr="00C44715">
        <w:rPr>
          <w:rFonts w:ascii="Arial" w:hAnsi="Arial" w:cs="Arial"/>
          <w:sz w:val="22"/>
          <w:szCs w:val="22"/>
        </w:rPr>
        <w:t xml:space="preserve"> and binimetinib, or with 50 nM SN-38 (Santa Cruz), the active metabolite of irinotecan. Cells</w:t>
      </w:r>
      <w:r w:rsidR="00FE3FA4" w:rsidRPr="00C44715">
        <w:rPr>
          <w:rFonts w:ascii="Arial" w:hAnsi="Arial" w:cs="Arial"/>
          <w:sz w:val="22"/>
          <w:szCs w:val="22"/>
        </w:rPr>
        <w:t xml:space="preserve"> were incubated for up to 6 days (Zeiss </w:t>
      </w:r>
      <w:proofErr w:type="spellStart"/>
      <w:r w:rsidR="00FE3FA4" w:rsidRPr="00C44715">
        <w:rPr>
          <w:rFonts w:ascii="Arial" w:hAnsi="Arial" w:cs="Arial"/>
          <w:sz w:val="22"/>
          <w:szCs w:val="22"/>
        </w:rPr>
        <w:t>Axio</w:t>
      </w:r>
      <w:proofErr w:type="spellEnd"/>
      <w:r w:rsidR="00FE3FA4" w:rsidRPr="00C44715">
        <w:rPr>
          <w:rFonts w:ascii="Arial" w:hAnsi="Arial" w:cs="Arial"/>
          <w:sz w:val="22"/>
          <w:szCs w:val="22"/>
        </w:rPr>
        <w:t xml:space="preserve"> Observer.Z1 microscope outfitted with a Zeiss </w:t>
      </w:r>
      <w:proofErr w:type="spellStart"/>
      <w:r w:rsidR="00FE3FA4" w:rsidRPr="00C44715">
        <w:rPr>
          <w:rFonts w:ascii="Arial" w:hAnsi="Arial" w:cs="Arial"/>
          <w:sz w:val="22"/>
          <w:szCs w:val="22"/>
        </w:rPr>
        <w:t>Axiocam</w:t>
      </w:r>
      <w:proofErr w:type="spellEnd"/>
      <w:r w:rsidR="00FE3FA4" w:rsidRPr="00C447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3FA4" w:rsidRPr="00C44715">
        <w:rPr>
          <w:rFonts w:ascii="Arial" w:hAnsi="Arial" w:cs="Arial"/>
          <w:sz w:val="22"/>
          <w:szCs w:val="22"/>
        </w:rPr>
        <w:t>MRm</w:t>
      </w:r>
      <w:proofErr w:type="spellEnd"/>
      <w:r w:rsidR="00FE3FA4" w:rsidRPr="00C44715">
        <w:rPr>
          <w:rFonts w:ascii="Arial" w:hAnsi="Arial" w:cs="Arial"/>
          <w:sz w:val="22"/>
          <w:szCs w:val="22"/>
        </w:rPr>
        <w:t xml:space="preserve"> camera)</w:t>
      </w:r>
      <w:r w:rsidRPr="00C44715">
        <w:rPr>
          <w:rFonts w:ascii="Arial" w:hAnsi="Arial" w:cs="Arial"/>
          <w:sz w:val="22"/>
          <w:szCs w:val="22"/>
        </w:rPr>
        <w:t xml:space="preserve"> during which time identical fields of cells were imaged at 10x magnification for each treatment group at </w:t>
      </w:r>
      <w:r w:rsidR="00FE3FA4" w:rsidRPr="00C44715">
        <w:rPr>
          <w:rFonts w:ascii="Arial" w:hAnsi="Arial" w:cs="Arial"/>
          <w:sz w:val="22"/>
          <w:szCs w:val="22"/>
        </w:rPr>
        <w:t>three-hour</w:t>
      </w:r>
      <w:r w:rsidRPr="00C44715">
        <w:rPr>
          <w:rFonts w:ascii="Arial" w:hAnsi="Arial" w:cs="Arial"/>
          <w:sz w:val="22"/>
          <w:szCs w:val="22"/>
        </w:rPr>
        <w:t xml:space="preserve"> intervals.  </w:t>
      </w:r>
      <w:r w:rsidR="00271A00">
        <w:rPr>
          <w:rFonts w:ascii="Arial" w:hAnsi="Arial" w:cs="Arial"/>
          <w:sz w:val="22"/>
          <w:szCs w:val="22"/>
        </w:rPr>
        <w:t>A selection of</w:t>
      </w:r>
      <w:r w:rsidRPr="00C44715">
        <w:rPr>
          <w:rFonts w:ascii="Arial" w:hAnsi="Arial" w:cs="Arial"/>
          <w:sz w:val="22"/>
          <w:szCs w:val="22"/>
        </w:rPr>
        <w:t xml:space="preserve"> still images were compiled into </w:t>
      </w:r>
      <w:r w:rsidR="00271A00" w:rsidRPr="00271A00">
        <w:rPr>
          <w:rFonts w:ascii="Arial" w:hAnsi="Arial" w:cs="Arial"/>
          <w:b/>
          <w:sz w:val="22"/>
          <w:szCs w:val="22"/>
        </w:rPr>
        <w:t>Figure 4D</w:t>
      </w:r>
      <w:r w:rsidR="00271A00">
        <w:rPr>
          <w:rFonts w:ascii="Arial" w:hAnsi="Arial" w:cs="Arial"/>
          <w:sz w:val="22"/>
          <w:szCs w:val="22"/>
        </w:rPr>
        <w:t>.</w:t>
      </w:r>
    </w:p>
    <w:p w14:paraId="35B8828B" w14:textId="77777777" w:rsidR="00A8236B" w:rsidRDefault="00A8236B" w:rsidP="00D94AB5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642E562" w14:textId="49ABAA33" w:rsidR="00C074D9" w:rsidRPr="00A8236B" w:rsidRDefault="00C074D9" w:rsidP="00C074D9">
      <w:pPr>
        <w:pStyle w:val="Paragraph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A8236B">
        <w:rPr>
          <w:rFonts w:ascii="Arial" w:hAnsi="Arial" w:cs="Arial"/>
          <w:b/>
          <w:sz w:val="22"/>
          <w:szCs w:val="22"/>
        </w:rPr>
        <w:t xml:space="preserve">SUPPLEMENTARY </w:t>
      </w:r>
      <w:r w:rsidR="00794401">
        <w:rPr>
          <w:rFonts w:ascii="Arial" w:hAnsi="Arial" w:cs="Arial"/>
          <w:b/>
          <w:sz w:val="22"/>
          <w:szCs w:val="22"/>
        </w:rPr>
        <w:t xml:space="preserve">ONLINE </w:t>
      </w:r>
      <w:r w:rsidRPr="00A8236B">
        <w:rPr>
          <w:rFonts w:ascii="Arial" w:hAnsi="Arial" w:cs="Arial"/>
          <w:b/>
          <w:sz w:val="22"/>
          <w:szCs w:val="22"/>
        </w:rPr>
        <w:t>TABLES</w:t>
      </w:r>
    </w:p>
    <w:p w14:paraId="34AB50E4" w14:textId="77777777" w:rsidR="00C074D9" w:rsidRPr="00BF0193" w:rsidRDefault="00C074D9" w:rsidP="00D94AB5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BD98D51" w14:textId="47AF7841" w:rsidR="00C074D9" w:rsidRPr="00BF0193" w:rsidRDefault="00C074D9" w:rsidP="00C074D9">
      <w:pPr>
        <w:pStyle w:val="Acknowledgement"/>
        <w:spacing w:before="0" w:line="480" w:lineRule="auto"/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BF0193">
        <w:rPr>
          <w:rFonts w:ascii="Arial" w:hAnsi="Arial" w:cs="Arial"/>
          <w:b/>
          <w:color w:val="000000" w:themeColor="text1"/>
          <w:sz w:val="22"/>
          <w:szCs w:val="22"/>
        </w:rPr>
        <w:t>Table S1.</w:t>
      </w:r>
      <w:r w:rsidRPr="00BF01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F0193">
        <w:rPr>
          <w:rFonts w:ascii="Arial" w:hAnsi="Arial" w:cs="Arial"/>
          <w:color w:val="000000" w:themeColor="text1"/>
          <w:sz w:val="22"/>
          <w:szCs w:val="22"/>
        </w:rPr>
        <w:t>Specific</w:t>
      </w:r>
      <w:r w:rsidRPr="00BF0193">
        <w:rPr>
          <w:rFonts w:ascii="Arial" w:hAnsi="Arial" w:cs="Arial"/>
          <w:color w:val="000000" w:themeColor="text1"/>
          <w:sz w:val="22"/>
          <w:szCs w:val="22"/>
        </w:rPr>
        <w:t xml:space="preserve"> mutations </w:t>
      </w:r>
      <w:r w:rsidR="00BF0193">
        <w:rPr>
          <w:rFonts w:ascii="Arial" w:hAnsi="Arial" w:cs="Arial"/>
          <w:color w:val="000000" w:themeColor="text1"/>
          <w:sz w:val="22"/>
          <w:szCs w:val="22"/>
        </w:rPr>
        <w:t xml:space="preserve">of genes listed </w:t>
      </w:r>
      <w:r w:rsidRPr="00BF0193">
        <w:rPr>
          <w:rFonts w:ascii="Arial" w:hAnsi="Arial" w:cs="Arial"/>
          <w:color w:val="000000" w:themeColor="text1"/>
          <w:sz w:val="22"/>
          <w:szCs w:val="22"/>
        </w:rPr>
        <w:t>in Table 1.</w:t>
      </w:r>
    </w:p>
    <w:p w14:paraId="140F3CDD" w14:textId="16B863E5" w:rsidR="00C074D9" w:rsidRPr="00BF0193" w:rsidRDefault="00C074D9" w:rsidP="00C074D9">
      <w:pPr>
        <w:pStyle w:val="Acknowledgement"/>
        <w:spacing w:before="0" w:line="480" w:lineRule="auto"/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BF0193">
        <w:rPr>
          <w:rFonts w:ascii="Arial" w:hAnsi="Arial" w:cs="Arial"/>
          <w:b/>
          <w:color w:val="000000" w:themeColor="text1"/>
          <w:sz w:val="22"/>
          <w:szCs w:val="22"/>
        </w:rPr>
        <w:t xml:space="preserve">Table S2. </w:t>
      </w:r>
      <w:proofErr w:type="gramStart"/>
      <w:r w:rsidR="00BF0193">
        <w:rPr>
          <w:rFonts w:ascii="Arial" w:hAnsi="Arial" w:cs="Arial"/>
          <w:color w:val="000000" w:themeColor="text1"/>
          <w:sz w:val="22"/>
          <w:szCs w:val="22"/>
        </w:rPr>
        <w:t>Foundation Medicine sequencing calls of cancer-specific gene panel.</w:t>
      </w:r>
      <w:proofErr w:type="gramEnd"/>
    </w:p>
    <w:p w14:paraId="279E9512" w14:textId="51EB4DFC" w:rsidR="00C074D9" w:rsidRDefault="00C074D9" w:rsidP="00C074D9">
      <w:pPr>
        <w:pStyle w:val="Acknowledgement"/>
        <w:spacing w:before="0" w:line="48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BF0193">
        <w:rPr>
          <w:rFonts w:ascii="Arial" w:hAnsi="Arial" w:cs="Arial"/>
          <w:b/>
          <w:color w:val="000000" w:themeColor="text1"/>
          <w:sz w:val="22"/>
          <w:szCs w:val="22"/>
        </w:rPr>
        <w:t xml:space="preserve">Table S3. </w:t>
      </w:r>
      <w:r w:rsidR="00BF0193">
        <w:rPr>
          <w:rFonts w:ascii="Arial" w:hAnsi="Arial" w:cs="Arial"/>
          <w:color w:val="000000" w:themeColor="text1"/>
          <w:sz w:val="22"/>
          <w:szCs w:val="22"/>
        </w:rPr>
        <w:t>Gene lists corresponding to microarray analysis described in</w:t>
      </w:r>
      <w:r w:rsidR="00501E65">
        <w:rPr>
          <w:rFonts w:ascii="Arial" w:hAnsi="Arial" w:cs="Arial"/>
          <w:color w:val="000000" w:themeColor="text1"/>
          <w:sz w:val="22"/>
          <w:szCs w:val="22"/>
        </w:rPr>
        <w:t xml:space="preserve"> Figures 1A and 1</w:t>
      </w:r>
      <w:r w:rsidRPr="00BF0193">
        <w:rPr>
          <w:rFonts w:ascii="Arial" w:hAnsi="Arial" w:cs="Arial"/>
          <w:color w:val="000000" w:themeColor="text1"/>
          <w:sz w:val="22"/>
          <w:szCs w:val="22"/>
        </w:rPr>
        <w:t>B</w:t>
      </w:r>
      <w:r w:rsidR="00093ED3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093ED3" w:rsidRPr="00093ED3">
        <w:rPr>
          <w:rFonts w:ascii="Arial" w:hAnsi="Arial" w:cs="Arial"/>
          <w:b/>
          <w:color w:val="000000" w:themeColor="text1"/>
          <w:sz w:val="22"/>
          <w:szCs w:val="22"/>
        </w:rPr>
        <w:t>(A)</w:t>
      </w:r>
      <w:r w:rsidR="00093ED3">
        <w:rPr>
          <w:rFonts w:ascii="Arial" w:hAnsi="Arial" w:cs="Arial"/>
          <w:color w:val="000000" w:themeColor="text1"/>
          <w:sz w:val="22"/>
          <w:szCs w:val="22"/>
        </w:rPr>
        <w:t xml:space="preserve"> binimetinib and </w:t>
      </w:r>
      <w:r w:rsidR="00093ED3" w:rsidRPr="00093ED3">
        <w:rPr>
          <w:rFonts w:ascii="Arial" w:hAnsi="Arial" w:cs="Arial"/>
          <w:b/>
          <w:color w:val="000000" w:themeColor="text1"/>
          <w:sz w:val="22"/>
          <w:szCs w:val="22"/>
        </w:rPr>
        <w:t>(B)</w:t>
      </w:r>
      <w:r w:rsidR="00093ED3">
        <w:rPr>
          <w:rFonts w:ascii="Arial" w:hAnsi="Arial" w:cs="Arial"/>
          <w:color w:val="000000" w:themeColor="text1"/>
          <w:sz w:val="22"/>
          <w:szCs w:val="22"/>
        </w:rPr>
        <w:t xml:space="preserve"> ribociclib</w:t>
      </w:r>
      <w:r w:rsidRPr="00BF0193">
        <w:rPr>
          <w:rFonts w:ascii="Arial" w:hAnsi="Arial" w:cs="Arial"/>
          <w:color w:val="000000" w:themeColor="text1"/>
          <w:sz w:val="22"/>
          <w:szCs w:val="22"/>
        </w:rPr>
        <w:t>.</w:t>
      </w:r>
      <w:r w:rsidR="004C586C">
        <w:rPr>
          <w:rFonts w:ascii="Arial" w:hAnsi="Arial" w:cs="Arial"/>
          <w:color w:val="000000" w:themeColor="text1"/>
          <w:sz w:val="22"/>
          <w:szCs w:val="22"/>
        </w:rPr>
        <w:t xml:space="preserve"> Significant genes (in bold type) are defined as having an adjusted p-value of 0.25 or less. </w:t>
      </w:r>
    </w:p>
    <w:p w14:paraId="56DDCEB9" w14:textId="77777777" w:rsidR="00D94AB5" w:rsidRPr="00C44715" w:rsidRDefault="00D94AB5" w:rsidP="00D94AB5">
      <w:pPr>
        <w:pStyle w:val="Paragraph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C44715">
        <w:rPr>
          <w:rFonts w:ascii="Arial" w:hAnsi="Arial" w:cs="Arial"/>
          <w:b/>
          <w:sz w:val="22"/>
          <w:szCs w:val="22"/>
        </w:rPr>
        <w:lastRenderedPageBreak/>
        <w:t>SUPPLEMENTARY FIGURES</w:t>
      </w:r>
    </w:p>
    <w:p w14:paraId="165062D2" w14:textId="428AD957" w:rsidR="00D94AB5" w:rsidRPr="00C44715" w:rsidRDefault="00D94AB5" w:rsidP="00D94AB5">
      <w:pPr>
        <w:pStyle w:val="Paragraph"/>
        <w:ind w:firstLine="0"/>
        <w:jc w:val="both"/>
        <w:rPr>
          <w:rFonts w:ascii="Arial" w:hAnsi="Arial" w:cs="Arial"/>
          <w:sz w:val="22"/>
          <w:szCs w:val="22"/>
        </w:rPr>
      </w:pPr>
    </w:p>
    <w:p w14:paraId="3132B646" w14:textId="58B9B736" w:rsidR="00D94AB5" w:rsidRDefault="00731D89" w:rsidP="00DF656D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Supplementary </w:t>
      </w:r>
      <w:r w:rsidR="007253D7" w:rsidRPr="00471384">
        <w:rPr>
          <w:rFonts w:ascii="Arial" w:hAnsi="Arial" w:cs="Arial"/>
          <w:b/>
          <w:bCs/>
          <w:sz w:val="22"/>
          <w:szCs w:val="22"/>
        </w:rPr>
        <w:t xml:space="preserve">Figure 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="007253D7" w:rsidRPr="00471384">
        <w:rPr>
          <w:rFonts w:ascii="Arial" w:hAnsi="Arial" w:cs="Arial"/>
          <w:b/>
          <w:bCs/>
          <w:sz w:val="22"/>
          <w:szCs w:val="22"/>
        </w:rPr>
        <w:t>1.</w:t>
      </w:r>
      <w:proofErr w:type="gramEnd"/>
      <w:r w:rsidR="007253D7" w:rsidRPr="00471384">
        <w:rPr>
          <w:rFonts w:ascii="Arial" w:hAnsi="Arial" w:cs="Arial"/>
          <w:b/>
          <w:bCs/>
          <w:sz w:val="22"/>
          <w:szCs w:val="22"/>
        </w:rPr>
        <w:t xml:space="preserve"> Neuroblastoma cell lines are sensitive to binimetinib. (A) </w:t>
      </w:r>
      <w:proofErr w:type="gramStart"/>
      <w:r w:rsidR="007253D7" w:rsidRPr="00471384">
        <w:rPr>
          <w:rFonts w:ascii="Arial" w:hAnsi="Arial" w:cs="Arial"/>
          <w:bCs/>
          <w:sz w:val="22"/>
          <w:szCs w:val="22"/>
        </w:rPr>
        <w:t>growth</w:t>
      </w:r>
      <w:proofErr w:type="gramEnd"/>
      <w:r w:rsidR="007253D7" w:rsidRPr="00471384">
        <w:rPr>
          <w:rFonts w:ascii="Arial" w:hAnsi="Arial" w:cs="Arial"/>
          <w:bCs/>
          <w:sz w:val="22"/>
          <w:szCs w:val="22"/>
        </w:rPr>
        <w:t xml:space="preserve"> inhibition curves based on RT-CES analysis of neuroblastoma cell lines (N=22) treated with a 4-log dose range of single agent binimetinib (</w:t>
      </w:r>
      <w:r w:rsidR="007253D7" w:rsidRPr="00471384">
        <w:rPr>
          <w:rFonts w:ascii="Arial" w:hAnsi="Arial" w:cs="Arial"/>
          <w:sz w:val="22"/>
          <w:szCs w:val="22"/>
        </w:rPr>
        <w:t>*cell line extremely resistant, curve not shown)</w:t>
      </w:r>
      <w:r w:rsidR="007253D7" w:rsidRPr="00471384">
        <w:rPr>
          <w:rFonts w:ascii="Arial" w:hAnsi="Arial" w:cs="Arial"/>
          <w:bCs/>
          <w:sz w:val="22"/>
          <w:szCs w:val="22"/>
        </w:rPr>
        <w:t xml:space="preserve">; </w:t>
      </w:r>
      <w:r w:rsidR="007253D7" w:rsidRPr="00471384">
        <w:rPr>
          <w:rFonts w:ascii="Arial" w:hAnsi="Arial" w:cs="Arial"/>
          <w:b/>
          <w:bCs/>
          <w:sz w:val="22"/>
          <w:szCs w:val="22"/>
        </w:rPr>
        <w:t xml:space="preserve">(B) </w:t>
      </w:r>
      <w:r w:rsidR="007253D7" w:rsidRPr="00471384">
        <w:rPr>
          <w:rFonts w:ascii="Arial" w:hAnsi="Arial" w:cs="Arial"/>
          <w:bCs/>
          <w:sz w:val="22"/>
          <w:szCs w:val="22"/>
        </w:rPr>
        <w:t>ERK phosphorylation is rapidly reduced in sensitive lines treated with binimetinib (500 nM)</w:t>
      </w:r>
      <w:bookmarkStart w:id="0" w:name="_GoBack"/>
      <w:bookmarkEnd w:id="0"/>
      <w:r w:rsidR="007253D7" w:rsidRPr="00471384">
        <w:rPr>
          <w:rFonts w:ascii="Arial" w:hAnsi="Arial" w:cs="Arial"/>
          <w:bCs/>
          <w:sz w:val="22"/>
          <w:szCs w:val="22"/>
        </w:rPr>
        <w:t xml:space="preserve">; </w:t>
      </w:r>
      <w:r w:rsidR="007253D7" w:rsidRPr="00471384">
        <w:rPr>
          <w:rFonts w:ascii="Arial" w:hAnsi="Arial" w:cs="Arial"/>
          <w:b/>
          <w:bCs/>
          <w:sz w:val="22"/>
          <w:szCs w:val="22"/>
        </w:rPr>
        <w:t>(C)</w:t>
      </w:r>
      <w:r w:rsidR="007253D7" w:rsidRPr="00471384">
        <w:rPr>
          <w:rFonts w:ascii="Arial" w:hAnsi="Arial" w:cs="Arial"/>
          <w:bCs/>
          <w:sz w:val="22"/>
          <w:szCs w:val="22"/>
        </w:rPr>
        <w:t xml:space="preserve"> </w:t>
      </w:r>
      <w:r w:rsidR="004C586C">
        <w:rPr>
          <w:rFonts w:ascii="Arial" w:hAnsi="Arial" w:cs="Arial"/>
          <w:bCs/>
          <w:sz w:val="22"/>
          <w:szCs w:val="22"/>
        </w:rPr>
        <w:t>immunoblots for p21 induction</w:t>
      </w:r>
      <w:r w:rsidR="004C586C" w:rsidRPr="00471384">
        <w:rPr>
          <w:rFonts w:ascii="Arial" w:hAnsi="Arial" w:cs="Arial"/>
          <w:bCs/>
          <w:sz w:val="22"/>
          <w:szCs w:val="22"/>
        </w:rPr>
        <w:t xml:space="preserve"> foll</w:t>
      </w:r>
      <w:r w:rsidR="004C586C">
        <w:rPr>
          <w:rFonts w:ascii="Arial" w:hAnsi="Arial" w:cs="Arial"/>
          <w:bCs/>
          <w:sz w:val="22"/>
          <w:szCs w:val="22"/>
        </w:rPr>
        <w:t>owing increasing doses of binimetinib</w:t>
      </w:r>
      <w:r w:rsidR="004C586C" w:rsidRPr="00471384">
        <w:rPr>
          <w:rFonts w:ascii="Arial" w:hAnsi="Arial" w:cs="Arial"/>
          <w:bCs/>
          <w:sz w:val="22"/>
          <w:szCs w:val="22"/>
        </w:rPr>
        <w:t xml:space="preserve"> (1-10,000 nM) for 24h (treatment with </w:t>
      </w:r>
      <w:proofErr w:type="spellStart"/>
      <w:r w:rsidR="004C586C" w:rsidRPr="00471384">
        <w:rPr>
          <w:rFonts w:ascii="Arial" w:hAnsi="Arial" w:cs="Arial"/>
          <w:bCs/>
          <w:sz w:val="22"/>
          <w:szCs w:val="22"/>
        </w:rPr>
        <w:t>etoposide</w:t>
      </w:r>
      <w:proofErr w:type="spellEnd"/>
      <w:r w:rsidR="004C586C" w:rsidRPr="00471384">
        <w:rPr>
          <w:rFonts w:ascii="Arial" w:hAnsi="Arial" w:cs="Arial"/>
          <w:bCs/>
          <w:sz w:val="22"/>
          <w:szCs w:val="22"/>
        </w:rPr>
        <w:t xml:space="preserve"> was used a positive control for p21 induction)</w:t>
      </w:r>
      <w:r w:rsidR="007253D7" w:rsidRPr="00471384">
        <w:rPr>
          <w:rFonts w:ascii="Arial" w:hAnsi="Arial" w:cs="Arial"/>
          <w:bCs/>
          <w:sz w:val="22"/>
          <w:szCs w:val="22"/>
        </w:rPr>
        <w:t>;</w:t>
      </w:r>
      <w:r>
        <w:rPr>
          <w:rFonts w:ascii="Arial" w:hAnsi="Arial" w:cs="Arial"/>
          <w:bCs/>
          <w:sz w:val="22"/>
          <w:szCs w:val="22"/>
        </w:rPr>
        <w:t xml:space="preserve"> and</w:t>
      </w:r>
      <w:r w:rsidR="007253D7" w:rsidRPr="00471384">
        <w:rPr>
          <w:rFonts w:ascii="Arial" w:hAnsi="Arial" w:cs="Arial"/>
          <w:bCs/>
          <w:sz w:val="22"/>
          <w:szCs w:val="22"/>
        </w:rPr>
        <w:t xml:space="preserve"> </w:t>
      </w:r>
      <w:r w:rsidR="007253D7" w:rsidRPr="00471384">
        <w:rPr>
          <w:rFonts w:ascii="Arial" w:hAnsi="Arial" w:cs="Arial"/>
          <w:b/>
          <w:bCs/>
          <w:sz w:val="22"/>
          <w:szCs w:val="22"/>
        </w:rPr>
        <w:t>(D)</w:t>
      </w:r>
      <w:r w:rsidR="00DF656D">
        <w:rPr>
          <w:rFonts w:ascii="Arial" w:hAnsi="Arial" w:cs="Arial"/>
          <w:bCs/>
          <w:sz w:val="22"/>
          <w:szCs w:val="22"/>
        </w:rPr>
        <w:t xml:space="preserve"> </w:t>
      </w:r>
      <w:r w:rsidR="004C586C" w:rsidRPr="00471384">
        <w:rPr>
          <w:rFonts w:ascii="Arial" w:hAnsi="Arial" w:cs="Arial"/>
          <w:bCs/>
          <w:sz w:val="22"/>
          <w:szCs w:val="22"/>
        </w:rPr>
        <w:t>the binimetinib-sensitive cell line NBL-S demonstrates a G1 arrest cell cycle profile following treatment (24h) with binimetinib, in contrast to the resistant cell line IMR-05</w:t>
      </w:r>
      <w:r w:rsidR="004C586C">
        <w:rPr>
          <w:rFonts w:ascii="Arial" w:hAnsi="Arial" w:cs="Arial"/>
          <w:bCs/>
          <w:sz w:val="22"/>
          <w:szCs w:val="22"/>
        </w:rPr>
        <w:t>.</w:t>
      </w:r>
    </w:p>
    <w:p w14:paraId="3B35B9B1" w14:textId="77777777" w:rsidR="00DF656D" w:rsidRPr="00050177" w:rsidRDefault="00DF656D" w:rsidP="00DF656D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61BD0C72" w14:textId="77777777" w:rsidR="00E7087D" w:rsidRDefault="00DF656D" w:rsidP="004C586C">
      <w:pPr>
        <w:pStyle w:val="Acknowledgement"/>
        <w:spacing w:before="0" w:line="48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Supplementary </w:t>
      </w:r>
      <w:r w:rsidRPr="00471384">
        <w:rPr>
          <w:rFonts w:ascii="Arial" w:hAnsi="Arial" w:cs="Arial"/>
          <w:b/>
          <w:bCs/>
          <w:sz w:val="22"/>
          <w:szCs w:val="22"/>
        </w:rPr>
        <w:t xml:space="preserve">Figure </w:t>
      </w:r>
      <w:r>
        <w:rPr>
          <w:rFonts w:ascii="Arial" w:hAnsi="Arial" w:cs="Arial"/>
          <w:b/>
          <w:bCs/>
          <w:sz w:val="22"/>
          <w:szCs w:val="22"/>
        </w:rPr>
        <w:t>S2</w:t>
      </w:r>
      <w:r w:rsidRPr="00471384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="007B447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7B447F" w:rsidRPr="00C44715">
        <w:rPr>
          <w:rFonts w:ascii="Arial" w:hAnsi="Arial" w:cs="Arial"/>
          <w:b/>
          <w:bCs/>
          <w:sz w:val="22"/>
          <w:szCs w:val="22"/>
        </w:rPr>
        <w:t>Gene expression profiling of human neuroblastoma cell lines with regards to relative sensitivity to MEK1/2 and CDK4/6 inhibition.</w:t>
      </w:r>
      <w:proofErr w:type="gramEnd"/>
      <w:r w:rsidR="007B447F" w:rsidRPr="00C44715">
        <w:rPr>
          <w:rFonts w:ascii="Arial" w:hAnsi="Arial" w:cs="Arial"/>
          <w:b/>
          <w:bCs/>
          <w:sz w:val="22"/>
          <w:szCs w:val="22"/>
        </w:rPr>
        <w:t xml:space="preserve"> </w:t>
      </w:r>
      <w:r w:rsidR="008B2CD8">
        <w:rPr>
          <w:rFonts w:ascii="Arial" w:hAnsi="Arial" w:cs="Arial"/>
          <w:b/>
          <w:bCs/>
          <w:sz w:val="22"/>
          <w:szCs w:val="22"/>
        </w:rPr>
        <w:t xml:space="preserve">(A and B) </w:t>
      </w:r>
      <w:r w:rsidRPr="00471384">
        <w:rPr>
          <w:rFonts w:ascii="Arial" w:hAnsi="Arial" w:cs="Arial"/>
          <w:b/>
          <w:bCs/>
          <w:sz w:val="22"/>
          <w:szCs w:val="22"/>
        </w:rPr>
        <w:t xml:space="preserve"> </w:t>
      </w:r>
      <w:r w:rsidR="008B2CD8">
        <w:rPr>
          <w:rFonts w:ascii="Arial" w:hAnsi="Arial" w:cs="Arial"/>
          <w:sz w:val="22"/>
          <w:szCs w:val="22"/>
        </w:rPr>
        <w:t xml:space="preserve">k-means clustering of cell line </w:t>
      </w:r>
      <w:r w:rsidR="008B2CD8" w:rsidRPr="00C44715">
        <w:rPr>
          <w:rFonts w:ascii="Arial" w:hAnsi="Arial" w:cs="Arial"/>
          <w:sz w:val="22"/>
          <w:szCs w:val="22"/>
        </w:rPr>
        <w:t>IC</w:t>
      </w:r>
      <w:r w:rsidR="008B2CD8" w:rsidRPr="00C44715">
        <w:rPr>
          <w:rFonts w:ascii="Arial" w:hAnsi="Arial" w:cs="Arial"/>
          <w:sz w:val="22"/>
          <w:szCs w:val="22"/>
          <w:vertAlign w:val="subscript"/>
        </w:rPr>
        <w:t xml:space="preserve">50 </w:t>
      </w:r>
      <w:r w:rsidR="008B2CD8">
        <w:rPr>
          <w:rFonts w:ascii="Arial" w:hAnsi="Arial" w:cs="Arial"/>
          <w:sz w:val="22"/>
          <w:szCs w:val="22"/>
        </w:rPr>
        <w:t xml:space="preserve">values to identify associations between the presence of relevant genomic alterations and sensitivity to binimetinib and ribociclib: </w:t>
      </w:r>
      <w:r w:rsidR="008B2CD8">
        <w:rPr>
          <w:rFonts w:ascii="Arial" w:hAnsi="Arial" w:cs="Arial"/>
          <w:b/>
          <w:sz w:val="22"/>
          <w:szCs w:val="22"/>
        </w:rPr>
        <w:t>(A</w:t>
      </w:r>
      <w:r w:rsidR="008B2CD8" w:rsidRPr="00E86452">
        <w:rPr>
          <w:rFonts w:ascii="Arial" w:hAnsi="Arial" w:cs="Arial"/>
          <w:b/>
          <w:sz w:val="22"/>
          <w:szCs w:val="22"/>
        </w:rPr>
        <w:t>)</w:t>
      </w:r>
      <w:r w:rsidR="008B2CD8">
        <w:rPr>
          <w:rFonts w:ascii="Arial" w:hAnsi="Arial" w:cs="Arial"/>
          <w:sz w:val="22"/>
          <w:szCs w:val="22"/>
        </w:rPr>
        <w:t xml:space="preserve"> </w:t>
      </w:r>
      <w:r w:rsidR="008B2CD8" w:rsidRPr="008B2CD8">
        <w:rPr>
          <w:rFonts w:ascii="Arial" w:hAnsi="Arial" w:cs="Arial"/>
          <w:i/>
          <w:sz w:val="22"/>
          <w:szCs w:val="22"/>
        </w:rPr>
        <w:t>ALK</w:t>
      </w:r>
      <w:r w:rsidR="008B2CD8">
        <w:rPr>
          <w:rFonts w:ascii="Arial" w:hAnsi="Arial" w:cs="Arial"/>
          <w:sz w:val="22"/>
          <w:szCs w:val="22"/>
        </w:rPr>
        <w:t xml:space="preserve"> mutations, and </w:t>
      </w:r>
      <w:r w:rsidR="008B2CD8">
        <w:rPr>
          <w:rFonts w:ascii="Arial" w:hAnsi="Arial" w:cs="Arial"/>
          <w:b/>
          <w:sz w:val="22"/>
          <w:szCs w:val="22"/>
        </w:rPr>
        <w:t>(B</w:t>
      </w:r>
      <w:r w:rsidR="008B2CD8" w:rsidRPr="00E86452">
        <w:rPr>
          <w:rFonts w:ascii="Arial" w:hAnsi="Arial" w:cs="Arial"/>
          <w:b/>
          <w:sz w:val="22"/>
          <w:szCs w:val="22"/>
        </w:rPr>
        <w:t>)</w:t>
      </w:r>
      <w:r w:rsidR="008B2CD8">
        <w:rPr>
          <w:rFonts w:ascii="Arial" w:hAnsi="Arial" w:cs="Arial"/>
          <w:b/>
          <w:sz w:val="22"/>
          <w:szCs w:val="22"/>
        </w:rPr>
        <w:t xml:space="preserve"> </w:t>
      </w:r>
      <w:r w:rsidR="008B2CD8">
        <w:rPr>
          <w:rFonts w:ascii="Arial" w:hAnsi="Arial" w:cs="Arial"/>
          <w:i/>
          <w:sz w:val="22"/>
          <w:szCs w:val="22"/>
        </w:rPr>
        <w:t>TP53</w:t>
      </w:r>
      <w:r w:rsidR="008B2CD8">
        <w:rPr>
          <w:rFonts w:ascii="Arial" w:hAnsi="Arial" w:cs="Arial"/>
          <w:sz w:val="22"/>
          <w:szCs w:val="22"/>
        </w:rPr>
        <w:t xml:space="preserve"> mutations</w:t>
      </w:r>
      <w:r w:rsidR="00E7087D">
        <w:rPr>
          <w:rFonts w:ascii="Arial" w:hAnsi="Arial" w:cs="Arial"/>
          <w:sz w:val="22"/>
          <w:szCs w:val="22"/>
        </w:rPr>
        <w:t>.</w:t>
      </w:r>
    </w:p>
    <w:p w14:paraId="2DF4F52F" w14:textId="77777777" w:rsidR="00050177" w:rsidRPr="00C44715" w:rsidRDefault="00050177" w:rsidP="004C586C">
      <w:pPr>
        <w:pStyle w:val="Acknowledgement"/>
        <w:spacing w:before="0" w:line="480" w:lineRule="auto"/>
        <w:ind w:left="0" w:firstLine="0"/>
        <w:jc w:val="both"/>
      </w:pPr>
    </w:p>
    <w:p w14:paraId="018758E0" w14:textId="603FDF52" w:rsidR="00D94AB5" w:rsidRDefault="00731D89" w:rsidP="00DF656D">
      <w:pPr>
        <w:pStyle w:val="Paragraph"/>
        <w:spacing w:line="48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Supplementary Figure S3</w:t>
      </w:r>
      <w:r w:rsidR="00D94AB5" w:rsidRPr="00C44715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="006C7696" w:rsidRPr="00C44715">
        <w:rPr>
          <w:rFonts w:ascii="Arial" w:hAnsi="Arial" w:cs="Arial"/>
          <w:b/>
          <w:bCs/>
          <w:sz w:val="22"/>
          <w:szCs w:val="22"/>
        </w:rPr>
        <w:t xml:space="preserve"> Combined MEK and CDK4/6 inhibition does not induce significant levels of apoptosis or senescence. (A) </w:t>
      </w:r>
      <w:proofErr w:type="gramStart"/>
      <w:r w:rsidR="00DF656D">
        <w:rPr>
          <w:rFonts w:ascii="Arial" w:hAnsi="Arial" w:cs="Arial"/>
          <w:bCs/>
          <w:sz w:val="22"/>
          <w:szCs w:val="22"/>
        </w:rPr>
        <w:t>immunoblot</w:t>
      </w:r>
      <w:proofErr w:type="gramEnd"/>
      <w:r w:rsidR="006C7696" w:rsidRPr="00C44715">
        <w:rPr>
          <w:rFonts w:ascii="Arial" w:hAnsi="Arial" w:cs="Arial"/>
          <w:bCs/>
          <w:sz w:val="22"/>
          <w:szCs w:val="22"/>
        </w:rPr>
        <w:t xml:space="preserve"> analysis performed for cleaved PARP (SN-38 treatment serves as a positive control);</w:t>
      </w:r>
      <w:r w:rsidR="006C7696" w:rsidRPr="00C44715">
        <w:rPr>
          <w:rFonts w:ascii="Arial" w:hAnsi="Arial" w:cs="Arial"/>
          <w:b/>
          <w:bCs/>
          <w:sz w:val="22"/>
          <w:szCs w:val="22"/>
        </w:rPr>
        <w:t xml:space="preserve"> (B) </w:t>
      </w:r>
      <w:r w:rsidR="006C7696" w:rsidRPr="00C44715">
        <w:rPr>
          <w:rFonts w:ascii="Arial" w:hAnsi="Arial" w:cs="Arial"/>
          <w:bCs/>
          <w:sz w:val="22"/>
          <w:szCs w:val="22"/>
        </w:rPr>
        <w:t>cell cycle analysis was performed (48 hour treatment) to identify sub-G1 content (Q-VD-</w:t>
      </w:r>
      <w:proofErr w:type="spellStart"/>
      <w:r w:rsidR="006C7696" w:rsidRPr="00C44715">
        <w:rPr>
          <w:rFonts w:ascii="Arial" w:hAnsi="Arial" w:cs="Arial"/>
          <w:bCs/>
          <w:sz w:val="22"/>
          <w:szCs w:val="22"/>
        </w:rPr>
        <w:t>OPh</w:t>
      </w:r>
      <w:proofErr w:type="spellEnd"/>
      <w:r w:rsidR="006C7696" w:rsidRPr="00C44715">
        <w:rPr>
          <w:rFonts w:ascii="Arial" w:hAnsi="Arial" w:cs="Arial"/>
          <w:bCs/>
          <w:sz w:val="22"/>
          <w:szCs w:val="22"/>
        </w:rPr>
        <w:t xml:space="preserve"> peptide blocks caspase activity and identifies caspase-dependent sub-G1 populations); and</w:t>
      </w:r>
      <w:r w:rsidR="006C7696" w:rsidRPr="00C44715">
        <w:rPr>
          <w:rFonts w:ascii="Arial" w:hAnsi="Arial" w:cs="Arial"/>
          <w:b/>
          <w:bCs/>
          <w:sz w:val="22"/>
          <w:szCs w:val="22"/>
        </w:rPr>
        <w:t xml:space="preserve"> (C) </w:t>
      </w:r>
      <w:r w:rsidR="006C7696" w:rsidRPr="00C44715">
        <w:rPr>
          <w:rFonts w:ascii="Arial" w:hAnsi="Arial" w:cs="Arial"/>
          <w:color w:val="000000"/>
          <w:sz w:val="22"/>
          <w:szCs w:val="22"/>
        </w:rPr>
        <w:t>β</w:t>
      </w:r>
      <w:r w:rsidR="006C7696" w:rsidRPr="00C44715">
        <w:rPr>
          <w:rFonts w:ascii="Arial" w:hAnsi="Arial" w:cs="Arial"/>
          <w:bCs/>
          <w:sz w:val="22"/>
          <w:szCs w:val="22"/>
        </w:rPr>
        <w:t>-galactosidase staining was performed to identify senescent cells (6 day treatment).</w:t>
      </w:r>
    </w:p>
    <w:p w14:paraId="2D80A2D5" w14:textId="77777777" w:rsidR="00E7087D" w:rsidRPr="00C44715" w:rsidRDefault="00E7087D" w:rsidP="00DF656D">
      <w:pPr>
        <w:pStyle w:val="Paragraph"/>
        <w:spacing w:line="480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</w:p>
    <w:p w14:paraId="7D438953" w14:textId="3E7DEBDC" w:rsidR="00876E5D" w:rsidRDefault="00731D89" w:rsidP="008A7276">
      <w:pPr>
        <w:pStyle w:val="Acknowledgement"/>
        <w:spacing w:line="48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lastRenderedPageBreak/>
        <w:t>Supplementary Figure S4</w:t>
      </w:r>
      <w:r w:rsidR="00D94AB5" w:rsidRPr="00C44715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="00C57C86" w:rsidRPr="00C44715">
        <w:rPr>
          <w:rFonts w:ascii="Arial" w:hAnsi="Arial" w:cs="Arial"/>
          <w:b/>
          <w:bCs/>
          <w:sz w:val="22"/>
          <w:szCs w:val="22"/>
        </w:rPr>
        <w:t xml:space="preserve"> G1 arrest induced by MEK1/2 and CDK4/6 inhibition is reversible. </w:t>
      </w:r>
      <w:r w:rsidR="00C57C86" w:rsidRPr="00C44715">
        <w:rPr>
          <w:rFonts w:ascii="Arial" w:hAnsi="Arial" w:cs="Arial"/>
          <w:bCs/>
          <w:sz w:val="22"/>
          <w:szCs w:val="22"/>
        </w:rPr>
        <w:t>Cells were treated</w:t>
      </w:r>
      <w:r w:rsidR="00C57C86" w:rsidRPr="00C44715">
        <w:rPr>
          <w:rFonts w:ascii="Arial" w:hAnsi="Arial" w:cs="Arial"/>
          <w:sz w:val="22"/>
          <w:szCs w:val="22"/>
        </w:rPr>
        <w:t xml:space="preserve"> (1x IC</w:t>
      </w:r>
      <w:r w:rsidR="00C57C86" w:rsidRPr="00C44715">
        <w:rPr>
          <w:rFonts w:ascii="Arial" w:hAnsi="Arial" w:cs="Arial"/>
          <w:sz w:val="22"/>
          <w:szCs w:val="22"/>
          <w:vertAlign w:val="subscript"/>
        </w:rPr>
        <w:t>50</w:t>
      </w:r>
      <w:r w:rsidR="00C57C86" w:rsidRPr="00C44715">
        <w:rPr>
          <w:rFonts w:ascii="Arial" w:hAnsi="Arial" w:cs="Arial"/>
          <w:sz w:val="22"/>
          <w:szCs w:val="22"/>
        </w:rPr>
        <w:t xml:space="preserve"> for 6 days), washed to remove drug and incubated for 3 days prior to cell cycle analysis. </w:t>
      </w:r>
    </w:p>
    <w:p w14:paraId="7FCE26CB" w14:textId="77777777" w:rsidR="006F313A" w:rsidRDefault="006F313A" w:rsidP="008A7276">
      <w:pPr>
        <w:pStyle w:val="Acknowledgement"/>
        <w:spacing w:line="48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9DAC42B" w14:textId="34AD8C66" w:rsidR="008B2CD8" w:rsidRDefault="008B2CD8" w:rsidP="008B2CD8">
      <w:pPr>
        <w:pStyle w:val="Acknowledgement"/>
        <w:spacing w:line="48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Supplementary Figure S5</w:t>
      </w:r>
      <w:r w:rsidRPr="00C44715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Pr="00C44715">
        <w:rPr>
          <w:rFonts w:ascii="Arial" w:hAnsi="Arial" w:cs="Arial"/>
          <w:b/>
          <w:bCs/>
          <w:sz w:val="22"/>
          <w:szCs w:val="22"/>
        </w:rPr>
        <w:t xml:space="preserve"> Gene expression profiling of human neuroblastoma cell lines with regards to </w:t>
      </w:r>
      <w:r w:rsidR="00A52E53">
        <w:rPr>
          <w:rFonts w:ascii="Arial" w:hAnsi="Arial" w:cs="Arial"/>
          <w:b/>
          <w:bCs/>
          <w:sz w:val="22"/>
          <w:szCs w:val="22"/>
        </w:rPr>
        <w:t>the synergy observed from</w:t>
      </w:r>
      <w:r>
        <w:rPr>
          <w:rFonts w:ascii="Arial" w:hAnsi="Arial" w:cs="Arial"/>
          <w:b/>
          <w:bCs/>
          <w:sz w:val="22"/>
          <w:szCs w:val="22"/>
        </w:rPr>
        <w:t xml:space="preserve"> combined binimetinib-ribociclib treatment</w:t>
      </w:r>
      <w:r w:rsidRPr="00C44715">
        <w:rPr>
          <w:rFonts w:ascii="Arial" w:hAnsi="Arial" w:cs="Arial"/>
          <w:b/>
          <w:bCs/>
          <w:sz w:val="22"/>
          <w:szCs w:val="22"/>
        </w:rPr>
        <w:t xml:space="preserve">. </w:t>
      </w:r>
      <w:r w:rsidR="00A52E53">
        <w:rPr>
          <w:rFonts w:ascii="Arial" w:hAnsi="Arial" w:cs="Arial"/>
          <w:b/>
          <w:bCs/>
          <w:sz w:val="22"/>
          <w:szCs w:val="22"/>
        </w:rPr>
        <w:t xml:space="preserve">(A-D) </w:t>
      </w:r>
      <w:r w:rsidR="00A52E53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lustering of synergy</w:t>
      </w:r>
      <w:r w:rsidRPr="00C44715"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values</w:t>
      </w:r>
      <w:r w:rsidR="00C53529">
        <w:rPr>
          <w:rFonts w:ascii="Arial" w:hAnsi="Arial" w:cs="Arial"/>
          <w:sz w:val="22"/>
          <w:szCs w:val="22"/>
        </w:rPr>
        <w:t xml:space="preserve"> (synergy</w:t>
      </w:r>
      <w:r w:rsidR="005E7531">
        <w:rPr>
          <w:rFonts w:ascii="Arial" w:hAnsi="Arial" w:cs="Arial"/>
          <w:sz w:val="22"/>
          <w:szCs w:val="22"/>
        </w:rPr>
        <w:t xml:space="preserve"> </w:t>
      </w:r>
      <w:r w:rsidR="00C53529">
        <w:rPr>
          <w:rFonts w:ascii="Arial" w:hAnsi="Arial" w:cs="Arial"/>
          <w:sz w:val="22"/>
          <w:szCs w:val="22"/>
        </w:rPr>
        <w:t>&gt;</w:t>
      </w:r>
      <w:r w:rsidR="005E7531">
        <w:rPr>
          <w:rFonts w:ascii="Arial" w:hAnsi="Arial" w:cs="Arial"/>
          <w:sz w:val="22"/>
          <w:szCs w:val="22"/>
        </w:rPr>
        <w:t xml:space="preserve"> </w:t>
      </w:r>
      <w:r w:rsidR="00C53529">
        <w:rPr>
          <w:rFonts w:ascii="Arial" w:hAnsi="Arial" w:cs="Arial"/>
          <w:sz w:val="22"/>
          <w:szCs w:val="22"/>
        </w:rPr>
        <w:t>1</w:t>
      </w:r>
      <w:r w:rsidR="00A52E53">
        <w:rPr>
          <w:rFonts w:ascii="Arial" w:hAnsi="Arial" w:cs="Arial"/>
          <w:sz w:val="22"/>
          <w:szCs w:val="22"/>
        </w:rPr>
        <w:t>, non-synergy</w:t>
      </w:r>
      <w:r w:rsidR="005E7531">
        <w:rPr>
          <w:rFonts w:ascii="Arial" w:hAnsi="Arial" w:cs="Arial"/>
          <w:sz w:val="22"/>
          <w:szCs w:val="22"/>
        </w:rPr>
        <w:t xml:space="preserve"> </w:t>
      </w:r>
      <w:r w:rsidR="00A52E53">
        <w:rPr>
          <w:rFonts w:ascii="Arial" w:hAnsi="Arial" w:cs="Arial"/>
          <w:sz w:val="22"/>
          <w:szCs w:val="22"/>
        </w:rPr>
        <w:t>&lt;</w:t>
      </w:r>
      <w:r w:rsidR="005E7531">
        <w:rPr>
          <w:rFonts w:ascii="Arial" w:hAnsi="Arial" w:cs="Arial"/>
          <w:sz w:val="22"/>
          <w:szCs w:val="22"/>
        </w:rPr>
        <w:t xml:space="preserve"> </w:t>
      </w:r>
      <w:r w:rsidR="00A52E53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to identify associations between the presence of relevant genomic alterations and</w:t>
      </w:r>
      <w:r w:rsidR="00A52E53">
        <w:rPr>
          <w:rFonts w:ascii="Arial" w:hAnsi="Arial" w:cs="Arial"/>
          <w:sz w:val="22"/>
          <w:szCs w:val="22"/>
        </w:rPr>
        <w:t xml:space="preserve"> sensitivity to the binimetinib-</w:t>
      </w:r>
      <w:r>
        <w:rPr>
          <w:rFonts w:ascii="Arial" w:hAnsi="Arial" w:cs="Arial"/>
          <w:sz w:val="22"/>
          <w:szCs w:val="22"/>
        </w:rPr>
        <w:t>ribociclib</w:t>
      </w:r>
      <w:r w:rsidR="00A52E53">
        <w:rPr>
          <w:rFonts w:ascii="Arial" w:hAnsi="Arial" w:cs="Arial"/>
          <w:sz w:val="22"/>
          <w:szCs w:val="22"/>
        </w:rPr>
        <w:t xml:space="preserve"> combination: </w:t>
      </w:r>
      <w:r w:rsidR="00A52E53" w:rsidRPr="00A52E53">
        <w:rPr>
          <w:rFonts w:ascii="Arial" w:hAnsi="Arial" w:cs="Arial"/>
          <w:b/>
          <w:sz w:val="22"/>
          <w:szCs w:val="22"/>
        </w:rPr>
        <w:t>(A)</w:t>
      </w:r>
      <w:r w:rsidR="00A52E53">
        <w:rPr>
          <w:rFonts w:ascii="Arial" w:hAnsi="Arial" w:cs="Arial"/>
          <w:sz w:val="22"/>
          <w:szCs w:val="22"/>
        </w:rPr>
        <w:t xml:space="preserve"> </w:t>
      </w:r>
      <w:r w:rsidR="00A52E53" w:rsidRPr="00A52E53">
        <w:rPr>
          <w:rFonts w:ascii="Arial" w:hAnsi="Arial" w:cs="Arial"/>
          <w:i/>
          <w:sz w:val="22"/>
          <w:szCs w:val="22"/>
        </w:rPr>
        <w:t>RAS-MAPK</w:t>
      </w:r>
      <w:r w:rsidR="00A52E53">
        <w:rPr>
          <w:rFonts w:ascii="Arial" w:hAnsi="Arial" w:cs="Arial"/>
          <w:sz w:val="22"/>
          <w:szCs w:val="22"/>
        </w:rPr>
        <w:t xml:space="preserve"> alterations, </w:t>
      </w:r>
      <w:r w:rsidR="00A52E53" w:rsidRPr="00A52E53">
        <w:rPr>
          <w:rFonts w:ascii="Arial" w:hAnsi="Arial" w:cs="Arial"/>
          <w:b/>
          <w:sz w:val="22"/>
          <w:szCs w:val="22"/>
        </w:rPr>
        <w:t>(B)</w:t>
      </w:r>
      <w:r w:rsidR="00A52E53">
        <w:rPr>
          <w:rFonts w:ascii="Arial" w:hAnsi="Arial" w:cs="Arial"/>
          <w:sz w:val="22"/>
          <w:szCs w:val="22"/>
        </w:rPr>
        <w:t xml:space="preserve"> </w:t>
      </w:r>
      <w:r w:rsidR="00A52E53" w:rsidRPr="00A52E53">
        <w:rPr>
          <w:rFonts w:ascii="Arial" w:hAnsi="Arial" w:cs="Arial"/>
          <w:i/>
          <w:sz w:val="22"/>
          <w:szCs w:val="22"/>
        </w:rPr>
        <w:t>MYCN</w:t>
      </w:r>
      <w:r w:rsidR="00A52E53">
        <w:rPr>
          <w:rFonts w:ascii="Arial" w:hAnsi="Arial" w:cs="Arial"/>
          <w:sz w:val="22"/>
          <w:szCs w:val="22"/>
        </w:rPr>
        <w:t xml:space="preserve"> amplification, </w:t>
      </w:r>
      <w:r w:rsidR="00A52E53" w:rsidRPr="00A52E53">
        <w:rPr>
          <w:rFonts w:ascii="Arial" w:hAnsi="Arial" w:cs="Arial"/>
          <w:b/>
          <w:sz w:val="22"/>
          <w:szCs w:val="22"/>
        </w:rPr>
        <w:t>(C)</w:t>
      </w:r>
      <w:r w:rsidR="00A52E53">
        <w:rPr>
          <w:rFonts w:ascii="Arial" w:hAnsi="Arial" w:cs="Arial"/>
          <w:sz w:val="22"/>
          <w:szCs w:val="22"/>
        </w:rPr>
        <w:t xml:space="preserve"> </w:t>
      </w:r>
      <w:r w:rsidR="00A52E53" w:rsidRPr="00A52E53">
        <w:rPr>
          <w:rFonts w:ascii="Arial" w:hAnsi="Arial" w:cs="Arial"/>
          <w:i/>
          <w:sz w:val="22"/>
          <w:szCs w:val="22"/>
        </w:rPr>
        <w:t>TP53</w:t>
      </w:r>
      <w:r w:rsidR="00A52E53">
        <w:rPr>
          <w:rFonts w:ascii="Arial" w:hAnsi="Arial" w:cs="Arial"/>
          <w:sz w:val="22"/>
          <w:szCs w:val="22"/>
        </w:rPr>
        <w:t xml:space="preserve"> mutations, and </w:t>
      </w:r>
      <w:r w:rsidR="00A52E53" w:rsidRPr="00A52E53">
        <w:rPr>
          <w:rFonts w:ascii="Arial" w:hAnsi="Arial" w:cs="Arial"/>
          <w:b/>
          <w:sz w:val="22"/>
          <w:szCs w:val="22"/>
        </w:rPr>
        <w:t>(D)</w:t>
      </w:r>
      <w:r w:rsidR="00A52E53">
        <w:rPr>
          <w:rFonts w:ascii="Arial" w:hAnsi="Arial" w:cs="Arial"/>
          <w:sz w:val="22"/>
          <w:szCs w:val="22"/>
        </w:rPr>
        <w:t xml:space="preserve"> </w:t>
      </w:r>
      <w:r w:rsidR="00A52E53" w:rsidRPr="00A52E53">
        <w:rPr>
          <w:rFonts w:ascii="Arial" w:hAnsi="Arial" w:cs="Arial"/>
          <w:i/>
          <w:sz w:val="22"/>
          <w:szCs w:val="22"/>
        </w:rPr>
        <w:t>ALK</w:t>
      </w:r>
      <w:r w:rsidR="00A52E53">
        <w:rPr>
          <w:rFonts w:ascii="Arial" w:hAnsi="Arial" w:cs="Arial"/>
          <w:sz w:val="22"/>
          <w:szCs w:val="22"/>
        </w:rPr>
        <w:t xml:space="preserve"> mutations.</w:t>
      </w:r>
    </w:p>
    <w:p w14:paraId="7152AFA9" w14:textId="77777777" w:rsidR="00223BBF" w:rsidRDefault="00223BBF" w:rsidP="008B2CD8">
      <w:pPr>
        <w:pStyle w:val="Acknowledgement"/>
        <w:spacing w:line="48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3B5891BF" w14:textId="090279B6" w:rsidR="00223BBF" w:rsidRPr="00223BBF" w:rsidRDefault="00223BBF" w:rsidP="00223BBF">
      <w:pPr>
        <w:pStyle w:val="Acknowledgement"/>
        <w:spacing w:before="0" w:line="48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Figure S6</w:t>
      </w:r>
      <w:r w:rsidRPr="00C44715">
        <w:rPr>
          <w:rFonts w:ascii="Arial" w:hAnsi="Arial" w:cs="Arial"/>
          <w:b/>
          <w:bCs/>
          <w:sz w:val="22"/>
          <w:szCs w:val="22"/>
        </w:rPr>
        <w:t>. Neuroblastoma xenografts are sensitive to combined binimetini</w:t>
      </w:r>
      <w:r w:rsidR="00DE213C">
        <w:rPr>
          <w:rFonts w:ascii="Arial" w:hAnsi="Arial" w:cs="Arial"/>
          <w:b/>
          <w:bCs/>
          <w:sz w:val="22"/>
          <w:szCs w:val="22"/>
        </w:rPr>
        <w:t>b-</w:t>
      </w:r>
      <w:r w:rsidRPr="00C44715">
        <w:rPr>
          <w:rFonts w:ascii="Arial" w:hAnsi="Arial" w:cs="Arial"/>
          <w:b/>
          <w:bCs/>
          <w:sz w:val="22"/>
          <w:szCs w:val="22"/>
        </w:rPr>
        <w:t xml:space="preserve">ribociclib treatment. </w:t>
      </w:r>
      <w:r w:rsidRPr="00C44715">
        <w:rPr>
          <w:rFonts w:ascii="Arial" w:hAnsi="Arial" w:cs="Arial"/>
          <w:sz w:val="22"/>
          <w:szCs w:val="22"/>
        </w:rPr>
        <w:t xml:space="preserve">Xenografts were treated with vehicle, single agent binimetinib (3 mg/kg BID), single agent ribociclib (75 mg/kg QD), or the combination. Tumor </w:t>
      </w:r>
      <w:r>
        <w:rPr>
          <w:rFonts w:ascii="Arial" w:hAnsi="Arial" w:cs="Arial"/>
          <w:sz w:val="22"/>
          <w:szCs w:val="22"/>
        </w:rPr>
        <w:t xml:space="preserve">volume measurements </w:t>
      </w:r>
      <w:r w:rsidR="003552B1">
        <w:rPr>
          <w:rFonts w:ascii="Arial" w:hAnsi="Arial" w:cs="Arial"/>
          <w:bCs/>
          <w:sz w:val="22"/>
          <w:szCs w:val="22"/>
        </w:rPr>
        <w:t>of</w:t>
      </w:r>
      <w:r>
        <w:rPr>
          <w:rFonts w:ascii="Arial" w:hAnsi="Arial" w:cs="Arial"/>
          <w:bCs/>
          <w:sz w:val="22"/>
          <w:szCs w:val="22"/>
        </w:rPr>
        <w:t xml:space="preserve"> individual mice</w:t>
      </w:r>
      <w:r w:rsidR="003552B1">
        <w:rPr>
          <w:rFonts w:ascii="Arial" w:hAnsi="Arial" w:cs="Arial"/>
          <w:bCs/>
          <w:sz w:val="22"/>
          <w:szCs w:val="22"/>
        </w:rPr>
        <w:t xml:space="preserve"> </w:t>
      </w:r>
      <w:r w:rsidR="00133FC4">
        <w:rPr>
          <w:rFonts w:ascii="Arial" w:hAnsi="Arial" w:cs="Arial"/>
          <w:bCs/>
          <w:sz w:val="22"/>
          <w:szCs w:val="22"/>
        </w:rPr>
        <w:t xml:space="preserve">and Kaplan-Meier survival curves </w:t>
      </w:r>
      <w:r>
        <w:rPr>
          <w:rFonts w:ascii="Arial" w:hAnsi="Arial" w:cs="Arial"/>
          <w:bCs/>
          <w:sz w:val="22"/>
          <w:szCs w:val="22"/>
        </w:rPr>
        <w:t>from the following four neuroblastoma models</w:t>
      </w:r>
      <w:r w:rsidR="003552B1">
        <w:rPr>
          <w:rFonts w:ascii="Arial" w:hAnsi="Arial" w:cs="Arial"/>
          <w:bCs/>
          <w:sz w:val="22"/>
          <w:szCs w:val="22"/>
        </w:rPr>
        <w:t xml:space="preserve"> are shown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223BBF">
        <w:rPr>
          <w:rFonts w:ascii="Arial" w:hAnsi="Arial" w:cs="Arial"/>
          <w:b/>
          <w:bCs/>
          <w:sz w:val="22"/>
          <w:szCs w:val="22"/>
        </w:rPr>
        <w:t>(A)</w:t>
      </w:r>
      <w:r>
        <w:rPr>
          <w:rFonts w:ascii="Arial" w:hAnsi="Arial" w:cs="Arial"/>
          <w:bCs/>
          <w:sz w:val="22"/>
          <w:szCs w:val="22"/>
        </w:rPr>
        <w:t xml:space="preserve"> NB-EBc1, </w:t>
      </w:r>
      <w:r w:rsidRPr="00223BBF">
        <w:rPr>
          <w:rFonts w:ascii="Arial" w:hAnsi="Arial" w:cs="Arial"/>
          <w:b/>
          <w:bCs/>
          <w:sz w:val="22"/>
          <w:szCs w:val="22"/>
        </w:rPr>
        <w:t>(B)</w:t>
      </w:r>
      <w:r>
        <w:rPr>
          <w:rFonts w:ascii="Arial" w:hAnsi="Arial" w:cs="Arial"/>
          <w:bCs/>
          <w:sz w:val="22"/>
          <w:szCs w:val="22"/>
        </w:rPr>
        <w:t xml:space="preserve"> NBL-S, </w:t>
      </w:r>
      <w:r w:rsidRPr="00223BBF">
        <w:rPr>
          <w:rFonts w:ascii="Arial" w:hAnsi="Arial" w:cs="Arial"/>
          <w:b/>
          <w:bCs/>
          <w:sz w:val="22"/>
          <w:szCs w:val="22"/>
        </w:rPr>
        <w:t>(C)</w:t>
      </w:r>
      <w:r>
        <w:rPr>
          <w:rFonts w:ascii="Arial" w:hAnsi="Arial" w:cs="Arial"/>
          <w:bCs/>
          <w:sz w:val="22"/>
          <w:szCs w:val="22"/>
        </w:rPr>
        <w:t xml:space="preserve"> SK-N-</w:t>
      </w:r>
      <w:proofErr w:type="gramStart"/>
      <w:r>
        <w:rPr>
          <w:rFonts w:ascii="Arial" w:hAnsi="Arial" w:cs="Arial"/>
          <w:bCs/>
          <w:sz w:val="22"/>
          <w:szCs w:val="22"/>
        </w:rPr>
        <w:t>BE(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2)C, and </w:t>
      </w:r>
      <w:r w:rsidRPr="00223BBF">
        <w:rPr>
          <w:rFonts w:ascii="Arial" w:hAnsi="Arial" w:cs="Arial"/>
          <w:b/>
          <w:bCs/>
          <w:sz w:val="22"/>
          <w:szCs w:val="22"/>
        </w:rPr>
        <w:t>(D)</w:t>
      </w:r>
      <w:r>
        <w:rPr>
          <w:rFonts w:ascii="Arial" w:hAnsi="Arial" w:cs="Arial"/>
          <w:bCs/>
          <w:sz w:val="22"/>
          <w:szCs w:val="22"/>
        </w:rPr>
        <w:t xml:space="preserve"> NGP. </w:t>
      </w:r>
    </w:p>
    <w:p w14:paraId="0C29D18C" w14:textId="77777777" w:rsidR="00223BBF" w:rsidRDefault="00223BBF" w:rsidP="008B2CD8">
      <w:pPr>
        <w:pStyle w:val="Acknowledgement"/>
        <w:spacing w:line="48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9E7E026" w14:textId="77777777" w:rsidR="00D94AB5" w:rsidRPr="00C44715" w:rsidRDefault="00D94AB5" w:rsidP="00FF55F4">
      <w:pPr>
        <w:pStyle w:val="Acknowledgement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A5A3A73" w14:textId="780E27BB" w:rsidR="00D94AB5" w:rsidRPr="00C44715" w:rsidRDefault="00D94AB5" w:rsidP="00D94AB5">
      <w:pPr>
        <w:pStyle w:val="Acknowledgement"/>
        <w:jc w:val="both"/>
        <w:rPr>
          <w:rFonts w:ascii="Arial" w:hAnsi="Arial" w:cs="Arial"/>
          <w:b/>
          <w:sz w:val="22"/>
          <w:szCs w:val="22"/>
        </w:rPr>
      </w:pPr>
    </w:p>
    <w:sectPr w:rsidR="00D94AB5" w:rsidRPr="00C44715" w:rsidSect="00D94AB5"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B9255" w14:textId="77777777" w:rsidR="00223BBF" w:rsidRDefault="00223BBF" w:rsidP="00D94AB5">
      <w:r>
        <w:separator/>
      </w:r>
    </w:p>
  </w:endnote>
  <w:endnote w:type="continuationSeparator" w:id="0">
    <w:p w14:paraId="7D9EFFDB" w14:textId="77777777" w:rsidR="00223BBF" w:rsidRDefault="00223BBF" w:rsidP="00D9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06692" w14:textId="77777777" w:rsidR="00223BBF" w:rsidRDefault="00223BBF" w:rsidP="00987D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8BB612" w14:textId="77777777" w:rsidR="00223BBF" w:rsidRDefault="00223BBF" w:rsidP="00D94AB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88FFB" w14:textId="77777777" w:rsidR="00223BBF" w:rsidRPr="007B251D" w:rsidRDefault="00223BBF" w:rsidP="00987DD5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7B251D">
      <w:rPr>
        <w:rStyle w:val="PageNumber"/>
        <w:rFonts w:ascii="Arial" w:hAnsi="Arial" w:cs="Arial"/>
      </w:rPr>
      <w:fldChar w:fldCharType="begin"/>
    </w:r>
    <w:r w:rsidRPr="007B251D">
      <w:rPr>
        <w:rStyle w:val="PageNumber"/>
        <w:rFonts w:ascii="Arial" w:hAnsi="Arial" w:cs="Arial"/>
      </w:rPr>
      <w:instrText xml:space="preserve">PAGE  </w:instrText>
    </w:r>
    <w:r w:rsidRPr="007B251D">
      <w:rPr>
        <w:rStyle w:val="PageNumber"/>
        <w:rFonts w:ascii="Arial" w:hAnsi="Arial" w:cs="Arial"/>
      </w:rPr>
      <w:fldChar w:fldCharType="separate"/>
    </w:r>
    <w:r w:rsidR="007B251D">
      <w:rPr>
        <w:rStyle w:val="PageNumber"/>
        <w:rFonts w:ascii="Arial" w:hAnsi="Arial" w:cs="Arial"/>
        <w:noProof/>
      </w:rPr>
      <w:t>2</w:t>
    </w:r>
    <w:r w:rsidRPr="007B251D">
      <w:rPr>
        <w:rStyle w:val="PageNumber"/>
        <w:rFonts w:ascii="Arial" w:hAnsi="Arial" w:cs="Arial"/>
      </w:rPr>
      <w:fldChar w:fldCharType="end"/>
    </w:r>
  </w:p>
  <w:p w14:paraId="40784D1A" w14:textId="77777777" w:rsidR="00223BBF" w:rsidRDefault="00223BBF" w:rsidP="00D94A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F1F3D" w14:textId="77777777" w:rsidR="00223BBF" w:rsidRDefault="00223BBF" w:rsidP="00D94AB5">
      <w:r>
        <w:separator/>
      </w:r>
    </w:p>
  </w:footnote>
  <w:footnote w:type="continuationSeparator" w:id="0">
    <w:p w14:paraId="390AE098" w14:textId="77777777" w:rsidR="00223BBF" w:rsidRDefault="00223BBF" w:rsidP="00D94A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34061" w14:textId="77777777" w:rsidR="00223BBF" w:rsidRDefault="00223BBF" w:rsidP="00987DD5">
    <w:pPr>
      <w:pStyle w:val="Header"/>
      <w:jc w:val="right"/>
    </w:pPr>
    <w:r>
      <w:tab/>
    </w:r>
    <w:r>
      <w:tab/>
    </w:r>
  </w:p>
  <w:p w14:paraId="4CF48FCA" w14:textId="476D832E" w:rsidR="00223BBF" w:rsidRPr="00987DD5" w:rsidRDefault="00223BBF" w:rsidP="00987DD5">
    <w:pPr>
      <w:pStyle w:val="Header"/>
      <w:jc w:val="right"/>
      <w:rPr>
        <w:rFonts w:ascii="Arial" w:hAnsi="Arial" w:cs="Arial"/>
      </w:rPr>
    </w:pPr>
    <w:r>
      <w:tab/>
    </w:r>
    <w:r>
      <w:tab/>
    </w:r>
    <w:r w:rsidRPr="00987DD5">
      <w:rPr>
        <w:rFonts w:ascii="Arial" w:hAnsi="Arial" w:cs="Arial"/>
      </w:rPr>
      <w:t>Hart and Rader, et al</w:t>
    </w:r>
    <w:r>
      <w:rPr>
        <w:rFonts w:ascii="Arial" w:hAnsi="Arial" w:cs="Arial"/>
      </w:rPr>
      <w:t>.</w:t>
    </w:r>
    <w:r w:rsidRPr="00987DD5">
      <w:rPr>
        <w:rFonts w:ascii="Arial" w:hAnsi="Arial" w:cs="Arial"/>
      </w:rPr>
      <w:tab/>
    </w:r>
  </w:p>
  <w:p w14:paraId="5D3D0F73" w14:textId="77777777" w:rsidR="00223BBF" w:rsidRPr="00204015" w:rsidRDefault="00223BBF" w:rsidP="00D94AB5">
    <w:pPr>
      <w:pStyle w:val="Header"/>
    </w:pPr>
  </w:p>
  <w:p w14:paraId="0A868B2B" w14:textId="77777777" w:rsidR="00223BBF" w:rsidRDefault="00223BBF" w:rsidP="00D94A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26D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3023AD"/>
    <w:multiLevelType w:val="hybridMultilevel"/>
    <w:tmpl w:val="AB30BFB2"/>
    <w:lvl w:ilvl="0" w:tplc="B2A4C2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0B2B80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1278FA3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19AA04E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83F26B4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08807BE0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A4EED03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862CB89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5C964C2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ancer Cel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te5tava7prxt4ez0psxzvvbatrd00fp09zx&quot;&gt;MEK-LEE STM&lt;record-ids&gt;&lt;item&gt;2&lt;/item&gt;&lt;item&gt;4&lt;/item&gt;&lt;item&gt;5&lt;/item&gt;&lt;item&gt;6&lt;/item&gt;&lt;item&gt;7&lt;/item&gt;&lt;item&gt;8&lt;/item&gt;&lt;item&gt;9&lt;/item&gt;&lt;item&gt;11&lt;/item&gt;&lt;item&gt;13&lt;/item&gt;&lt;item&gt;14&lt;/item&gt;&lt;item&gt;16&lt;/item&gt;&lt;item&gt;17&lt;/item&gt;&lt;item&gt;18&lt;/item&gt;&lt;/record-ids&gt;&lt;/item&gt;&lt;item db-id=&quot;t5dwrfasr2vt0yezppf5xzv3vvprv9ea9vrr&quot;&gt;Main NB Library&lt;record-ids&gt;&lt;item&gt;34&lt;/item&gt;&lt;item&gt;78&lt;/item&gt;&lt;/record-ids&gt;&lt;/item&gt;&lt;/Libraries&gt;"/>
  </w:docVars>
  <w:rsids>
    <w:rsidRoot w:val="0064261D"/>
    <w:rsid w:val="00005BFF"/>
    <w:rsid w:val="00016C20"/>
    <w:rsid w:val="00021D2F"/>
    <w:rsid w:val="00033733"/>
    <w:rsid w:val="00050177"/>
    <w:rsid w:val="00093ED3"/>
    <w:rsid w:val="000A45BE"/>
    <w:rsid w:val="000B30D4"/>
    <w:rsid w:val="000D555F"/>
    <w:rsid w:val="000D58E8"/>
    <w:rsid w:val="00100DB8"/>
    <w:rsid w:val="00106612"/>
    <w:rsid w:val="0013261E"/>
    <w:rsid w:val="00133FC4"/>
    <w:rsid w:val="00144AFD"/>
    <w:rsid w:val="001771FC"/>
    <w:rsid w:val="001A6912"/>
    <w:rsid w:val="001C35FA"/>
    <w:rsid w:val="001D5728"/>
    <w:rsid w:val="001E1555"/>
    <w:rsid w:val="00223BBF"/>
    <w:rsid w:val="00231B72"/>
    <w:rsid w:val="00250869"/>
    <w:rsid w:val="002663BF"/>
    <w:rsid w:val="00266AB2"/>
    <w:rsid w:val="00270046"/>
    <w:rsid w:val="00271A00"/>
    <w:rsid w:val="002867F9"/>
    <w:rsid w:val="002964E9"/>
    <w:rsid w:val="002A5AB7"/>
    <w:rsid w:val="002C34E8"/>
    <w:rsid w:val="002C765F"/>
    <w:rsid w:val="00311895"/>
    <w:rsid w:val="00317EF6"/>
    <w:rsid w:val="00320342"/>
    <w:rsid w:val="003253A1"/>
    <w:rsid w:val="00341835"/>
    <w:rsid w:val="0035361B"/>
    <w:rsid w:val="003552B1"/>
    <w:rsid w:val="00357E91"/>
    <w:rsid w:val="00366D32"/>
    <w:rsid w:val="00374FFE"/>
    <w:rsid w:val="00383AFC"/>
    <w:rsid w:val="003918B8"/>
    <w:rsid w:val="0039693A"/>
    <w:rsid w:val="003B6169"/>
    <w:rsid w:val="003F03EA"/>
    <w:rsid w:val="003F28EC"/>
    <w:rsid w:val="003F38DE"/>
    <w:rsid w:val="00402107"/>
    <w:rsid w:val="004051F9"/>
    <w:rsid w:val="0045070A"/>
    <w:rsid w:val="00456288"/>
    <w:rsid w:val="00471384"/>
    <w:rsid w:val="00474F6F"/>
    <w:rsid w:val="00475AA0"/>
    <w:rsid w:val="00495F19"/>
    <w:rsid w:val="004A5315"/>
    <w:rsid w:val="004B0382"/>
    <w:rsid w:val="004C586C"/>
    <w:rsid w:val="00501E65"/>
    <w:rsid w:val="00511411"/>
    <w:rsid w:val="00512733"/>
    <w:rsid w:val="00545544"/>
    <w:rsid w:val="00573738"/>
    <w:rsid w:val="005942D1"/>
    <w:rsid w:val="00594FB7"/>
    <w:rsid w:val="005B4ED9"/>
    <w:rsid w:val="005B7EEB"/>
    <w:rsid w:val="005C03DD"/>
    <w:rsid w:val="005D7C71"/>
    <w:rsid w:val="005E7531"/>
    <w:rsid w:val="0062567D"/>
    <w:rsid w:val="00627AD3"/>
    <w:rsid w:val="00632FEC"/>
    <w:rsid w:val="0064261D"/>
    <w:rsid w:val="006473E4"/>
    <w:rsid w:val="006622B6"/>
    <w:rsid w:val="00674904"/>
    <w:rsid w:val="00697133"/>
    <w:rsid w:val="006A4E1A"/>
    <w:rsid w:val="006C7696"/>
    <w:rsid w:val="006D1471"/>
    <w:rsid w:val="006D516C"/>
    <w:rsid w:val="006D7AF4"/>
    <w:rsid w:val="006E47F3"/>
    <w:rsid w:val="006F0685"/>
    <w:rsid w:val="006F313A"/>
    <w:rsid w:val="0071355B"/>
    <w:rsid w:val="007253D7"/>
    <w:rsid w:val="007275A3"/>
    <w:rsid w:val="00731D89"/>
    <w:rsid w:val="007561A6"/>
    <w:rsid w:val="00765A1C"/>
    <w:rsid w:val="00770E32"/>
    <w:rsid w:val="0077114F"/>
    <w:rsid w:val="00794401"/>
    <w:rsid w:val="007B251D"/>
    <w:rsid w:val="007B447F"/>
    <w:rsid w:val="007B559D"/>
    <w:rsid w:val="007E5432"/>
    <w:rsid w:val="007F47AC"/>
    <w:rsid w:val="00815D43"/>
    <w:rsid w:val="00827501"/>
    <w:rsid w:val="008342DD"/>
    <w:rsid w:val="00854B48"/>
    <w:rsid w:val="008727DF"/>
    <w:rsid w:val="00876E5D"/>
    <w:rsid w:val="008A7276"/>
    <w:rsid w:val="008B2CD8"/>
    <w:rsid w:val="008B5B88"/>
    <w:rsid w:val="008C0A02"/>
    <w:rsid w:val="008D76BE"/>
    <w:rsid w:val="008E1A0D"/>
    <w:rsid w:val="0094446D"/>
    <w:rsid w:val="00950C50"/>
    <w:rsid w:val="00951193"/>
    <w:rsid w:val="00961A8F"/>
    <w:rsid w:val="0097487F"/>
    <w:rsid w:val="00987DD5"/>
    <w:rsid w:val="009A47F9"/>
    <w:rsid w:val="009C051F"/>
    <w:rsid w:val="009C4542"/>
    <w:rsid w:val="009E5E28"/>
    <w:rsid w:val="00A52E53"/>
    <w:rsid w:val="00A542DA"/>
    <w:rsid w:val="00A777AB"/>
    <w:rsid w:val="00A8236B"/>
    <w:rsid w:val="00A975AA"/>
    <w:rsid w:val="00AF0898"/>
    <w:rsid w:val="00B04CB6"/>
    <w:rsid w:val="00B4275F"/>
    <w:rsid w:val="00B74D2D"/>
    <w:rsid w:val="00B76A71"/>
    <w:rsid w:val="00B8565B"/>
    <w:rsid w:val="00B941F0"/>
    <w:rsid w:val="00BA143E"/>
    <w:rsid w:val="00BA46D0"/>
    <w:rsid w:val="00BF0193"/>
    <w:rsid w:val="00BF784F"/>
    <w:rsid w:val="00C074D9"/>
    <w:rsid w:val="00C22CA0"/>
    <w:rsid w:val="00C27083"/>
    <w:rsid w:val="00C30989"/>
    <w:rsid w:val="00C406A7"/>
    <w:rsid w:val="00C44715"/>
    <w:rsid w:val="00C450E9"/>
    <w:rsid w:val="00C45C98"/>
    <w:rsid w:val="00C463BD"/>
    <w:rsid w:val="00C46A10"/>
    <w:rsid w:val="00C53529"/>
    <w:rsid w:val="00C56AB9"/>
    <w:rsid w:val="00C575F2"/>
    <w:rsid w:val="00C57C86"/>
    <w:rsid w:val="00C61274"/>
    <w:rsid w:val="00C76F52"/>
    <w:rsid w:val="00CE2CC1"/>
    <w:rsid w:val="00CE4915"/>
    <w:rsid w:val="00CE5613"/>
    <w:rsid w:val="00D16992"/>
    <w:rsid w:val="00D20C62"/>
    <w:rsid w:val="00D21236"/>
    <w:rsid w:val="00D332C1"/>
    <w:rsid w:val="00D57770"/>
    <w:rsid w:val="00D81530"/>
    <w:rsid w:val="00D82CEE"/>
    <w:rsid w:val="00D87916"/>
    <w:rsid w:val="00D94AB5"/>
    <w:rsid w:val="00DB288A"/>
    <w:rsid w:val="00DB29AE"/>
    <w:rsid w:val="00DD43B8"/>
    <w:rsid w:val="00DD5B1D"/>
    <w:rsid w:val="00DE213C"/>
    <w:rsid w:val="00DF656D"/>
    <w:rsid w:val="00E05A64"/>
    <w:rsid w:val="00E13EB6"/>
    <w:rsid w:val="00E1502B"/>
    <w:rsid w:val="00E1631B"/>
    <w:rsid w:val="00E16B8A"/>
    <w:rsid w:val="00E21A1C"/>
    <w:rsid w:val="00E24952"/>
    <w:rsid w:val="00E311D5"/>
    <w:rsid w:val="00E46CE9"/>
    <w:rsid w:val="00E556E7"/>
    <w:rsid w:val="00E7087D"/>
    <w:rsid w:val="00E745E3"/>
    <w:rsid w:val="00E75760"/>
    <w:rsid w:val="00E840BD"/>
    <w:rsid w:val="00EA2648"/>
    <w:rsid w:val="00ED70CA"/>
    <w:rsid w:val="00F06CA8"/>
    <w:rsid w:val="00F2368A"/>
    <w:rsid w:val="00F53BA4"/>
    <w:rsid w:val="00F5491A"/>
    <w:rsid w:val="00F71780"/>
    <w:rsid w:val="00FA7482"/>
    <w:rsid w:val="00FC5758"/>
    <w:rsid w:val="00FE3FA4"/>
    <w:rsid w:val="00FF4B1A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3E04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A3899"/>
    <w:rPr>
      <w:rFonts w:eastAsia="Times New Roman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  <w:lang w:val="x-none" w:eastAsia="x-none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rsid w:val="009A3899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FooterChar">
    <w:name w:val="Footer Char"/>
    <w:link w:val="Footer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3899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HeaderChar">
    <w:name w:val="Header Char"/>
    <w:link w:val="Header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  <w:lang w:val="x-none" w:eastAsia="x-none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paragraph" w:styleId="NormalWeb">
    <w:name w:val="Normal (Web)"/>
    <w:basedOn w:val="Normal"/>
    <w:uiPriority w:val="99"/>
    <w:unhideWhenUsed/>
    <w:rsid w:val="007948A9"/>
    <w:pPr>
      <w:spacing w:before="100" w:beforeAutospacing="1" w:after="100" w:afterAutospacing="1"/>
    </w:pPr>
    <w:rPr>
      <w:rFonts w:ascii="Times" w:hAnsi="Times"/>
    </w:rPr>
  </w:style>
  <w:style w:type="paragraph" w:customStyle="1" w:styleId="EndNoteBibliographyTitle">
    <w:name w:val="EndNote Bibliography Title"/>
    <w:basedOn w:val="Normal"/>
    <w:rsid w:val="000D555F"/>
    <w:pPr>
      <w:jc w:val="center"/>
    </w:pPr>
    <w:rPr>
      <w:sz w:val="24"/>
    </w:rPr>
  </w:style>
  <w:style w:type="paragraph" w:customStyle="1" w:styleId="EndNoteBibliography">
    <w:name w:val="EndNote Bibliography"/>
    <w:basedOn w:val="Normal"/>
    <w:rsid w:val="000D555F"/>
    <w:pPr>
      <w:jc w:val="both"/>
    </w:pPr>
    <w:rPr>
      <w:sz w:val="24"/>
    </w:rPr>
  </w:style>
  <w:style w:type="paragraph" w:styleId="Revision">
    <w:name w:val="Revision"/>
    <w:hidden/>
    <w:uiPriority w:val="71"/>
    <w:rsid w:val="00C463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A3899"/>
    <w:rPr>
      <w:rFonts w:eastAsia="Times New Roman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  <w:lang w:val="x-none" w:eastAsia="x-none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rsid w:val="009A3899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FooterChar">
    <w:name w:val="Footer Char"/>
    <w:link w:val="Footer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3899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HeaderChar">
    <w:name w:val="Header Char"/>
    <w:link w:val="Header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  <w:lang w:val="x-none" w:eastAsia="x-none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paragraph" w:styleId="NormalWeb">
    <w:name w:val="Normal (Web)"/>
    <w:basedOn w:val="Normal"/>
    <w:uiPriority w:val="99"/>
    <w:unhideWhenUsed/>
    <w:rsid w:val="007948A9"/>
    <w:pPr>
      <w:spacing w:before="100" w:beforeAutospacing="1" w:after="100" w:afterAutospacing="1"/>
    </w:pPr>
    <w:rPr>
      <w:rFonts w:ascii="Times" w:hAnsi="Times"/>
    </w:rPr>
  </w:style>
  <w:style w:type="paragraph" w:customStyle="1" w:styleId="EndNoteBibliographyTitle">
    <w:name w:val="EndNote Bibliography Title"/>
    <w:basedOn w:val="Normal"/>
    <w:rsid w:val="000D555F"/>
    <w:pPr>
      <w:jc w:val="center"/>
    </w:pPr>
    <w:rPr>
      <w:sz w:val="24"/>
    </w:rPr>
  </w:style>
  <w:style w:type="paragraph" w:customStyle="1" w:styleId="EndNoteBibliography">
    <w:name w:val="EndNote Bibliography"/>
    <w:basedOn w:val="Normal"/>
    <w:rsid w:val="000D555F"/>
    <w:pPr>
      <w:jc w:val="both"/>
    </w:pPr>
    <w:rPr>
      <w:sz w:val="24"/>
    </w:rPr>
  </w:style>
  <w:style w:type="paragraph" w:styleId="Revision">
    <w:name w:val="Revision"/>
    <w:hidden/>
    <w:uiPriority w:val="71"/>
    <w:rsid w:val="00C46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651</Words>
  <Characters>3711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Manuscript Template</vt:lpstr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subject/>
  <dc:creator>bhanson</dc:creator>
  <cp:keywords/>
  <cp:lastModifiedBy>Hart, Lori S</cp:lastModifiedBy>
  <cp:revision>10</cp:revision>
  <cp:lastPrinted>2012-01-29T18:20:00Z</cp:lastPrinted>
  <dcterms:created xsi:type="dcterms:W3CDTF">2016-07-25T01:16:00Z</dcterms:created>
  <dcterms:modified xsi:type="dcterms:W3CDTF">2016-08-10T14:47:00Z</dcterms:modified>
</cp:coreProperties>
</file>