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7E" w:rsidRPr="00F65C65" w:rsidRDefault="00A04A7E" w:rsidP="00A04A7E">
      <w:pPr>
        <w:spacing w:line="48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S</w:t>
      </w:r>
      <w:r w:rsidR="000133C6">
        <w:rPr>
          <w:rFonts w:ascii="Times New Roman" w:hAnsi="Times New Roman"/>
          <w:b/>
        </w:rPr>
        <w:t>upplementary Table 2</w:t>
      </w:r>
      <w:r w:rsidRPr="00F65C65">
        <w:rPr>
          <w:rFonts w:ascii="Times New Roman" w:hAnsi="Times New Roman"/>
          <w:b/>
        </w:rPr>
        <w:t>: Summary of centrally assessed RCB</w:t>
      </w:r>
    </w:p>
    <w:tbl>
      <w:tblPr>
        <w:tblStyle w:val="Tablaconcuadrcula"/>
        <w:tblW w:w="0" w:type="auto"/>
        <w:tblLook w:val="04A0"/>
      </w:tblPr>
      <w:tblGrid>
        <w:gridCol w:w="1078"/>
        <w:gridCol w:w="1062"/>
        <w:gridCol w:w="1473"/>
        <w:gridCol w:w="1283"/>
        <w:gridCol w:w="1062"/>
        <w:gridCol w:w="1473"/>
        <w:gridCol w:w="1283"/>
      </w:tblGrid>
      <w:tr w:rsidR="00A04A7E" w:rsidRPr="00F65C65">
        <w:tc>
          <w:tcPr>
            <w:tcW w:w="1078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18" w:type="dxa"/>
            <w:gridSpan w:val="3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Arm A</w:t>
            </w:r>
          </w:p>
        </w:tc>
        <w:tc>
          <w:tcPr>
            <w:tcW w:w="3818" w:type="dxa"/>
            <w:gridSpan w:val="3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Arm B</w:t>
            </w:r>
          </w:p>
        </w:tc>
      </w:tr>
      <w:tr w:rsidR="00A04A7E" w:rsidRPr="00F65C65">
        <w:tc>
          <w:tcPr>
            <w:tcW w:w="1078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vAlign w:val="bottom"/>
          </w:tcPr>
          <w:p w:rsidR="00A04A7E" w:rsidRPr="00F65C65" w:rsidRDefault="00A04A7E" w:rsidP="00B747D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 xml:space="preserve">All </w:t>
            </w:r>
          </w:p>
          <w:p w:rsidR="00A04A7E" w:rsidRPr="00F65C65" w:rsidRDefault="00A04A7E" w:rsidP="00B747D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= 61</w:t>
            </w:r>
          </w:p>
          <w:p w:rsidR="00A04A7E" w:rsidRPr="00F65C65" w:rsidRDefault="00A04A7E" w:rsidP="00B747D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(%)</w:t>
            </w:r>
          </w:p>
        </w:tc>
        <w:tc>
          <w:tcPr>
            <w:tcW w:w="1473" w:type="dxa"/>
            <w:vAlign w:val="bottom"/>
          </w:tcPr>
          <w:p w:rsidR="00A04A7E" w:rsidRPr="00F65C65" w:rsidRDefault="00A04A7E" w:rsidP="00F65C65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HR+</w:t>
            </w:r>
          </w:p>
          <w:p w:rsidR="00A04A7E" w:rsidRPr="00F65C65" w:rsidRDefault="00A04A7E" w:rsidP="00F65C65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= 49</w:t>
            </w:r>
          </w:p>
          <w:p w:rsidR="00A04A7E" w:rsidRPr="00F65C65" w:rsidRDefault="00A04A7E" w:rsidP="00B747D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(%)</w:t>
            </w:r>
          </w:p>
        </w:tc>
        <w:tc>
          <w:tcPr>
            <w:tcW w:w="1283" w:type="dxa"/>
            <w:vAlign w:val="bottom"/>
          </w:tcPr>
          <w:p w:rsidR="00A04A7E" w:rsidRPr="00F65C65" w:rsidRDefault="00A04A7E" w:rsidP="00F65C65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TNBC</w:t>
            </w:r>
          </w:p>
          <w:p w:rsidR="00A04A7E" w:rsidRPr="00F65C65" w:rsidRDefault="00A04A7E" w:rsidP="00F65C65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= 12</w:t>
            </w:r>
          </w:p>
          <w:p w:rsidR="00A04A7E" w:rsidRPr="00F65C65" w:rsidRDefault="00A04A7E" w:rsidP="00B747D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(%)</w:t>
            </w:r>
          </w:p>
        </w:tc>
        <w:tc>
          <w:tcPr>
            <w:tcW w:w="1062" w:type="dxa"/>
            <w:vAlign w:val="bottom"/>
          </w:tcPr>
          <w:p w:rsidR="00A04A7E" w:rsidRPr="00F65C65" w:rsidRDefault="00A04A7E" w:rsidP="00B747D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 xml:space="preserve">All </w:t>
            </w:r>
          </w:p>
          <w:p w:rsidR="00A04A7E" w:rsidRPr="00F65C65" w:rsidRDefault="00A04A7E" w:rsidP="00B747D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= 62</w:t>
            </w:r>
          </w:p>
          <w:p w:rsidR="00A04A7E" w:rsidRPr="00F65C65" w:rsidRDefault="00A04A7E" w:rsidP="00B747D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(%)</w:t>
            </w:r>
          </w:p>
        </w:tc>
        <w:tc>
          <w:tcPr>
            <w:tcW w:w="1473" w:type="dxa"/>
            <w:vAlign w:val="bottom"/>
          </w:tcPr>
          <w:p w:rsidR="00A04A7E" w:rsidRPr="00F65C65" w:rsidRDefault="00A04A7E" w:rsidP="00F65C65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HR+</w:t>
            </w:r>
          </w:p>
          <w:p w:rsidR="00A04A7E" w:rsidRPr="00F65C65" w:rsidRDefault="00A04A7E" w:rsidP="00F65C65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= 48</w:t>
            </w:r>
          </w:p>
          <w:p w:rsidR="00A04A7E" w:rsidRPr="00F65C65" w:rsidRDefault="00A04A7E" w:rsidP="00B747D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(%)</w:t>
            </w:r>
          </w:p>
        </w:tc>
        <w:tc>
          <w:tcPr>
            <w:tcW w:w="1283" w:type="dxa"/>
            <w:vAlign w:val="bottom"/>
          </w:tcPr>
          <w:p w:rsidR="00A04A7E" w:rsidRPr="00F65C65" w:rsidRDefault="00A04A7E" w:rsidP="00F65C65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TNBC</w:t>
            </w:r>
          </w:p>
          <w:p w:rsidR="00A04A7E" w:rsidRPr="00F65C65" w:rsidRDefault="00A04A7E" w:rsidP="00F65C65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= 14</w:t>
            </w:r>
          </w:p>
          <w:p w:rsidR="00A04A7E" w:rsidRPr="00F65C65" w:rsidRDefault="00A04A7E" w:rsidP="00B747D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n (%)</w:t>
            </w:r>
          </w:p>
        </w:tc>
      </w:tr>
      <w:tr w:rsidR="00A04A7E" w:rsidRPr="00F65C65">
        <w:tc>
          <w:tcPr>
            <w:tcW w:w="1078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RCB 0</w:t>
            </w:r>
          </w:p>
        </w:tc>
        <w:tc>
          <w:tcPr>
            <w:tcW w:w="1062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5 (8.2%)</w:t>
            </w:r>
          </w:p>
        </w:tc>
        <w:tc>
          <w:tcPr>
            <w:tcW w:w="147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5 (10.2%)</w:t>
            </w:r>
          </w:p>
        </w:tc>
        <w:tc>
          <w:tcPr>
            <w:tcW w:w="128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0 (0%)</w:t>
            </w:r>
          </w:p>
        </w:tc>
        <w:tc>
          <w:tcPr>
            <w:tcW w:w="1062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4 (6.5%)</w:t>
            </w:r>
          </w:p>
        </w:tc>
        <w:tc>
          <w:tcPr>
            <w:tcW w:w="147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1 (2.1%)</w:t>
            </w:r>
          </w:p>
        </w:tc>
        <w:tc>
          <w:tcPr>
            <w:tcW w:w="128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3 (21.4%)</w:t>
            </w:r>
          </w:p>
        </w:tc>
      </w:tr>
      <w:tr w:rsidR="00A04A7E" w:rsidRPr="00F65C65">
        <w:tc>
          <w:tcPr>
            <w:tcW w:w="1078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RCB 1</w:t>
            </w:r>
          </w:p>
        </w:tc>
        <w:tc>
          <w:tcPr>
            <w:tcW w:w="1062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3 (4.9%)</w:t>
            </w:r>
          </w:p>
        </w:tc>
        <w:tc>
          <w:tcPr>
            <w:tcW w:w="147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3 (6.1%)</w:t>
            </w:r>
          </w:p>
        </w:tc>
        <w:tc>
          <w:tcPr>
            <w:tcW w:w="128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0 (0%)</w:t>
            </w:r>
          </w:p>
        </w:tc>
        <w:tc>
          <w:tcPr>
            <w:tcW w:w="1062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3 (4.8%)</w:t>
            </w:r>
          </w:p>
        </w:tc>
        <w:tc>
          <w:tcPr>
            <w:tcW w:w="147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3 (6.3%)</w:t>
            </w:r>
          </w:p>
        </w:tc>
        <w:tc>
          <w:tcPr>
            <w:tcW w:w="128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0 (0%)</w:t>
            </w:r>
          </w:p>
        </w:tc>
      </w:tr>
      <w:tr w:rsidR="00A04A7E" w:rsidRPr="00F65C65">
        <w:tc>
          <w:tcPr>
            <w:tcW w:w="1078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RCB 2</w:t>
            </w:r>
          </w:p>
        </w:tc>
        <w:tc>
          <w:tcPr>
            <w:tcW w:w="1062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34 (55.7%)</w:t>
            </w:r>
          </w:p>
        </w:tc>
        <w:tc>
          <w:tcPr>
            <w:tcW w:w="147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25 (51.1%)</w:t>
            </w:r>
          </w:p>
        </w:tc>
        <w:tc>
          <w:tcPr>
            <w:tcW w:w="1283" w:type="dxa"/>
          </w:tcPr>
          <w:p w:rsidR="00A04A7E" w:rsidRPr="00F65C65" w:rsidRDefault="00A04A7E" w:rsidP="00C95ABD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9 (75%)</w:t>
            </w:r>
          </w:p>
        </w:tc>
        <w:tc>
          <w:tcPr>
            <w:tcW w:w="1062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31 (50%)</w:t>
            </w:r>
          </w:p>
        </w:tc>
        <w:tc>
          <w:tcPr>
            <w:tcW w:w="1473" w:type="dxa"/>
          </w:tcPr>
          <w:p w:rsidR="00A04A7E" w:rsidRPr="00F65C65" w:rsidRDefault="00A04A7E" w:rsidP="00C95ABD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25 (52%)</w:t>
            </w:r>
          </w:p>
        </w:tc>
        <w:tc>
          <w:tcPr>
            <w:tcW w:w="128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6 (42.9%)</w:t>
            </w:r>
          </w:p>
        </w:tc>
      </w:tr>
      <w:tr w:rsidR="00A04A7E" w:rsidRPr="00F65C65">
        <w:tc>
          <w:tcPr>
            <w:tcW w:w="1078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RCB 3</w:t>
            </w:r>
          </w:p>
        </w:tc>
        <w:tc>
          <w:tcPr>
            <w:tcW w:w="1062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17 (27.9%)</w:t>
            </w:r>
          </w:p>
        </w:tc>
        <w:tc>
          <w:tcPr>
            <w:tcW w:w="147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15 (30.6%)</w:t>
            </w:r>
          </w:p>
        </w:tc>
        <w:tc>
          <w:tcPr>
            <w:tcW w:w="128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2 (16.7%)</w:t>
            </w:r>
          </w:p>
        </w:tc>
        <w:tc>
          <w:tcPr>
            <w:tcW w:w="1062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23 (37.1%)</w:t>
            </w:r>
          </w:p>
        </w:tc>
        <w:tc>
          <w:tcPr>
            <w:tcW w:w="1473" w:type="dxa"/>
          </w:tcPr>
          <w:p w:rsidR="00A04A7E" w:rsidRPr="00F65C65" w:rsidRDefault="00A04A7E" w:rsidP="00C95ABD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18 (37.5%)</w:t>
            </w:r>
          </w:p>
        </w:tc>
        <w:tc>
          <w:tcPr>
            <w:tcW w:w="128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5 (35.7%)</w:t>
            </w:r>
          </w:p>
        </w:tc>
      </w:tr>
      <w:tr w:rsidR="00A04A7E" w:rsidRPr="00F65C65">
        <w:tc>
          <w:tcPr>
            <w:tcW w:w="1078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F65C65">
              <w:rPr>
                <w:rFonts w:ascii="Times New Roman" w:hAnsi="Times New Roman"/>
                <w:b/>
              </w:rPr>
              <w:t>Missing</w:t>
            </w:r>
          </w:p>
        </w:tc>
        <w:tc>
          <w:tcPr>
            <w:tcW w:w="1062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2 (3.3%)</w:t>
            </w:r>
          </w:p>
        </w:tc>
        <w:tc>
          <w:tcPr>
            <w:tcW w:w="147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1 (2%)</w:t>
            </w:r>
          </w:p>
        </w:tc>
        <w:tc>
          <w:tcPr>
            <w:tcW w:w="128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1 (8.3%)</w:t>
            </w:r>
          </w:p>
        </w:tc>
        <w:tc>
          <w:tcPr>
            <w:tcW w:w="1062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1 (1.6%)</w:t>
            </w:r>
          </w:p>
        </w:tc>
        <w:tc>
          <w:tcPr>
            <w:tcW w:w="147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1 (2.1%)</w:t>
            </w:r>
          </w:p>
        </w:tc>
        <w:tc>
          <w:tcPr>
            <w:tcW w:w="1283" w:type="dxa"/>
          </w:tcPr>
          <w:p w:rsidR="00A04A7E" w:rsidRPr="00F65C65" w:rsidRDefault="00A04A7E" w:rsidP="000434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65C65">
              <w:rPr>
                <w:rFonts w:ascii="Times New Roman" w:hAnsi="Times New Roman"/>
              </w:rPr>
              <w:t>0 (0%)</w:t>
            </w:r>
          </w:p>
        </w:tc>
      </w:tr>
    </w:tbl>
    <w:p w:rsidR="00A04A7E" w:rsidRPr="00F65C65" w:rsidRDefault="00A04A7E" w:rsidP="00A04A7E">
      <w:pPr>
        <w:spacing w:line="480" w:lineRule="auto"/>
        <w:jc w:val="both"/>
        <w:rPr>
          <w:rFonts w:ascii="Times New Roman" w:hAnsi="Times New Roman"/>
        </w:rPr>
      </w:pPr>
      <w:r w:rsidRPr="00F65C65">
        <w:rPr>
          <w:rFonts w:ascii="Times New Roman" w:hAnsi="Times New Roman"/>
        </w:rPr>
        <w:t>Abbreviations: HR+, hormone receptor positive; RCB, residual cancer burden; TNBC, triple negative breast cancer.</w:t>
      </w:r>
    </w:p>
    <w:p w:rsidR="003341A2" w:rsidRDefault="000133C6"/>
    <w:sectPr w:rsidR="003341A2" w:rsidSect="002B392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4A7E"/>
    <w:rsid w:val="000133C6"/>
    <w:rsid w:val="003A3044"/>
    <w:rsid w:val="00A04A7E"/>
    <w:rsid w:val="00A56D2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7E"/>
    <w:rPr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A0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Company>perica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quintela busto</dc:creator>
  <cp:keywords/>
  <cp:lastModifiedBy>mquintela</cp:lastModifiedBy>
  <cp:revision>3</cp:revision>
  <dcterms:created xsi:type="dcterms:W3CDTF">2016-03-19T10:58:00Z</dcterms:created>
  <dcterms:modified xsi:type="dcterms:W3CDTF">2016-05-31T16:27:00Z</dcterms:modified>
</cp:coreProperties>
</file>