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665" w:rsidRDefault="00362665">
      <w:pPr>
        <w:rPr>
          <w:rFonts w:ascii="Times New Roman" w:hAnsi="Times New Roman" w:cs="Times New Roman"/>
          <w:b/>
          <w:u w:val="single"/>
        </w:rPr>
      </w:pPr>
      <w:r w:rsidRPr="00362665">
        <w:rPr>
          <w:rFonts w:ascii="Times New Roman" w:hAnsi="Times New Roman" w:cs="Times New Roman"/>
          <w:b/>
          <w:u w:val="single"/>
        </w:rPr>
        <w:t>Supplementary Data</w:t>
      </w:r>
    </w:p>
    <w:p w:rsidR="00362665" w:rsidRDefault="00362665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Supplemental Table 1:  Optimal conditions for PDX model </w:t>
      </w:r>
      <w:proofErr w:type="spellStart"/>
      <w:r>
        <w:rPr>
          <w:rFonts w:ascii="Times New Roman" w:hAnsi="Times New Roman" w:cs="Times New Roman"/>
        </w:rPr>
        <w:t>luciferization</w:t>
      </w:r>
      <w:proofErr w:type="spellEnd"/>
    </w:p>
    <w:p w:rsidR="00A7139F" w:rsidRDefault="00A7139F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Supplemental Table 2:  Array CGH characterization of PDX models</w:t>
      </w:r>
    </w:p>
    <w:p w:rsidR="009F7888" w:rsidRDefault="009F7888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Supplemental Table </w:t>
      </w:r>
      <w:r w:rsidR="00A7139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:  BROCA characterization of PDX models</w:t>
      </w:r>
    </w:p>
    <w:p w:rsidR="00DF746D" w:rsidRDefault="0097632D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810339">
        <w:rPr>
          <w:rFonts w:ascii="Times New Roman" w:hAnsi="Times New Roman" w:cs="Times New Roman"/>
        </w:rPr>
        <w:t xml:space="preserve"> </w:t>
      </w:r>
      <w:r w:rsidR="00DF746D">
        <w:rPr>
          <w:rFonts w:ascii="Times New Roman" w:hAnsi="Times New Roman" w:cs="Times New Roman"/>
        </w:rPr>
        <w:t xml:space="preserve">Supplemental Table </w:t>
      </w:r>
      <w:r w:rsidR="00A7139F">
        <w:rPr>
          <w:rFonts w:ascii="Times New Roman" w:hAnsi="Times New Roman" w:cs="Times New Roman"/>
        </w:rPr>
        <w:t>4</w:t>
      </w:r>
      <w:r w:rsidR="00DF746D">
        <w:rPr>
          <w:rFonts w:ascii="Times New Roman" w:hAnsi="Times New Roman" w:cs="Times New Roman"/>
        </w:rPr>
        <w:t>:</w:t>
      </w:r>
      <w:r w:rsidR="002541A1">
        <w:rPr>
          <w:rFonts w:ascii="Times New Roman" w:hAnsi="Times New Roman" w:cs="Times New Roman"/>
        </w:rPr>
        <w:t xml:space="preserve"> </w:t>
      </w:r>
      <w:r w:rsidR="00DF746D">
        <w:rPr>
          <w:rFonts w:ascii="Times New Roman" w:hAnsi="Times New Roman" w:cs="Times New Roman"/>
        </w:rPr>
        <w:t xml:space="preserve"> </w:t>
      </w:r>
      <w:r w:rsidR="00DF746D" w:rsidRPr="00DF746D">
        <w:rPr>
          <w:rFonts w:ascii="Times New Roman" w:hAnsi="Times New Roman" w:cs="Times New Roman"/>
        </w:rPr>
        <w:t>Somatic Sequence Alterations in parental tumor and xenograft DF101</w:t>
      </w:r>
    </w:p>
    <w:p w:rsidR="00DF746D" w:rsidRDefault="0097632D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810339">
        <w:rPr>
          <w:rFonts w:ascii="Times New Roman" w:hAnsi="Times New Roman" w:cs="Times New Roman"/>
        </w:rPr>
        <w:t xml:space="preserve"> </w:t>
      </w:r>
      <w:r w:rsidR="00DF746D">
        <w:rPr>
          <w:rFonts w:ascii="Times New Roman" w:hAnsi="Times New Roman" w:cs="Times New Roman"/>
        </w:rPr>
        <w:t xml:space="preserve">Supplemental Table </w:t>
      </w:r>
      <w:r w:rsidR="00A7139F">
        <w:rPr>
          <w:rFonts w:ascii="Times New Roman" w:hAnsi="Times New Roman" w:cs="Times New Roman"/>
        </w:rPr>
        <w:t>5</w:t>
      </w:r>
      <w:r w:rsidR="00DF746D">
        <w:rPr>
          <w:rFonts w:ascii="Times New Roman" w:hAnsi="Times New Roman" w:cs="Times New Roman"/>
        </w:rPr>
        <w:t xml:space="preserve">: </w:t>
      </w:r>
      <w:r w:rsidR="002541A1">
        <w:rPr>
          <w:rFonts w:ascii="Times New Roman" w:hAnsi="Times New Roman" w:cs="Times New Roman"/>
        </w:rPr>
        <w:t xml:space="preserve"> </w:t>
      </w:r>
      <w:r w:rsidR="00DF746D" w:rsidRPr="00DF746D">
        <w:rPr>
          <w:rFonts w:ascii="Times New Roman" w:hAnsi="Times New Roman" w:cs="Times New Roman"/>
        </w:rPr>
        <w:t>Somatic Sequence Alterations in parental tumor and xenograft DF149</w:t>
      </w:r>
    </w:p>
    <w:p w:rsidR="009501D6" w:rsidRPr="00362665" w:rsidRDefault="0097632D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501D6">
        <w:rPr>
          <w:rFonts w:ascii="Times New Roman" w:hAnsi="Times New Roman" w:cs="Times New Roman"/>
        </w:rPr>
        <w:t xml:space="preserve">.  Supplemental Table </w:t>
      </w:r>
      <w:r w:rsidR="00A7139F">
        <w:rPr>
          <w:rFonts w:ascii="Times New Roman" w:hAnsi="Times New Roman" w:cs="Times New Roman"/>
        </w:rPr>
        <w:t>6</w:t>
      </w:r>
      <w:r w:rsidR="009501D6">
        <w:rPr>
          <w:rFonts w:ascii="Times New Roman" w:hAnsi="Times New Roman" w:cs="Times New Roman"/>
        </w:rPr>
        <w:t xml:space="preserve">: </w:t>
      </w:r>
      <w:r w:rsidR="002541A1">
        <w:rPr>
          <w:rFonts w:ascii="Times New Roman" w:hAnsi="Times New Roman" w:cs="Times New Roman"/>
        </w:rPr>
        <w:t xml:space="preserve"> </w:t>
      </w:r>
      <w:r w:rsidR="009501D6">
        <w:rPr>
          <w:rFonts w:ascii="Times New Roman" w:hAnsi="Times New Roman" w:cs="Times New Roman"/>
        </w:rPr>
        <w:t>PIK3CA FISH in PDX models</w:t>
      </w:r>
    </w:p>
    <w:p w:rsidR="00362665" w:rsidRDefault="0097632D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362665">
        <w:rPr>
          <w:rFonts w:ascii="Times New Roman" w:hAnsi="Times New Roman" w:cs="Times New Roman"/>
        </w:rPr>
        <w:t xml:space="preserve">.  Supplemental Figure 1:  Schema for PDX model generation and </w:t>
      </w:r>
      <w:proofErr w:type="spellStart"/>
      <w:r w:rsidR="00362665">
        <w:rPr>
          <w:rFonts w:ascii="Times New Roman" w:hAnsi="Times New Roman" w:cs="Times New Roman"/>
        </w:rPr>
        <w:t>luciferization</w:t>
      </w:r>
      <w:proofErr w:type="spellEnd"/>
    </w:p>
    <w:p w:rsidR="00A7139F" w:rsidRDefault="00A7139F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 Supplemental Figure 2:  IHC characterization through multiple passages of DF</w:t>
      </w:r>
      <w:r w:rsidR="007202B7">
        <w:rPr>
          <w:rFonts w:ascii="Times New Roman" w:hAnsi="Times New Roman" w:cs="Times New Roman"/>
        </w:rPr>
        <w:t>68</w:t>
      </w:r>
      <w:r>
        <w:rPr>
          <w:rFonts w:ascii="Times New Roman" w:hAnsi="Times New Roman" w:cs="Times New Roman"/>
        </w:rPr>
        <w:t xml:space="preserve"> PDX</w:t>
      </w:r>
    </w:p>
    <w:p w:rsidR="009F7888" w:rsidRDefault="0097632D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9F7888">
        <w:rPr>
          <w:rFonts w:ascii="Times New Roman" w:hAnsi="Times New Roman" w:cs="Times New Roman"/>
        </w:rPr>
        <w:t>.  Supplemental Figure 3:  Array CGH comparison between parental, initial</w:t>
      </w:r>
      <w:r w:rsidR="00483687">
        <w:rPr>
          <w:rFonts w:ascii="Times New Roman" w:hAnsi="Times New Roman" w:cs="Times New Roman"/>
        </w:rPr>
        <w:t xml:space="preserve"> </w:t>
      </w:r>
      <w:proofErr w:type="gramStart"/>
      <w:r w:rsidR="00483687">
        <w:rPr>
          <w:rFonts w:ascii="Times New Roman" w:hAnsi="Times New Roman" w:cs="Times New Roman"/>
        </w:rPr>
        <w:t>PDX,</w:t>
      </w:r>
      <w:proofErr w:type="gramEnd"/>
      <w:r w:rsidR="00483687">
        <w:rPr>
          <w:rFonts w:ascii="Times New Roman" w:hAnsi="Times New Roman" w:cs="Times New Roman"/>
        </w:rPr>
        <w:t xml:space="preserve"> a</w:t>
      </w:r>
      <w:r w:rsidR="002F3AE0">
        <w:rPr>
          <w:rFonts w:ascii="Times New Roman" w:hAnsi="Times New Roman" w:cs="Times New Roman"/>
        </w:rPr>
        <w:t xml:space="preserve">nd </w:t>
      </w:r>
      <w:proofErr w:type="spellStart"/>
      <w:r w:rsidR="002F3AE0">
        <w:rPr>
          <w:rFonts w:ascii="Times New Roman" w:hAnsi="Times New Roman" w:cs="Times New Roman"/>
        </w:rPr>
        <w:t>luciferized</w:t>
      </w:r>
      <w:proofErr w:type="spellEnd"/>
      <w:r w:rsidR="002F3AE0">
        <w:rPr>
          <w:rFonts w:ascii="Times New Roman" w:hAnsi="Times New Roman" w:cs="Times New Roman"/>
        </w:rPr>
        <w:t xml:space="preserve"> PDX cells in DF86</w:t>
      </w:r>
    </w:p>
    <w:p w:rsidR="009F7888" w:rsidRDefault="0097632D" w:rsidP="0036266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9F7888">
        <w:rPr>
          <w:rFonts w:ascii="Times New Roman" w:hAnsi="Times New Roman" w:cs="Times New Roman"/>
        </w:rPr>
        <w:t>.  Supplemental Figure 4:  PI3K pathway activation analysis from PDX RPPA samples</w:t>
      </w:r>
    </w:p>
    <w:p w:rsidR="00720E68" w:rsidRDefault="00720E68" w:rsidP="00362665">
      <w:pPr>
        <w:spacing w:after="0" w:line="240" w:lineRule="auto"/>
        <w:rPr>
          <w:rFonts w:ascii="Times New Roman" w:hAnsi="Times New Roman" w:cs="Times New Roman"/>
        </w:rPr>
        <w:sectPr w:rsidR="00720E68" w:rsidSect="003626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>10. Supplemental Figure 5:  Correlation between BLI and plasma CA125 biomarker levels in DF14-Luc</w:t>
      </w:r>
    </w:p>
    <w:p w:rsidR="00362665" w:rsidRDefault="00362665" w:rsidP="00362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888">
        <w:rPr>
          <w:rFonts w:ascii="Times New Roman" w:hAnsi="Times New Roman" w:cs="Times New Roman"/>
          <w:sz w:val="24"/>
          <w:szCs w:val="24"/>
        </w:rPr>
        <w:lastRenderedPageBreak/>
        <w:t xml:space="preserve">Supplemental Table 1:  </w:t>
      </w:r>
      <w:proofErr w:type="spellStart"/>
      <w:r w:rsidRPr="009F7888">
        <w:rPr>
          <w:rFonts w:ascii="Times New Roman" w:hAnsi="Times New Roman" w:cs="Times New Roman"/>
          <w:sz w:val="24"/>
          <w:szCs w:val="24"/>
        </w:rPr>
        <w:t>Luciferization</w:t>
      </w:r>
      <w:proofErr w:type="spellEnd"/>
      <w:r w:rsidRPr="009F7888">
        <w:rPr>
          <w:rFonts w:ascii="Times New Roman" w:hAnsi="Times New Roman" w:cs="Times New Roman"/>
          <w:sz w:val="24"/>
          <w:szCs w:val="24"/>
        </w:rPr>
        <w:t xml:space="preserve"> conditions for DF PDX models</w:t>
      </w:r>
    </w:p>
    <w:p w:rsidR="009501D6" w:rsidRPr="009F7888" w:rsidRDefault="009501D6" w:rsidP="00362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3338" w:type="dxa"/>
        <w:tblLayout w:type="fixed"/>
        <w:tblLook w:val="04A0" w:firstRow="1" w:lastRow="0" w:firstColumn="1" w:lastColumn="0" w:noHBand="0" w:noVBand="1"/>
      </w:tblPr>
      <w:tblGrid>
        <w:gridCol w:w="918"/>
        <w:gridCol w:w="2880"/>
        <w:gridCol w:w="1530"/>
        <w:gridCol w:w="1260"/>
        <w:gridCol w:w="1350"/>
        <w:gridCol w:w="1620"/>
        <w:gridCol w:w="1260"/>
        <w:gridCol w:w="2520"/>
      </w:tblGrid>
      <w:tr w:rsidR="00362665" w:rsidRPr="00362665" w:rsidTr="00362665">
        <w:tc>
          <w:tcPr>
            <w:tcW w:w="918" w:type="dxa"/>
          </w:tcPr>
          <w:p w:rsidR="00362665" w:rsidRPr="00362665" w:rsidRDefault="00362665" w:rsidP="003626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665">
              <w:rPr>
                <w:rFonts w:ascii="Times New Roman" w:hAnsi="Times New Roman" w:cs="Times New Roman"/>
                <w:b/>
              </w:rPr>
              <w:t>DF ID</w:t>
            </w:r>
          </w:p>
        </w:tc>
        <w:tc>
          <w:tcPr>
            <w:tcW w:w="2880" w:type="dxa"/>
          </w:tcPr>
          <w:p w:rsidR="00362665" w:rsidRPr="00362665" w:rsidRDefault="00362665" w:rsidP="003626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665">
              <w:rPr>
                <w:rFonts w:ascii="Times New Roman" w:hAnsi="Times New Roman" w:cs="Times New Roman"/>
                <w:b/>
              </w:rPr>
              <w:t>Infection method</w:t>
            </w:r>
          </w:p>
        </w:tc>
        <w:tc>
          <w:tcPr>
            <w:tcW w:w="1530" w:type="dxa"/>
          </w:tcPr>
          <w:p w:rsidR="00362665" w:rsidRPr="00362665" w:rsidRDefault="00362665" w:rsidP="0036266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62665">
              <w:rPr>
                <w:rFonts w:ascii="Times New Roman" w:hAnsi="Times New Roman" w:cs="Times New Roman"/>
                <w:b/>
              </w:rPr>
              <w:t>Puromycin</w:t>
            </w:r>
            <w:proofErr w:type="spellEnd"/>
            <w:r w:rsidRPr="00362665">
              <w:rPr>
                <w:rFonts w:ascii="Times New Roman" w:hAnsi="Times New Roman" w:cs="Times New Roman"/>
                <w:b/>
              </w:rPr>
              <w:t xml:space="preserve"> concentration (</w:t>
            </w:r>
            <w:proofErr w:type="spellStart"/>
            <w:r w:rsidRPr="00362665">
              <w:rPr>
                <w:rFonts w:ascii="Times New Roman" w:hAnsi="Times New Roman" w:cs="Times New Roman"/>
                <w:b/>
              </w:rPr>
              <w:t>ug</w:t>
            </w:r>
            <w:proofErr w:type="spellEnd"/>
            <w:r w:rsidRPr="00362665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260" w:type="dxa"/>
          </w:tcPr>
          <w:p w:rsidR="00362665" w:rsidRPr="00362665" w:rsidRDefault="00362665" w:rsidP="003626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665">
              <w:rPr>
                <w:rFonts w:ascii="Times New Roman" w:hAnsi="Times New Roman" w:cs="Times New Roman"/>
                <w:b/>
              </w:rPr>
              <w:t xml:space="preserve">Days in </w:t>
            </w:r>
            <w:proofErr w:type="spellStart"/>
            <w:r w:rsidRPr="00362665">
              <w:rPr>
                <w:rFonts w:ascii="Times New Roman" w:hAnsi="Times New Roman" w:cs="Times New Roman"/>
                <w:b/>
              </w:rPr>
              <w:t>puromycin</w:t>
            </w:r>
            <w:proofErr w:type="spellEnd"/>
          </w:p>
        </w:tc>
        <w:tc>
          <w:tcPr>
            <w:tcW w:w="1350" w:type="dxa"/>
          </w:tcPr>
          <w:p w:rsidR="00362665" w:rsidRPr="00362665" w:rsidRDefault="00362665" w:rsidP="003626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665">
              <w:rPr>
                <w:rFonts w:ascii="Times New Roman" w:hAnsi="Times New Roman" w:cs="Times New Roman"/>
                <w:b/>
              </w:rPr>
              <w:t>Day / Luc counts</w:t>
            </w:r>
          </w:p>
        </w:tc>
        <w:tc>
          <w:tcPr>
            <w:tcW w:w="1620" w:type="dxa"/>
          </w:tcPr>
          <w:p w:rsidR="00362665" w:rsidRPr="00362665" w:rsidRDefault="00362665" w:rsidP="003626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665">
              <w:rPr>
                <w:rFonts w:ascii="Times New Roman" w:hAnsi="Times New Roman" w:cs="Times New Roman"/>
                <w:b/>
              </w:rPr>
              <w:t>% viable cells / ATP assay</w:t>
            </w:r>
          </w:p>
        </w:tc>
        <w:tc>
          <w:tcPr>
            <w:tcW w:w="1260" w:type="dxa"/>
          </w:tcPr>
          <w:p w:rsidR="00362665" w:rsidRPr="00362665" w:rsidRDefault="00362665" w:rsidP="003626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665">
              <w:rPr>
                <w:rFonts w:ascii="Times New Roman" w:hAnsi="Times New Roman" w:cs="Times New Roman"/>
                <w:b/>
              </w:rPr>
              <w:t>Medium</w:t>
            </w:r>
          </w:p>
        </w:tc>
        <w:tc>
          <w:tcPr>
            <w:tcW w:w="2520" w:type="dxa"/>
          </w:tcPr>
          <w:p w:rsidR="00362665" w:rsidRPr="00362665" w:rsidRDefault="00362665" w:rsidP="003626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2665">
              <w:rPr>
                <w:rFonts w:ascii="Times New Roman" w:hAnsi="Times New Roman" w:cs="Times New Roman"/>
                <w:b/>
              </w:rPr>
              <w:t>Days between collection and re-implantation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DF09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2x </w:t>
            </w:r>
            <w:proofErr w:type="spellStart"/>
            <w:r>
              <w:rPr>
                <w:rFonts w:ascii="Times New Roman" w:hAnsi="Times New Roman" w:cs="Times New Roman"/>
              </w:rPr>
              <w:t>accutase</w:t>
            </w:r>
            <w:proofErr w:type="spellEnd"/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/ 1949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RPMI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DF14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2x </w:t>
            </w:r>
            <w:proofErr w:type="spellStart"/>
            <w:r>
              <w:rPr>
                <w:rFonts w:ascii="Times New Roman" w:hAnsi="Times New Roman" w:cs="Times New Roman"/>
              </w:rPr>
              <w:t>spinfect</w:t>
            </w:r>
            <w:proofErr w:type="spellEnd"/>
            <w:r>
              <w:rPr>
                <w:rFonts w:ascii="Times New Roman" w:hAnsi="Times New Roman" w:cs="Times New Roman"/>
              </w:rPr>
              <w:t xml:space="preserve"> 600g x 30’ </w:t>
            </w:r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/ 19,837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9-12%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WIT-P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DF20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2x mix shake &amp; direct, </w:t>
            </w:r>
            <w:proofErr w:type="spellStart"/>
            <w:r>
              <w:rPr>
                <w:rFonts w:ascii="Times New Roman" w:hAnsi="Times New Roman" w:cs="Times New Roman"/>
              </w:rPr>
              <w:t>accutase</w:t>
            </w:r>
            <w:proofErr w:type="spellEnd"/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/ 8290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12.2-13%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R+P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DF59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2x direct, </w:t>
            </w:r>
            <w:proofErr w:type="spellStart"/>
            <w:r>
              <w:rPr>
                <w:rFonts w:ascii="Times New Roman" w:hAnsi="Times New Roman" w:cs="Times New Roman"/>
              </w:rPr>
              <w:t>accutase</w:t>
            </w:r>
            <w:proofErr w:type="spellEnd"/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/ 3146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25.8-64.3%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RPMI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DF68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2x direct, </w:t>
            </w:r>
            <w:proofErr w:type="spellStart"/>
            <w:r>
              <w:rPr>
                <w:rFonts w:ascii="Times New Roman" w:hAnsi="Times New Roman" w:cs="Times New Roman"/>
              </w:rPr>
              <w:t>accutase</w:t>
            </w:r>
            <w:proofErr w:type="spellEnd"/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/ 1087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3.7-10%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R+P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DF83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2x direct, </w:t>
            </w:r>
            <w:proofErr w:type="spellStart"/>
            <w:r>
              <w:rPr>
                <w:rFonts w:ascii="Times New Roman" w:hAnsi="Times New Roman" w:cs="Times New Roman"/>
              </w:rPr>
              <w:t>accutase</w:t>
            </w:r>
            <w:proofErr w:type="spellEnd"/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/ 34,481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14-45%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WIT-P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DF86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2x shake 30’, </w:t>
            </w:r>
            <w:proofErr w:type="spellStart"/>
            <w:r>
              <w:rPr>
                <w:rFonts w:ascii="Times New Roman" w:hAnsi="Times New Roman" w:cs="Times New Roman"/>
              </w:rPr>
              <w:t>accutase</w:t>
            </w:r>
            <w:proofErr w:type="spellEnd"/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/ 32,897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5.6-23.3%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R+P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DF101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1x direct, </w:t>
            </w:r>
            <w:proofErr w:type="spellStart"/>
            <w:r>
              <w:rPr>
                <w:rFonts w:ascii="Times New Roman" w:hAnsi="Times New Roman" w:cs="Times New Roman"/>
              </w:rPr>
              <w:t>accutase</w:t>
            </w:r>
            <w:proofErr w:type="spellEnd"/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/ 2356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1.3-8.4%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RPMI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DF106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1x shake, </w:t>
            </w:r>
            <w:proofErr w:type="spellStart"/>
            <w:r>
              <w:rPr>
                <w:rFonts w:ascii="Times New Roman" w:hAnsi="Times New Roman" w:cs="Times New Roman"/>
              </w:rPr>
              <w:t>accutase</w:t>
            </w:r>
            <w:proofErr w:type="spellEnd"/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/ 399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4.1-61%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WIT-P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DF118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Poly / 2x direct</w:t>
            </w:r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 22,600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3.65-5.92%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WIT-T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DF149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Poly / 2x direct</w:t>
            </w:r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/ 3145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WIT-P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DF172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 / 2x direct, </w:t>
            </w:r>
            <w:proofErr w:type="spellStart"/>
            <w:r>
              <w:rPr>
                <w:rFonts w:ascii="Times New Roman" w:hAnsi="Times New Roman" w:cs="Times New Roman"/>
              </w:rPr>
              <w:t>accutase</w:t>
            </w:r>
            <w:proofErr w:type="spellEnd"/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/ 115,807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3.4-55%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RPMI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DF181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Poly / 2x mix</w:t>
            </w:r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WIT-P1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362665" w:rsidTr="00362665">
        <w:tc>
          <w:tcPr>
            <w:tcW w:w="918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DF216</w:t>
            </w:r>
          </w:p>
        </w:tc>
        <w:tc>
          <w:tcPr>
            <w:tcW w:w="2880" w:type="dxa"/>
          </w:tcPr>
          <w:p w:rsidR="00362665" w:rsidRDefault="00362665" w:rsidP="003626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Poly / 2x direct</w:t>
            </w:r>
          </w:p>
        </w:tc>
        <w:tc>
          <w:tcPr>
            <w:tcW w:w="153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6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6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RPMI</w:t>
            </w:r>
          </w:p>
        </w:tc>
        <w:tc>
          <w:tcPr>
            <w:tcW w:w="2520" w:type="dxa"/>
          </w:tcPr>
          <w:p w:rsidR="00362665" w:rsidRDefault="00362665" w:rsidP="003626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362665" w:rsidRPr="009F7888" w:rsidRDefault="00362665" w:rsidP="009F7888">
      <w:pPr>
        <w:spacing w:after="0" w:line="240" w:lineRule="auto"/>
        <w:rPr>
          <w:rFonts w:ascii="Times New Roman" w:hAnsi="Times New Roman" w:cs="Times New Roman"/>
        </w:rPr>
      </w:pPr>
    </w:p>
    <w:p w:rsidR="001A731A" w:rsidRPr="009F7888" w:rsidRDefault="001A731A" w:rsidP="009F7888">
      <w:pPr>
        <w:spacing w:after="0" w:line="240" w:lineRule="auto"/>
        <w:rPr>
          <w:rFonts w:ascii="Times New Roman" w:hAnsi="Times New Roman" w:cs="Times New Roman"/>
        </w:rPr>
      </w:pPr>
    </w:p>
    <w:p w:rsidR="009F7888" w:rsidRDefault="009F78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F7888" w:rsidRDefault="00720E68" w:rsidP="009F78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Supplemental Table 3</w:t>
      </w:r>
      <w:r w:rsidR="009F7888" w:rsidRPr="009F7888">
        <w:rPr>
          <w:rFonts w:ascii="Times New Roman" w:hAnsi="Times New Roman" w:cs="Times New Roman"/>
          <w:sz w:val="24"/>
          <w:szCs w:val="24"/>
        </w:rPr>
        <w:t xml:space="preserve">: </w:t>
      </w:r>
      <w:r w:rsidR="009F7888">
        <w:rPr>
          <w:rFonts w:ascii="Times New Roman" w:hAnsi="Times New Roman" w:cs="Times New Roman"/>
          <w:sz w:val="24"/>
          <w:szCs w:val="24"/>
        </w:rPr>
        <w:t xml:space="preserve"> BROCA characterization of PDX models</w:t>
      </w:r>
    </w:p>
    <w:p w:rsidR="009501D6" w:rsidRDefault="009501D6" w:rsidP="009F78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2258" w:type="dxa"/>
        <w:tblLayout w:type="fixed"/>
        <w:tblLook w:val="04A0" w:firstRow="1" w:lastRow="0" w:firstColumn="1" w:lastColumn="0" w:noHBand="0" w:noVBand="1"/>
      </w:tblPr>
      <w:tblGrid>
        <w:gridCol w:w="918"/>
        <w:gridCol w:w="2880"/>
        <w:gridCol w:w="2610"/>
        <w:gridCol w:w="3060"/>
        <w:gridCol w:w="2790"/>
      </w:tblGrid>
      <w:tr w:rsidR="00226F0A" w:rsidRPr="00483687" w:rsidTr="00483687">
        <w:tc>
          <w:tcPr>
            <w:tcW w:w="918" w:type="dxa"/>
          </w:tcPr>
          <w:p w:rsidR="00226F0A" w:rsidRPr="00483687" w:rsidRDefault="00226F0A" w:rsidP="00106F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687">
              <w:rPr>
                <w:rFonts w:ascii="Times New Roman" w:hAnsi="Times New Roman" w:cs="Times New Roman"/>
                <w:b/>
              </w:rPr>
              <w:t>DF ID</w:t>
            </w:r>
          </w:p>
        </w:tc>
        <w:tc>
          <w:tcPr>
            <w:tcW w:w="2880" w:type="dxa"/>
          </w:tcPr>
          <w:p w:rsidR="00226F0A" w:rsidRPr="00483687" w:rsidRDefault="00226F0A" w:rsidP="00106F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687">
              <w:rPr>
                <w:rFonts w:ascii="Times New Roman" w:hAnsi="Times New Roman" w:cs="Times New Roman"/>
                <w:b/>
              </w:rPr>
              <w:t>Patient Tumor</w:t>
            </w:r>
          </w:p>
        </w:tc>
        <w:tc>
          <w:tcPr>
            <w:tcW w:w="2610" w:type="dxa"/>
          </w:tcPr>
          <w:p w:rsidR="00226F0A" w:rsidRPr="00483687" w:rsidRDefault="00226F0A" w:rsidP="00106F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687">
              <w:rPr>
                <w:rFonts w:ascii="Times New Roman" w:hAnsi="Times New Roman" w:cs="Times New Roman"/>
                <w:b/>
              </w:rPr>
              <w:t>Variant Allelic Fraction (Tumor)</w:t>
            </w:r>
          </w:p>
        </w:tc>
        <w:tc>
          <w:tcPr>
            <w:tcW w:w="3060" w:type="dxa"/>
          </w:tcPr>
          <w:p w:rsidR="00226F0A" w:rsidRPr="00483687" w:rsidRDefault="00226F0A" w:rsidP="00106F7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83687">
              <w:rPr>
                <w:rFonts w:ascii="Times New Roman" w:hAnsi="Times New Roman" w:cs="Times New Roman"/>
                <w:b/>
              </w:rPr>
              <w:t>Luciferized</w:t>
            </w:r>
            <w:proofErr w:type="spellEnd"/>
            <w:r w:rsidRPr="00483687">
              <w:rPr>
                <w:rFonts w:ascii="Times New Roman" w:hAnsi="Times New Roman" w:cs="Times New Roman"/>
                <w:b/>
              </w:rPr>
              <w:t xml:space="preserve"> PDX</w:t>
            </w:r>
          </w:p>
        </w:tc>
        <w:tc>
          <w:tcPr>
            <w:tcW w:w="2790" w:type="dxa"/>
          </w:tcPr>
          <w:p w:rsidR="00226F0A" w:rsidRPr="00483687" w:rsidRDefault="00226F0A" w:rsidP="00226F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687">
              <w:rPr>
                <w:rFonts w:ascii="Times New Roman" w:hAnsi="Times New Roman" w:cs="Times New Roman"/>
                <w:b/>
              </w:rPr>
              <w:t xml:space="preserve">Variant Allelic Fraction </w:t>
            </w:r>
          </w:p>
          <w:p w:rsidR="00226F0A" w:rsidRPr="00483687" w:rsidRDefault="00226F0A" w:rsidP="00226F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687">
              <w:rPr>
                <w:rFonts w:ascii="Times New Roman" w:hAnsi="Times New Roman" w:cs="Times New Roman"/>
                <w:b/>
              </w:rPr>
              <w:t>(PDX)</w:t>
            </w:r>
          </w:p>
        </w:tc>
      </w:tr>
      <w:tr w:rsidR="00687750" w:rsidRPr="00483687" w:rsidTr="00483687">
        <w:tc>
          <w:tcPr>
            <w:tcW w:w="918" w:type="dxa"/>
            <w:vMerge w:val="restart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DF20</w:t>
            </w:r>
          </w:p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0.99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PTEN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 xml:space="preserve">0.13, 0.05, 0.05, 0.04 </w:t>
            </w:r>
          </w:p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(multiple variants)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PPM1D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Unknown</w:t>
            </w:r>
          </w:p>
        </w:tc>
      </w:tr>
      <w:tr w:rsidR="00687750" w:rsidRPr="00483687" w:rsidTr="00483687">
        <w:tc>
          <w:tcPr>
            <w:tcW w:w="918" w:type="dxa"/>
            <w:vMerge w:val="restart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DF68</w:t>
            </w: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1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BRCA1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BRCA1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1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PTEN copy loss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PTEN copy loss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--</w:t>
            </w:r>
          </w:p>
        </w:tc>
      </w:tr>
      <w:tr w:rsidR="00687750" w:rsidRPr="00483687" w:rsidTr="00483687">
        <w:tc>
          <w:tcPr>
            <w:tcW w:w="918" w:type="dxa"/>
            <w:vMerge w:val="restart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DF83</w:t>
            </w: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0.96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CDKN2A copy loss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CDKN2A copy loss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SDHC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0.03</w:t>
            </w:r>
          </w:p>
        </w:tc>
      </w:tr>
      <w:tr w:rsidR="00687750" w:rsidRPr="00483687" w:rsidTr="00483687">
        <w:tc>
          <w:tcPr>
            <w:tcW w:w="918" w:type="dxa"/>
            <w:vMerge w:val="restart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DF86</w:t>
            </w: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1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BRCA1 copy loss of last 5 exons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BRCA1 copy loss of last 5 exons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--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APC (mutation conserves amino acid sequence)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 xml:space="preserve">0.29 </w:t>
            </w:r>
          </w:p>
        </w:tc>
      </w:tr>
      <w:tr w:rsidR="00687750" w:rsidRPr="00483687" w:rsidTr="00483687">
        <w:tc>
          <w:tcPr>
            <w:tcW w:w="918" w:type="dxa"/>
            <w:vMerge w:val="restart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DF101</w:t>
            </w: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0.99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BRCA1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BRCA1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0.97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NBN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NBN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Unknown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PTEN copy loss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PTEN copy loss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7750" w:rsidRPr="00483687" w:rsidTr="00483687">
        <w:tc>
          <w:tcPr>
            <w:tcW w:w="918" w:type="dxa"/>
            <w:vMerge w:val="restart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DF106</w:t>
            </w: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0.99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CDKN2A copy loss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CDKN2A copy loss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6F0A" w:rsidRPr="00483687" w:rsidTr="00483687">
        <w:tc>
          <w:tcPr>
            <w:tcW w:w="918" w:type="dxa"/>
          </w:tcPr>
          <w:p w:rsidR="00226F0A" w:rsidRPr="00483687" w:rsidRDefault="00226F0A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DF118</w:t>
            </w:r>
          </w:p>
        </w:tc>
        <w:tc>
          <w:tcPr>
            <w:tcW w:w="2880" w:type="dxa"/>
          </w:tcPr>
          <w:p w:rsidR="00226F0A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226F0A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3060" w:type="dxa"/>
          </w:tcPr>
          <w:p w:rsidR="00226F0A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226F0A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0.99</w:t>
            </w:r>
          </w:p>
        </w:tc>
      </w:tr>
      <w:tr w:rsidR="00226F0A" w:rsidRPr="00483687" w:rsidTr="00483687">
        <w:tc>
          <w:tcPr>
            <w:tcW w:w="918" w:type="dxa"/>
          </w:tcPr>
          <w:p w:rsidR="00226F0A" w:rsidRPr="00483687" w:rsidRDefault="00226F0A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DF149</w:t>
            </w:r>
          </w:p>
        </w:tc>
        <w:tc>
          <w:tcPr>
            <w:tcW w:w="2880" w:type="dxa"/>
          </w:tcPr>
          <w:p w:rsidR="00226F0A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226F0A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3060" w:type="dxa"/>
          </w:tcPr>
          <w:p w:rsidR="00226F0A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226F0A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0.98</w:t>
            </w:r>
          </w:p>
        </w:tc>
      </w:tr>
      <w:tr w:rsidR="00687750" w:rsidRPr="00483687" w:rsidTr="00483687">
        <w:tc>
          <w:tcPr>
            <w:tcW w:w="918" w:type="dxa"/>
            <w:vMerge w:val="restart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DF172</w:t>
            </w: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0.98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RET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0.1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RAD51C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Unknown</w:t>
            </w:r>
          </w:p>
        </w:tc>
      </w:tr>
      <w:tr w:rsidR="00687750" w:rsidRPr="00483687" w:rsidTr="00483687">
        <w:tc>
          <w:tcPr>
            <w:tcW w:w="918" w:type="dxa"/>
            <w:vMerge w:val="restart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DF181</w:t>
            </w: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0.94</w:t>
            </w:r>
          </w:p>
        </w:tc>
      </w:tr>
      <w:tr w:rsidR="00687750" w:rsidRPr="00483687" w:rsidTr="00483687">
        <w:tc>
          <w:tcPr>
            <w:tcW w:w="918" w:type="dxa"/>
            <w:vMerge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687750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BRIP1</w:t>
            </w:r>
          </w:p>
        </w:tc>
        <w:tc>
          <w:tcPr>
            <w:tcW w:w="261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3060" w:type="dxa"/>
          </w:tcPr>
          <w:p w:rsidR="00687750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BRIP1</w:t>
            </w:r>
          </w:p>
        </w:tc>
        <w:tc>
          <w:tcPr>
            <w:tcW w:w="2790" w:type="dxa"/>
          </w:tcPr>
          <w:p w:rsidR="00687750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0.94</w:t>
            </w:r>
          </w:p>
        </w:tc>
      </w:tr>
      <w:tr w:rsidR="00226F0A" w:rsidRPr="00483687" w:rsidTr="00483687">
        <w:tc>
          <w:tcPr>
            <w:tcW w:w="918" w:type="dxa"/>
          </w:tcPr>
          <w:p w:rsidR="00226F0A" w:rsidRPr="00483687" w:rsidRDefault="00226F0A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DF216</w:t>
            </w:r>
          </w:p>
        </w:tc>
        <w:tc>
          <w:tcPr>
            <w:tcW w:w="2880" w:type="dxa"/>
          </w:tcPr>
          <w:p w:rsidR="00226F0A" w:rsidRPr="00483687" w:rsidRDefault="00687750" w:rsidP="00106F7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610" w:type="dxa"/>
          </w:tcPr>
          <w:p w:rsidR="00226F0A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~0.75 (manual estimate)</w:t>
            </w:r>
          </w:p>
        </w:tc>
        <w:tc>
          <w:tcPr>
            <w:tcW w:w="3060" w:type="dxa"/>
          </w:tcPr>
          <w:p w:rsidR="00226F0A" w:rsidRPr="00483687" w:rsidRDefault="00687750" w:rsidP="00687750">
            <w:pPr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90" w:type="dxa"/>
          </w:tcPr>
          <w:p w:rsidR="00226F0A" w:rsidRPr="00483687" w:rsidRDefault="00687750" w:rsidP="00106F70">
            <w:pPr>
              <w:jc w:val="center"/>
              <w:rPr>
                <w:rFonts w:ascii="Times New Roman" w:hAnsi="Times New Roman" w:cs="Times New Roman"/>
              </w:rPr>
            </w:pPr>
            <w:r w:rsidRPr="00483687">
              <w:rPr>
                <w:rFonts w:ascii="Times New Roman" w:hAnsi="Times New Roman" w:cs="Times New Roman"/>
              </w:rPr>
              <w:t>~1 (manual estimate)</w:t>
            </w:r>
          </w:p>
        </w:tc>
      </w:tr>
    </w:tbl>
    <w:p w:rsidR="00483687" w:rsidRDefault="00483687" w:rsidP="009F78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1D6" w:rsidRDefault="009501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01D6" w:rsidRDefault="009501D6" w:rsidP="00950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Supplemental Table </w:t>
      </w:r>
      <w:r w:rsidR="00720E6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  PIK3CA FISH of PDX models</w:t>
      </w:r>
    </w:p>
    <w:p w:rsidR="009501D6" w:rsidRDefault="009501D6" w:rsidP="00950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2610"/>
        <w:gridCol w:w="1710"/>
      </w:tblGrid>
      <w:tr w:rsidR="009501D6" w:rsidRPr="009501D6" w:rsidTr="009501D6">
        <w:tc>
          <w:tcPr>
            <w:tcW w:w="1548" w:type="dxa"/>
          </w:tcPr>
          <w:p w:rsidR="009501D6" w:rsidRPr="009501D6" w:rsidRDefault="009501D6" w:rsidP="0095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1D6">
              <w:rPr>
                <w:rFonts w:ascii="Times New Roman" w:hAnsi="Times New Roman" w:cs="Times New Roman"/>
                <w:b/>
                <w:sz w:val="24"/>
                <w:szCs w:val="24"/>
              </w:rPr>
              <w:t>DF ID</w:t>
            </w:r>
          </w:p>
        </w:tc>
        <w:tc>
          <w:tcPr>
            <w:tcW w:w="2610" w:type="dxa"/>
          </w:tcPr>
          <w:p w:rsidR="009501D6" w:rsidRPr="009501D6" w:rsidRDefault="009501D6" w:rsidP="0095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1D6">
              <w:rPr>
                <w:rFonts w:ascii="Times New Roman" w:hAnsi="Times New Roman" w:cs="Times New Roman"/>
                <w:b/>
                <w:sz w:val="24"/>
                <w:szCs w:val="24"/>
              </w:rPr>
              <w:t>PIK3CA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501D6">
              <w:rPr>
                <w:rFonts w:ascii="Times New Roman" w:hAnsi="Times New Roman" w:cs="Times New Roman"/>
                <w:b/>
                <w:sz w:val="24"/>
                <w:szCs w:val="24"/>
              </w:rPr>
              <w:t>CEP3 ratio</w:t>
            </w:r>
          </w:p>
        </w:tc>
        <w:tc>
          <w:tcPr>
            <w:tcW w:w="1710" w:type="dxa"/>
          </w:tcPr>
          <w:p w:rsidR="009501D6" w:rsidRPr="009501D6" w:rsidRDefault="009501D6" w:rsidP="00950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1D6">
              <w:rPr>
                <w:rFonts w:ascii="Times New Roman" w:hAnsi="Times New Roman" w:cs="Times New Roman"/>
                <w:b/>
                <w:sz w:val="24"/>
                <w:szCs w:val="24"/>
              </w:rPr>
              <w:t>Status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DF09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DF14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DF20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Amplification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DF59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1.76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DF68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DF83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DF86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Amplification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DF101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DF106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Amplification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DF118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DF149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DF172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1.68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DF181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Gain</w:t>
            </w:r>
          </w:p>
        </w:tc>
      </w:tr>
      <w:tr w:rsidR="009501D6" w:rsidTr="009501D6">
        <w:tc>
          <w:tcPr>
            <w:tcW w:w="1548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DF216</w:t>
            </w:r>
          </w:p>
        </w:tc>
        <w:tc>
          <w:tcPr>
            <w:tcW w:w="26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710" w:type="dxa"/>
          </w:tcPr>
          <w:p w:rsidR="009501D6" w:rsidRDefault="009501D6" w:rsidP="00950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Gain</w:t>
            </w:r>
          </w:p>
        </w:tc>
      </w:tr>
    </w:tbl>
    <w:p w:rsidR="009501D6" w:rsidRDefault="00483687" w:rsidP="00950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7888" w:rsidRDefault="00483687" w:rsidP="009F78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Supplemental Figure 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Schema for PDX model generation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luciferization</w:t>
      </w:r>
      <w:proofErr w:type="spellEnd"/>
    </w:p>
    <w:p w:rsidR="00483687" w:rsidRDefault="00624660" w:rsidP="004836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59087C" wp14:editId="7B7DAB78">
            <wp:extent cx="7571145" cy="57277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87" w:rsidRDefault="00483687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Supplemental Figure 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3687">
        <w:rPr>
          <w:rFonts w:ascii="Times New Roman" w:hAnsi="Times New Roman" w:cs="Times New Roman"/>
          <w:sz w:val="24"/>
          <w:szCs w:val="24"/>
        </w:rPr>
        <w:t>IHC characterization through multiple passages of DF</w:t>
      </w:r>
      <w:r w:rsidR="007202B7">
        <w:rPr>
          <w:rFonts w:ascii="Times New Roman" w:hAnsi="Times New Roman" w:cs="Times New Roman"/>
          <w:sz w:val="24"/>
          <w:szCs w:val="24"/>
        </w:rPr>
        <w:t>68</w:t>
      </w:r>
      <w:r w:rsidRPr="00483687">
        <w:rPr>
          <w:rFonts w:ascii="Times New Roman" w:hAnsi="Times New Roman" w:cs="Times New Roman"/>
          <w:sz w:val="24"/>
          <w:szCs w:val="24"/>
        </w:rPr>
        <w:t xml:space="preserve"> PDX</w:t>
      </w:r>
    </w:p>
    <w:p w:rsidR="00483687" w:rsidRDefault="00483687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687" w:rsidRDefault="00483687" w:rsidP="004836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35277" cy="43304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045" cy="43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87" w:rsidRDefault="00483687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687" w:rsidRDefault="00483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3687" w:rsidRDefault="00483687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Supplemental Figure 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F3AE0" w:rsidRPr="002F3AE0">
        <w:rPr>
          <w:rFonts w:ascii="Times New Roman" w:hAnsi="Times New Roman" w:cs="Times New Roman"/>
          <w:sz w:val="24"/>
          <w:szCs w:val="24"/>
        </w:rPr>
        <w:t xml:space="preserve">Array CGH comparison between </w:t>
      </w:r>
      <w:r w:rsidR="002B5FA1">
        <w:rPr>
          <w:rFonts w:ascii="Times New Roman" w:hAnsi="Times New Roman" w:cs="Times New Roman"/>
          <w:sz w:val="24"/>
          <w:szCs w:val="24"/>
        </w:rPr>
        <w:t>patient tumor</w:t>
      </w:r>
      <w:r w:rsidR="002F3AE0" w:rsidRPr="002F3AE0">
        <w:rPr>
          <w:rFonts w:ascii="Times New Roman" w:hAnsi="Times New Roman" w:cs="Times New Roman"/>
          <w:sz w:val="24"/>
          <w:szCs w:val="24"/>
        </w:rPr>
        <w:t xml:space="preserve">, </w:t>
      </w:r>
      <w:r w:rsidR="002B5FA1">
        <w:rPr>
          <w:rFonts w:ascii="Times New Roman" w:hAnsi="Times New Roman" w:cs="Times New Roman"/>
          <w:sz w:val="24"/>
          <w:szCs w:val="24"/>
        </w:rPr>
        <w:t>pre</w:t>
      </w:r>
      <w:bookmarkStart w:id="0" w:name="_GoBack"/>
      <w:bookmarkEnd w:id="0"/>
      <w:r w:rsidR="002B5FA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B5FA1">
        <w:rPr>
          <w:rFonts w:ascii="Times New Roman" w:hAnsi="Times New Roman" w:cs="Times New Roman"/>
          <w:sz w:val="24"/>
          <w:szCs w:val="24"/>
        </w:rPr>
        <w:t>luciferized</w:t>
      </w:r>
      <w:proofErr w:type="spellEnd"/>
      <w:r w:rsidR="002F3AE0" w:rsidRPr="002F3AE0">
        <w:rPr>
          <w:rFonts w:ascii="Times New Roman" w:hAnsi="Times New Roman" w:cs="Times New Roman"/>
          <w:sz w:val="24"/>
          <w:szCs w:val="24"/>
        </w:rPr>
        <w:t xml:space="preserve"> PDX, and </w:t>
      </w:r>
      <w:proofErr w:type="spellStart"/>
      <w:r w:rsidR="002F3AE0" w:rsidRPr="002F3AE0">
        <w:rPr>
          <w:rFonts w:ascii="Times New Roman" w:hAnsi="Times New Roman" w:cs="Times New Roman"/>
          <w:sz w:val="24"/>
          <w:szCs w:val="24"/>
        </w:rPr>
        <w:t>luciferized</w:t>
      </w:r>
      <w:proofErr w:type="spellEnd"/>
      <w:r w:rsidR="002F3AE0" w:rsidRPr="002F3AE0">
        <w:rPr>
          <w:rFonts w:ascii="Times New Roman" w:hAnsi="Times New Roman" w:cs="Times New Roman"/>
          <w:sz w:val="24"/>
          <w:szCs w:val="24"/>
        </w:rPr>
        <w:t xml:space="preserve"> PDX cells in DF86</w:t>
      </w:r>
    </w:p>
    <w:p w:rsidR="006A3C99" w:rsidRDefault="006A3C99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C99" w:rsidRDefault="006A3C99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29600" cy="46650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74" w:rsidRDefault="00F33C74">
      <w:pPr>
        <w:rPr>
          <w:rFonts w:ascii="Times New Roman" w:hAnsi="Times New Roman" w:cs="Times New Roman"/>
          <w:sz w:val="24"/>
          <w:szCs w:val="24"/>
        </w:rPr>
      </w:pPr>
    </w:p>
    <w:p w:rsidR="006A3C99" w:rsidRDefault="00F33C74">
      <w:pPr>
        <w:rPr>
          <w:rFonts w:ascii="Times New Roman" w:hAnsi="Times New Roman" w:cs="Times New Roman"/>
          <w:sz w:val="24"/>
          <w:szCs w:val="24"/>
        </w:rPr>
      </w:pPr>
      <w:r w:rsidRPr="00F33C74">
        <w:rPr>
          <w:rFonts w:ascii="Times New Roman" w:hAnsi="Times New Roman" w:cs="Times New Roman"/>
          <w:sz w:val="24"/>
          <w:szCs w:val="24"/>
        </w:rPr>
        <w:t>Copy number variation (CNV) analysis was performed on DNA extracted from the original patient tumor, the pre-</w:t>
      </w:r>
      <w:proofErr w:type="spellStart"/>
      <w:r w:rsidRPr="00F33C74">
        <w:rPr>
          <w:rFonts w:ascii="Times New Roman" w:hAnsi="Times New Roman" w:cs="Times New Roman"/>
          <w:sz w:val="24"/>
          <w:szCs w:val="24"/>
        </w:rPr>
        <w:t>luciferized</w:t>
      </w:r>
      <w:proofErr w:type="spellEnd"/>
      <w:r w:rsidRPr="00F33C74">
        <w:rPr>
          <w:rFonts w:ascii="Times New Roman" w:hAnsi="Times New Roman" w:cs="Times New Roman"/>
          <w:sz w:val="24"/>
          <w:szCs w:val="24"/>
        </w:rPr>
        <w:t xml:space="preserve"> PDX tumor cells, and the </w:t>
      </w:r>
      <w:proofErr w:type="spellStart"/>
      <w:r w:rsidRPr="00F33C74">
        <w:rPr>
          <w:rFonts w:ascii="Times New Roman" w:hAnsi="Times New Roman" w:cs="Times New Roman"/>
          <w:sz w:val="24"/>
          <w:szCs w:val="24"/>
        </w:rPr>
        <w:t>luciferized</w:t>
      </w:r>
      <w:proofErr w:type="spellEnd"/>
      <w:r w:rsidRPr="00F33C74">
        <w:rPr>
          <w:rFonts w:ascii="Times New Roman" w:hAnsi="Times New Roman" w:cs="Times New Roman"/>
          <w:sz w:val="24"/>
          <w:szCs w:val="24"/>
        </w:rPr>
        <w:t xml:space="preserve"> PDX tumo</w:t>
      </w:r>
      <w:r w:rsidR="007302B7">
        <w:rPr>
          <w:rFonts w:ascii="Times New Roman" w:hAnsi="Times New Roman" w:cs="Times New Roman"/>
          <w:sz w:val="24"/>
          <w:szCs w:val="24"/>
        </w:rPr>
        <w:t>rs</w:t>
      </w:r>
      <w:r w:rsidRPr="00F33C74">
        <w:rPr>
          <w:rFonts w:ascii="Times New Roman" w:hAnsi="Times New Roman" w:cs="Times New Roman"/>
          <w:sz w:val="24"/>
          <w:szCs w:val="24"/>
        </w:rPr>
        <w:t>.  A chromosome view map indicates overall high preservation of copy number alterations between the pre-</w:t>
      </w:r>
      <w:proofErr w:type="spellStart"/>
      <w:r w:rsidRPr="00F33C74">
        <w:rPr>
          <w:rFonts w:ascii="Times New Roman" w:hAnsi="Times New Roman" w:cs="Times New Roman"/>
          <w:sz w:val="24"/>
          <w:szCs w:val="24"/>
        </w:rPr>
        <w:t>luciferized</w:t>
      </w:r>
      <w:proofErr w:type="spellEnd"/>
      <w:r w:rsidRPr="00F33C7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33C74">
        <w:rPr>
          <w:rFonts w:ascii="Times New Roman" w:hAnsi="Times New Roman" w:cs="Times New Roman"/>
          <w:sz w:val="24"/>
          <w:szCs w:val="24"/>
        </w:rPr>
        <w:t>luciferized</w:t>
      </w:r>
      <w:proofErr w:type="spellEnd"/>
      <w:r w:rsidRPr="00F33C74">
        <w:rPr>
          <w:rFonts w:ascii="Times New Roman" w:hAnsi="Times New Roman" w:cs="Times New Roman"/>
          <w:sz w:val="24"/>
          <w:szCs w:val="24"/>
        </w:rPr>
        <w:t xml:space="preserve"> PDX models and the original patient tumor.</w:t>
      </w:r>
      <w:r w:rsidR="006A3C99">
        <w:rPr>
          <w:rFonts w:ascii="Times New Roman" w:hAnsi="Times New Roman" w:cs="Times New Roman"/>
          <w:sz w:val="24"/>
          <w:szCs w:val="24"/>
        </w:rPr>
        <w:br w:type="page"/>
      </w:r>
    </w:p>
    <w:p w:rsidR="006A3C99" w:rsidRDefault="006A3C99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Supplemental Figure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A3C99">
        <w:rPr>
          <w:rFonts w:ascii="Times New Roman" w:hAnsi="Times New Roman" w:cs="Times New Roman"/>
          <w:sz w:val="24"/>
          <w:szCs w:val="24"/>
        </w:rPr>
        <w:t xml:space="preserve">PI3K pathway activation </w:t>
      </w:r>
      <w:r>
        <w:rPr>
          <w:rFonts w:ascii="Times New Roman" w:hAnsi="Times New Roman" w:cs="Times New Roman"/>
          <w:sz w:val="24"/>
          <w:szCs w:val="24"/>
        </w:rPr>
        <w:t xml:space="preserve">clustering </w:t>
      </w:r>
      <w:r w:rsidRPr="006A3C99">
        <w:rPr>
          <w:rFonts w:ascii="Times New Roman" w:hAnsi="Times New Roman" w:cs="Times New Roman"/>
          <w:sz w:val="24"/>
          <w:szCs w:val="24"/>
        </w:rPr>
        <w:t>analysis from PDX RPPA samples</w:t>
      </w:r>
    </w:p>
    <w:p w:rsidR="003E3EDF" w:rsidRDefault="003E3EDF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EDF" w:rsidRDefault="00E34B34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4B3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89C2B" wp14:editId="679BFCC7">
                <wp:simplePos x="0" y="0"/>
                <wp:positionH relativeFrom="column">
                  <wp:posOffset>20320</wp:posOffset>
                </wp:positionH>
                <wp:positionV relativeFrom="paragraph">
                  <wp:posOffset>0</wp:posOffset>
                </wp:positionV>
                <wp:extent cx="400685" cy="400685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400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4B34" w:rsidRDefault="00E34B34" w:rsidP="00E34B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1.6pt;margin-top:0;width:31.55pt;height:31.5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" filled="f" stroked="f">
                <v:textbox style="mso-fit-shape-to-text:t">
                  <w:txbxContent>
                    <w:p w:rsidR="00E34B34" w:rsidRDefault="00E34B34" w:rsidP="00E34B3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Pr="00E34B3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B4FE4" wp14:editId="4D44E66C">
                <wp:simplePos x="0" y="0"/>
                <wp:positionH relativeFrom="column">
                  <wp:posOffset>5384800</wp:posOffset>
                </wp:positionH>
                <wp:positionV relativeFrom="paragraph">
                  <wp:posOffset>0</wp:posOffset>
                </wp:positionV>
                <wp:extent cx="400685" cy="400685"/>
                <wp:effectExtent l="0" t="0" r="0" b="0"/>
                <wp:wrapNone/>
                <wp:docPr id="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400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4B34" w:rsidRDefault="00E34B34" w:rsidP="00E34B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424pt;margin-top:0;width:31.55pt;height:31.55pt;z-index:2516643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" filled="f" stroked="f">
                <v:textbox style="mso-fit-shape-to-text:t">
                  <w:txbxContent>
                    <w:p w:rsidR="00E34B34" w:rsidRDefault="00E34B34" w:rsidP="00E34B3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Pr="00E34B3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0C9C96" wp14:editId="37DFE06A">
                <wp:simplePos x="0" y="0"/>
                <wp:positionH relativeFrom="column">
                  <wp:posOffset>5384800</wp:posOffset>
                </wp:positionH>
                <wp:positionV relativeFrom="paragraph">
                  <wp:posOffset>2753360</wp:posOffset>
                </wp:positionV>
                <wp:extent cx="400685" cy="400685"/>
                <wp:effectExtent l="0" t="0" r="0" b="0"/>
                <wp:wrapNone/>
                <wp:docPr id="5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400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4B34" w:rsidRDefault="00E34B34" w:rsidP="00E34B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C.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424pt;margin-top:216.8pt;width:31.55pt;height:31.5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" filled="f" stroked="f">
                <v:textbox style="mso-fit-shape-to-text:t">
                  <w:txbxContent>
                    <w:p w:rsidR="00E34B34" w:rsidRDefault="00E34B34" w:rsidP="00E34B3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="00F33C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29600" cy="481770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74" w:rsidRDefault="00F33C74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3C74" w:rsidRDefault="00F33C74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3C74">
        <w:rPr>
          <w:rFonts w:ascii="Times New Roman" w:hAnsi="Times New Roman" w:cs="Times New Roman"/>
          <w:sz w:val="24"/>
          <w:szCs w:val="24"/>
        </w:rPr>
        <w:t>Clustering analysis shows a strong correlation between phosphoproteins that are adjacent in known canonical pathways, supporting that the RPPA analysis is of high quality.  A.  Phosphorylation readouts cluster as canonical signaling modules in a correlation heat map.  B, C.  Spearman correlations for the top 25 correlated proteins to PTEN and to PI3K-p110.</w:t>
      </w:r>
    </w:p>
    <w:p w:rsidR="00F33C74" w:rsidRDefault="00F33C74" w:rsidP="00F3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Supplemental Figure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Correlation between CA125 concentration and BLI signal in DF14-Luc mice</w:t>
      </w:r>
    </w:p>
    <w:p w:rsidR="00F33C74" w:rsidRDefault="00F33C74" w:rsidP="00F3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3C74" w:rsidRDefault="00F33C74" w:rsidP="00F3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3C74" w:rsidRDefault="00AA7222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132715</wp:posOffset>
                </wp:positionV>
                <wp:extent cx="2275840" cy="414655"/>
                <wp:effectExtent l="0" t="0" r="0" b="762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C74" w:rsidRDefault="005108EB">
                            <w:r>
                              <w:t xml:space="preserve">Spearman </w:t>
                            </w:r>
                            <w:r w:rsidR="00F33C74">
                              <w:t>r = 0.73, p &lt;0.0001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04pt;margin-top:10.45pt;width:179.2pt;height:32.6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" stroked="f">
                <v:textbox style="mso-fit-shape-to-text:t">
                  <w:txbxContent>
                    <w:p w:rsidR="00F33C74" w:rsidRDefault="005108EB">
                      <w:r>
                        <w:t xml:space="preserve">Spearman </w:t>
                      </w:r>
                      <w:r w:rsidR="00F33C74">
                        <w:t>r = 0.73, p &lt;0.0001</w:t>
                      </w:r>
                    </w:p>
                  </w:txbxContent>
                </v:textbox>
              </v:shape>
            </w:pict>
          </mc:Fallback>
        </mc:AlternateContent>
      </w:r>
      <w:r w:rsidR="00F33C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5578" cy="3258030"/>
            <wp:effectExtent l="19050" t="0" r="6022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07" cy="325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74" w:rsidRDefault="00F33C74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3C74" w:rsidRPr="009F7888" w:rsidRDefault="005108EB" w:rsidP="0048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Mouse plasma </w:t>
      </w:r>
      <w:r w:rsidR="00F33C74" w:rsidRPr="00F33C74">
        <w:rPr>
          <w:rFonts w:ascii="Times New Roman" w:hAnsi="Times New Roman" w:cs="Times New Roman"/>
          <w:sz w:val="24"/>
          <w:szCs w:val="24"/>
        </w:rPr>
        <w:t xml:space="preserve">CA125 </w:t>
      </w:r>
      <w:r>
        <w:rPr>
          <w:rFonts w:ascii="Times New Roman" w:hAnsi="Times New Roman" w:cs="Times New Roman"/>
          <w:sz w:val="24"/>
          <w:szCs w:val="24"/>
        </w:rPr>
        <w:t xml:space="preserve">levels are correlated with </w:t>
      </w:r>
      <w:r w:rsidR="00F33C74" w:rsidRPr="00F33C74">
        <w:rPr>
          <w:rFonts w:ascii="Times New Roman" w:hAnsi="Times New Roman" w:cs="Times New Roman"/>
          <w:sz w:val="24"/>
          <w:szCs w:val="24"/>
        </w:rPr>
        <w:t>BLI signal</w:t>
      </w:r>
      <w:r>
        <w:rPr>
          <w:rFonts w:ascii="Times New Roman" w:hAnsi="Times New Roman" w:cs="Times New Roman"/>
          <w:sz w:val="24"/>
          <w:szCs w:val="24"/>
        </w:rPr>
        <w:t>s</w:t>
      </w:r>
      <w:r w:rsidR="00F33C74" w:rsidRPr="00F33C74">
        <w:rPr>
          <w:rFonts w:ascii="Times New Roman" w:hAnsi="Times New Roman" w:cs="Times New Roman"/>
          <w:sz w:val="24"/>
          <w:szCs w:val="24"/>
        </w:rPr>
        <w:t xml:space="preserve"> in DF14-Luc mice.</w:t>
      </w:r>
    </w:p>
    <w:sectPr w:rsidR="00F33C74" w:rsidRPr="009F7888" w:rsidSect="003626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niko">
    <w15:presenceInfo w15:providerId="None" w15:userId="Eniko"/>
  </w15:person>
  <w15:person w15:author="Cancer Genomics">
    <w15:presenceInfo w15:providerId="None" w15:userId="Cancer Genom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665"/>
    <w:rsid w:val="00032E87"/>
    <w:rsid w:val="00064077"/>
    <w:rsid w:val="001A731A"/>
    <w:rsid w:val="002079D8"/>
    <w:rsid w:val="00226F0A"/>
    <w:rsid w:val="002541A1"/>
    <w:rsid w:val="002B5FA1"/>
    <w:rsid w:val="002F3AE0"/>
    <w:rsid w:val="00362665"/>
    <w:rsid w:val="003E3EDF"/>
    <w:rsid w:val="00483687"/>
    <w:rsid w:val="004921E3"/>
    <w:rsid w:val="004F635F"/>
    <w:rsid w:val="005108EB"/>
    <w:rsid w:val="00614F90"/>
    <w:rsid w:val="00624660"/>
    <w:rsid w:val="00656E5B"/>
    <w:rsid w:val="00687750"/>
    <w:rsid w:val="006A3C99"/>
    <w:rsid w:val="00711FF6"/>
    <w:rsid w:val="007202B7"/>
    <w:rsid w:val="00720E68"/>
    <w:rsid w:val="007302B7"/>
    <w:rsid w:val="007900FD"/>
    <w:rsid w:val="007B4752"/>
    <w:rsid w:val="00810339"/>
    <w:rsid w:val="008D27DD"/>
    <w:rsid w:val="008E1499"/>
    <w:rsid w:val="00913CCC"/>
    <w:rsid w:val="009501D6"/>
    <w:rsid w:val="0097632D"/>
    <w:rsid w:val="009F7888"/>
    <w:rsid w:val="00A7139F"/>
    <w:rsid w:val="00AA7222"/>
    <w:rsid w:val="00AC7491"/>
    <w:rsid w:val="00C55139"/>
    <w:rsid w:val="00DF746D"/>
    <w:rsid w:val="00E34B34"/>
    <w:rsid w:val="00F3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6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2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266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14F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F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F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F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F9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14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6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2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266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14F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F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F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F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F9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14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1/relationships/people" Target="peop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Partners HealthCare System, Inc.</Company>
  <LinksUpToDate>false</LinksUpToDate>
  <CharactersWithSpaces>4593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 Information Systems</dc:creator>
  <cp:lastModifiedBy>Joyce</cp:lastModifiedBy>
  <cp:revision>3</cp:revision>
  <dcterms:created xsi:type="dcterms:W3CDTF">2016-05-14T01:05:00Z</dcterms:created>
  <dcterms:modified xsi:type="dcterms:W3CDTF">2016-05-14T02:15:00Z</dcterms:modified>
</cp:coreProperties>
</file>