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C" w:rsidRPr="007754D6" w:rsidRDefault="000A58EC" w:rsidP="000A58EC">
      <w:pPr>
        <w:spacing w:line="480" w:lineRule="auto"/>
        <w:jc w:val="both"/>
      </w:pPr>
      <w:bookmarkStart w:id="0" w:name="OLE_LINK1"/>
      <w:bookmarkStart w:id="1" w:name="_GoBack"/>
      <w:bookmarkEnd w:id="1"/>
      <w:proofErr w:type="gramStart"/>
      <w:r w:rsidRPr="007754D6">
        <w:rPr>
          <w:b/>
        </w:rPr>
        <w:t>Supplementary Figure S1.</w:t>
      </w:r>
      <w:bookmarkEnd w:id="0"/>
      <w:proofErr w:type="gramEnd"/>
      <w:r w:rsidRPr="007754D6">
        <w:t xml:space="preserve"> </w:t>
      </w:r>
    </w:p>
    <w:p w:rsidR="000A58EC" w:rsidRPr="007754D6" w:rsidRDefault="000A58EC" w:rsidP="000A58EC">
      <w:pPr>
        <w:spacing w:line="480" w:lineRule="auto"/>
        <w:jc w:val="both"/>
      </w:pPr>
      <w:r w:rsidRPr="007754D6">
        <w:t xml:space="preserve">SNP chip analysis of three tumors from cohort 1. Total (blue) and allele-specific (red and green) copy numbers are shown along with the locations of the SNP probes (green). The locations of the genes are indicated by red arrows. </w:t>
      </w:r>
    </w:p>
    <w:p w:rsidR="000A58EC" w:rsidRPr="007754D6" w:rsidRDefault="000A58EC" w:rsidP="000A58EC">
      <w:pPr>
        <w:spacing w:line="480" w:lineRule="auto"/>
        <w:jc w:val="both"/>
      </w:pPr>
    </w:p>
    <w:p w:rsidR="000A58EC" w:rsidRPr="007754D6" w:rsidRDefault="000A58EC" w:rsidP="000A58EC">
      <w:pPr>
        <w:spacing w:line="480" w:lineRule="auto"/>
        <w:jc w:val="both"/>
      </w:pPr>
      <w:proofErr w:type="gramStart"/>
      <w:r w:rsidRPr="007754D6">
        <w:rPr>
          <w:b/>
        </w:rPr>
        <w:t>Supplementary Figure S2.</w:t>
      </w:r>
      <w:proofErr w:type="gramEnd"/>
    </w:p>
    <w:p w:rsidR="000A58EC" w:rsidRPr="007754D6" w:rsidRDefault="000A58EC" w:rsidP="000A58EC">
      <w:pPr>
        <w:spacing w:line="480" w:lineRule="auto"/>
        <w:jc w:val="both"/>
      </w:pPr>
      <w:r w:rsidRPr="007754D6">
        <w:t xml:space="preserve">Copy number alterations in SCLC tumor samples based on SNP 6.0 Array data. </w:t>
      </w:r>
      <w:r w:rsidRPr="007754D6">
        <w:rPr>
          <w:b/>
        </w:rPr>
        <w:t>A</w:t>
      </w:r>
      <w:r w:rsidRPr="007754D6">
        <w:t xml:space="preserve">. SNP 6.0 array data for cohort 1 and cohort 2 samples was </w:t>
      </w:r>
      <w:proofErr w:type="spellStart"/>
      <w:r w:rsidRPr="007754D6">
        <w:t>analysed</w:t>
      </w:r>
      <w:proofErr w:type="spellEnd"/>
      <w:r w:rsidRPr="007754D6">
        <w:t xml:space="preserve"> with GISTIC 2.0. The </w:t>
      </w:r>
      <w:r w:rsidRPr="007754D6">
        <w:rPr>
          <w:i/>
        </w:rPr>
        <w:t>Q</w:t>
      </w:r>
      <w:r w:rsidRPr="007754D6">
        <w:t>-values for significant copy number amplifications are plotted. The green dashed line marks the significance threshold at</w:t>
      </w:r>
      <w:r w:rsidRPr="007754D6">
        <w:rPr>
          <w:i/>
        </w:rPr>
        <w:t xml:space="preserve"> Q</w:t>
      </w:r>
      <w:r w:rsidRPr="007754D6">
        <w:t>-value 0.25. The significantly amplified region on the 9p24 locus is highlighted, and the genes identified within this locus are indicated.</w:t>
      </w:r>
      <w:r w:rsidRPr="007754D6">
        <w:rPr>
          <w:b/>
        </w:rPr>
        <w:t xml:space="preserve"> B.</w:t>
      </w:r>
      <w:r w:rsidRPr="007754D6">
        <w:t xml:space="preserve"> Amplification events with copy numbers of more than 4 were quantified for 88 out of 142 SCLC tumor samples. The number of </w:t>
      </w:r>
      <w:proofErr w:type="spellStart"/>
      <w:r w:rsidRPr="007754D6">
        <w:t>amplificant</w:t>
      </w:r>
      <w:proofErr w:type="spellEnd"/>
      <w:r w:rsidRPr="007754D6">
        <w:t xml:space="preserve"> events was plotted for each sample and grouped as </w:t>
      </w:r>
      <w:r w:rsidRPr="007754D6">
        <w:rPr>
          <w:i/>
        </w:rPr>
        <w:t>CD274</w:t>
      </w:r>
      <w:r w:rsidRPr="007754D6">
        <w:t xml:space="preserve"> amplified (</w:t>
      </w:r>
      <w:r w:rsidRPr="007754D6">
        <w:rPr>
          <w:i/>
        </w:rPr>
        <w:t>CD274</w:t>
      </w:r>
      <w:r w:rsidRPr="007754D6">
        <w:rPr>
          <w:vertAlign w:val="superscript"/>
        </w:rPr>
        <w:t>amp</w:t>
      </w:r>
      <w:r w:rsidRPr="007754D6">
        <w:t xml:space="preserve">) and non-amplified cases (no </w:t>
      </w:r>
      <w:r w:rsidRPr="007754D6">
        <w:rPr>
          <w:i/>
        </w:rPr>
        <w:t>CD274</w:t>
      </w:r>
      <w:r w:rsidRPr="007754D6">
        <w:rPr>
          <w:vertAlign w:val="superscript"/>
        </w:rPr>
        <w:t>amp</w:t>
      </w:r>
      <w:r w:rsidRPr="007754D6">
        <w:t xml:space="preserve">). Significant enrichment of genomic copy number events </w:t>
      </w:r>
      <w:proofErr w:type="gramStart"/>
      <w:r w:rsidRPr="007754D6">
        <w:t>were</w:t>
      </w:r>
      <w:proofErr w:type="gramEnd"/>
      <w:r w:rsidRPr="007754D6">
        <w:t xml:space="preserve"> determined by Mann-Whitney-U-test. </w:t>
      </w:r>
    </w:p>
    <w:p w:rsidR="000A58EC" w:rsidRPr="007754D6" w:rsidRDefault="000A58EC" w:rsidP="000A58EC">
      <w:pPr>
        <w:spacing w:line="480" w:lineRule="auto"/>
        <w:jc w:val="both"/>
      </w:pPr>
    </w:p>
    <w:p w:rsidR="000A58EC" w:rsidRPr="007754D6" w:rsidRDefault="000A58EC" w:rsidP="000A58EC">
      <w:pPr>
        <w:spacing w:line="480" w:lineRule="auto"/>
        <w:jc w:val="both"/>
      </w:pPr>
      <w:proofErr w:type="gramStart"/>
      <w:r w:rsidRPr="007754D6">
        <w:rPr>
          <w:b/>
        </w:rPr>
        <w:t>Supplementary Figure S3.</w:t>
      </w:r>
      <w:proofErr w:type="gramEnd"/>
    </w:p>
    <w:p w:rsidR="000A58EC" w:rsidRPr="007754D6" w:rsidRDefault="000A58EC" w:rsidP="000A58EC">
      <w:pPr>
        <w:spacing w:line="480" w:lineRule="auto"/>
        <w:jc w:val="both"/>
        <w:rPr>
          <w:bCs/>
        </w:rPr>
      </w:pPr>
      <w:r w:rsidRPr="007754D6">
        <w:t xml:space="preserve">Genomic rearrangements described as </w:t>
      </w:r>
      <w:proofErr w:type="spellStart"/>
      <w:r w:rsidRPr="007754D6">
        <w:t>circos</w:t>
      </w:r>
      <w:proofErr w:type="spellEnd"/>
      <w:r w:rsidRPr="007754D6">
        <w:t xml:space="preserve"> plots for case </w:t>
      </w:r>
      <w:r w:rsidRPr="007754D6">
        <w:rPr>
          <w:bCs/>
        </w:rPr>
        <w:t xml:space="preserve">9-P from cohort 1. </w:t>
      </w:r>
      <w:r w:rsidRPr="007754D6">
        <w:rPr>
          <w:b/>
          <w:bCs/>
        </w:rPr>
        <w:t>A.</w:t>
      </w:r>
      <w:r w:rsidRPr="007754D6">
        <w:rPr>
          <w:bCs/>
        </w:rPr>
        <w:t xml:space="preserve"> and case S02404 from cohort 2. </w:t>
      </w:r>
      <w:r w:rsidRPr="007754D6">
        <w:rPr>
          <w:b/>
          <w:bCs/>
        </w:rPr>
        <w:t>B</w:t>
      </w:r>
      <w:r w:rsidRPr="007754D6">
        <w:rPr>
          <w:bCs/>
        </w:rPr>
        <w:t xml:space="preserve">. </w:t>
      </w:r>
      <w:r w:rsidRPr="007754D6">
        <w:t>Genomic rearrangements involving chromosome 9 are indicated by purple lines, while other rearrangements are indicated by grey lines. The inner ring displays the integral copy number (</w:t>
      </w:r>
      <w:proofErr w:type="spellStart"/>
      <w:r w:rsidRPr="007754D6">
        <w:t>iCN</w:t>
      </w:r>
      <w:proofErr w:type="spellEnd"/>
      <w:r w:rsidRPr="007754D6">
        <w:t>) state determined by whole genome sequencing (gains in red and losses in blue).</w:t>
      </w:r>
    </w:p>
    <w:p w:rsidR="000A58EC" w:rsidRPr="007754D6" w:rsidRDefault="000A58EC" w:rsidP="000A58EC">
      <w:pPr>
        <w:spacing w:line="480" w:lineRule="auto"/>
        <w:jc w:val="both"/>
        <w:rPr>
          <w:bCs/>
        </w:rPr>
      </w:pPr>
    </w:p>
    <w:p w:rsidR="000A58EC" w:rsidRPr="007754D6" w:rsidRDefault="000A58EC" w:rsidP="000A58EC">
      <w:pPr>
        <w:spacing w:line="480" w:lineRule="auto"/>
        <w:jc w:val="both"/>
        <w:rPr>
          <w:b/>
        </w:rPr>
      </w:pPr>
      <w:proofErr w:type="gramStart"/>
      <w:r w:rsidRPr="007754D6">
        <w:rPr>
          <w:b/>
        </w:rPr>
        <w:lastRenderedPageBreak/>
        <w:t>Supplementary Figure S4.</w:t>
      </w:r>
      <w:proofErr w:type="gramEnd"/>
    </w:p>
    <w:p w:rsidR="000A58EC" w:rsidRPr="007754D6" w:rsidRDefault="000A58EC" w:rsidP="000A58EC">
      <w:pPr>
        <w:spacing w:line="480" w:lineRule="auto"/>
        <w:jc w:val="both"/>
      </w:pPr>
      <w:proofErr w:type="gramStart"/>
      <w:r w:rsidRPr="007754D6">
        <w:rPr>
          <w:rFonts w:hint="eastAsia"/>
        </w:rPr>
        <w:t xml:space="preserve">Chromosome 9p24, </w:t>
      </w:r>
      <w:r w:rsidRPr="007754D6">
        <w:t xml:space="preserve">clinical </w:t>
      </w:r>
      <w:r w:rsidRPr="007754D6">
        <w:rPr>
          <w:rFonts w:hint="eastAsia"/>
        </w:rPr>
        <w:t>and</w:t>
      </w:r>
      <w:r w:rsidRPr="007754D6">
        <w:t xml:space="preserve"> pathological features </w:t>
      </w:r>
      <w:r w:rsidRPr="007754D6">
        <w:rPr>
          <w:rFonts w:hint="eastAsia"/>
        </w:rPr>
        <w:t>of SCLC.</w:t>
      </w:r>
      <w:proofErr w:type="gramEnd"/>
      <w:r w:rsidRPr="007754D6">
        <w:rPr>
          <w:rFonts w:hint="eastAsia"/>
        </w:rPr>
        <w:t xml:space="preserve"> </w:t>
      </w:r>
      <w:r w:rsidRPr="007754D6">
        <w:rPr>
          <w:b/>
        </w:rPr>
        <w:t xml:space="preserve">A. </w:t>
      </w:r>
      <w:r w:rsidRPr="007754D6">
        <w:t>Expression of genes located in the 9p24.1 amplicon, expressed as FPKM values. Case 9-P and S00213 were compared to the expression data of 75 non-amplified cases (</w:t>
      </w:r>
      <w:proofErr w:type="spellStart"/>
      <w:r w:rsidRPr="007754D6">
        <w:t>mean+SD</w:t>
      </w:r>
      <w:proofErr w:type="spellEnd"/>
      <w:r w:rsidRPr="007754D6">
        <w:t xml:space="preserve">). The range of the amplification found in all four tumor cases with 9p24 amplification is described below the bar graph. Dashed blue lines indicate the minimally amplified region on 9p24. </w:t>
      </w:r>
      <w:r w:rsidRPr="007754D6">
        <w:rPr>
          <w:b/>
        </w:rPr>
        <w:t>B</w:t>
      </w:r>
      <w:r w:rsidRPr="007754D6">
        <w:t>. Immun</w:t>
      </w:r>
      <w:r w:rsidRPr="007754D6">
        <w:rPr>
          <w:rFonts w:hint="eastAsia"/>
        </w:rPr>
        <w:t>o</w:t>
      </w:r>
      <w:r w:rsidRPr="007754D6">
        <w:t>histochemistry for SCLC markers. Scale bar as indicated.</w:t>
      </w:r>
      <w:r w:rsidRPr="007754D6">
        <w:rPr>
          <w:b/>
        </w:rPr>
        <w:t xml:space="preserve"> C.</w:t>
      </w:r>
      <w:r w:rsidRPr="007754D6">
        <w:t xml:space="preserve"> </w:t>
      </w:r>
      <w:proofErr w:type="spellStart"/>
      <w:r w:rsidRPr="007754D6">
        <w:t>Immunhistochemistry</w:t>
      </w:r>
      <w:proofErr w:type="spellEnd"/>
      <w:r w:rsidRPr="007754D6">
        <w:t xml:space="preserve"> for PD-L1 protein expression in case 6-</w:t>
      </w:r>
      <w:proofErr w:type="gramStart"/>
      <w:r w:rsidRPr="007754D6">
        <w:t>P  (</w:t>
      </w:r>
      <w:proofErr w:type="gramEnd"/>
      <w:r w:rsidRPr="007754D6">
        <w:t>cohort 1). Scale bar as indicated.</w:t>
      </w:r>
    </w:p>
    <w:p w:rsidR="000A58EC" w:rsidRPr="007754D6" w:rsidRDefault="000A58EC" w:rsidP="000A58EC">
      <w:pPr>
        <w:spacing w:line="480" w:lineRule="auto"/>
        <w:jc w:val="both"/>
      </w:pPr>
    </w:p>
    <w:p w:rsidR="000A58EC" w:rsidRPr="007754D6" w:rsidRDefault="000A58EC" w:rsidP="000A58EC">
      <w:pPr>
        <w:spacing w:line="480" w:lineRule="auto"/>
        <w:jc w:val="both"/>
        <w:rPr>
          <w:b/>
        </w:rPr>
      </w:pPr>
      <w:proofErr w:type="gramStart"/>
      <w:r w:rsidRPr="007754D6">
        <w:rPr>
          <w:b/>
        </w:rPr>
        <w:t>Supplementary Figure S5.</w:t>
      </w:r>
      <w:proofErr w:type="gramEnd"/>
    </w:p>
    <w:p w:rsidR="000A58EC" w:rsidRPr="007754D6" w:rsidRDefault="000A58EC" w:rsidP="000A58EC">
      <w:pPr>
        <w:spacing w:line="480" w:lineRule="auto"/>
        <w:jc w:val="both"/>
      </w:pPr>
      <w:proofErr w:type="gramStart"/>
      <w:r w:rsidRPr="007754D6">
        <w:t>Analysis of immune cell signatures.</w:t>
      </w:r>
      <w:proofErr w:type="gramEnd"/>
      <w:r w:rsidRPr="007754D6">
        <w:t xml:space="preserve"> </w:t>
      </w:r>
      <w:r w:rsidRPr="007754D6">
        <w:rPr>
          <w:b/>
        </w:rPr>
        <w:t>A</w:t>
      </w:r>
      <w:r w:rsidRPr="007754D6">
        <w:t xml:space="preserve">. Analysis of the transcriptome sequencing data for B-cells (CD19) and T-cells (CD3E), which were further distinguished for CD4-T-cells, CD8-T-cells (CD8A, CD8B) and regulatory T-cells (FOXP3, CD25). </w:t>
      </w:r>
      <w:r w:rsidRPr="007754D6">
        <w:rPr>
          <w:i/>
        </w:rPr>
        <w:t>CD274</w:t>
      </w:r>
      <w:r w:rsidRPr="007754D6">
        <w:t xml:space="preserve"> amplified cases are highlighted in purple (9-P) and red (case S00213). </w:t>
      </w:r>
      <w:r w:rsidRPr="007754D6">
        <w:rPr>
          <w:bCs/>
        </w:rPr>
        <w:t>Spearman</w:t>
      </w:r>
      <w:r w:rsidRPr="007754D6">
        <w:t xml:space="preserve"> </w:t>
      </w:r>
      <w:r w:rsidRPr="007754D6">
        <w:rPr>
          <w:bCs/>
        </w:rPr>
        <w:t>correlation</w:t>
      </w:r>
      <w:r w:rsidRPr="007754D6">
        <w:t xml:space="preserve"> coefficients were </w:t>
      </w:r>
      <w:proofErr w:type="spellStart"/>
      <w:r w:rsidRPr="007754D6">
        <w:t>dertermined</w:t>
      </w:r>
      <w:proofErr w:type="spellEnd"/>
      <w:r w:rsidRPr="007754D6">
        <w:t xml:space="preserve"> to correlate the expression of PD-L1 with the respective immune cell marker. </w:t>
      </w:r>
      <w:r w:rsidRPr="007754D6">
        <w:rPr>
          <w:b/>
        </w:rPr>
        <w:t>B.</w:t>
      </w:r>
      <w:r w:rsidRPr="007754D6">
        <w:t xml:space="preserve"> </w:t>
      </w:r>
      <w:proofErr w:type="spellStart"/>
      <w:r w:rsidRPr="007754D6">
        <w:t>Immunhistochemistry</w:t>
      </w:r>
      <w:proofErr w:type="spellEnd"/>
      <w:r w:rsidRPr="007754D6">
        <w:t xml:space="preserve"> for T-cell markers (CD3, CD4 and CD8) and B-cell markers (CD19). Black wedges point to regions with positive staining. Scale bar as indicated.</w:t>
      </w:r>
    </w:p>
    <w:p w:rsidR="00072B50" w:rsidRPr="000A58EC" w:rsidRDefault="00072B50"/>
    <w:sectPr w:rsidR="00072B50" w:rsidRPr="000A58EC" w:rsidSect="00C17CE8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8A" w:rsidRDefault="000A58EC" w:rsidP="00884D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A8A" w:rsidRDefault="000A58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8A" w:rsidRDefault="000A58EC" w:rsidP="00884D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3A8A" w:rsidRDefault="000A58E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EC"/>
    <w:rsid w:val="00072B50"/>
    <w:rsid w:val="000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C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58EC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0A58EC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5">
    <w:name w:val="page number"/>
    <w:basedOn w:val="a0"/>
    <w:rsid w:val="000A5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C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58EC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0A58EC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5">
    <w:name w:val="page number"/>
    <w:basedOn w:val="a0"/>
    <w:rsid w:val="000A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Kohno</dc:creator>
  <cp:lastModifiedBy>Kohno</cp:lastModifiedBy>
  <cp:revision>1</cp:revision>
  <dcterms:created xsi:type="dcterms:W3CDTF">2016-07-30T12:14:00Z</dcterms:created>
  <dcterms:modified xsi:type="dcterms:W3CDTF">2016-07-30T12:15:00Z</dcterms:modified>
</cp:coreProperties>
</file>