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42" w:rsidRPr="00A2327E" w:rsidRDefault="00AF4161">
      <w:pPr>
        <w:rPr>
          <w:rFonts w:ascii="Times New Roman" w:hAnsi="Times New Roman" w:cs="Times New Roman"/>
          <w:b/>
          <w:sz w:val="40"/>
          <w:szCs w:val="40"/>
        </w:rPr>
      </w:pPr>
      <w:r w:rsidRPr="00A2327E">
        <w:rPr>
          <w:rFonts w:ascii="Times New Roman" w:hAnsi="Times New Roman" w:cs="Times New Roman"/>
          <w:b/>
          <w:sz w:val="40"/>
          <w:szCs w:val="40"/>
        </w:rPr>
        <w:t>Supplementary Methods</w:t>
      </w:r>
    </w:p>
    <w:p w:rsidR="00AF4161" w:rsidRPr="00A2327E" w:rsidRDefault="00AF4161">
      <w:pPr>
        <w:rPr>
          <w:rFonts w:ascii="Times New Roman" w:hAnsi="Times New Roman" w:cs="Times New Roman"/>
          <w:sz w:val="40"/>
          <w:szCs w:val="40"/>
        </w:rPr>
      </w:pPr>
    </w:p>
    <w:p w:rsidR="00AF4161" w:rsidRPr="00AF4161" w:rsidRDefault="00AF4161" w:rsidP="00AF4161">
      <w:pPr>
        <w:keepNext/>
        <w:keepLines/>
        <w:spacing w:before="200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161">
        <w:rPr>
          <w:rFonts w:ascii="Times New Roman" w:eastAsia="Times New Roman" w:hAnsi="Times New Roman" w:cs="Times New Roman"/>
          <w:b/>
          <w:bCs/>
          <w:sz w:val="28"/>
          <w:szCs w:val="28"/>
        </w:rPr>
        <w:t>Whole Exome Sequencing (WES)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DNA from 12 fresh frozen tumor samples (five pure SEF, two hybrid SEF/LGFMS and five LGFMS) was used for WES. Accompanying peripheral blood samples were available for the LGFMS tumors, but not for the SEF or hybrid SEF/LGFMS tumors. DNA extraction was performed as described 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A2327E">
        <w:rPr>
          <w:rFonts w:ascii="Times New Roman" w:eastAsia="Calibri" w:hAnsi="Times New Roman" w:cs="Times New Roman"/>
          <w:noProof/>
          <w:sz w:val="24"/>
          <w:szCs w:val="24"/>
        </w:rPr>
        <w:t>26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AF4161">
        <w:rPr>
          <w:rFonts w:ascii="Times New Roman" w:eastAsia="Calibri" w:hAnsi="Times New Roman" w:cs="Times New Roman"/>
          <w:sz w:val="24"/>
          <w:szCs w:val="24"/>
        </w:rPr>
        <w:t>. Whole exome capture, template preparation, and sequencing on the Ion Chef and Ion Proton systems, using the Ion PI IC 200 kit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ThermoFisher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Scientific, Waltham, MA, USA), were performed as described 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A2327E">
        <w:rPr>
          <w:rFonts w:ascii="Times New Roman" w:eastAsia="Calibri" w:hAnsi="Times New Roman" w:cs="Times New Roman"/>
          <w:noProof/>
          <w:sz w:val="24"/>
          <w:szCs w:val="24"/>
        </w:rPr>
        <w:t>40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. Variant calling for LGFMS tumors with accompanying blood samples was performed with the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AmpliSeq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Exome tumor-normal pair work-flow in Ion Reporter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ThermoFisher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Scientific), as well as with the Torrent Variant Caller plugin in the Torrent Suite Software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ThermoFisher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Scientific), using standard parameters for somatic variant detection. Variant calling for SEF and hybrid SEF/LGFMS tumors without accompanying normal constitutional DNA was performed with the Torrent Variant Caller plugin in the Torrent Suite Software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ThermoFisher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Scientific). Annotation of detected variants was performed in Ion Reporter, using the GRCh37/hg19 assembly. The results were further filtered as follows: mutations with less than 5 supporting reads, copy number variants, mutations outside exons, single nucleotide variants reported in the 5000 Exome project, synonymous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exonic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mutations, identical mutations detected in 5 OFMTs analyzed simultaneously, and mutations that were not included in the COSMIC database were all discarded.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125 mutations detected at WES on SEF and SEF/LGFMS were verified using a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TruSeq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Custom Amplicon (TSCA) panel (Illumina). The TSCA covered the regions of the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genes </w:t>
      </w:r>
      <w:r w:rsidRPr="00AF4161">
        <w:rPr>
          <w:rFonts w:ascii="Times New Roman" w:eastAsia="Calibri" w:hAnsi="Times New Roman" w:cs="Times New Roman"/>
          <w:sz w:val="24"/>
          <w:szCs w:val="24"/>
        </w:rPr>
        <w:lastRenderedPageBreak/>
        <w:t>harboring mutations detected at WES. DNA was processed and analyzed as described for WES analysis.</w:t>
      </w:r>
    </w:p>
    <w:p w:rsidR="00AF4161" w:rsidRPr="00533E47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In addition, DNA from two FFPE samples from a hybrid SEF/LGFMS – one showing LGFMS morphology (17A) and one SEF morphology (17B) – was sent to GATC Biotech (Konstanz, Germany) for WES. DNA was extracted using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QIAamp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DNA FFPE Tissue Kit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Qiagen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), according to the manufacturer’s instructions. In brief, using 500 ng DNA as the starting material, human all exon enrichment was obtained with Agilent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SureSelectXT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(Agilent) and paired-end 125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sequencing was done on an Illumina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HiSeq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(Illumina) at x90 coverage. Variant calling was performed using the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MuTect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algorithm 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A2327E">
        <w:rPr>
          <w:rFonts w:ascii="Times New Roman" w:eastAsia="Calibri" w:hAnsi="Times New Roman" w:cs="Times New Roman"/>
          <w:noProof/>
          <w:sz w:val="24"/>
          <w:szCs w:val="24"/>
        </w:rPr>
        <w:t>41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; the two samples were used as controls for each other. </w:t>
      </w:r>
      <w:r w:rsidR="001E7934" w:rsidRPr="00533E47">
        <w:rPr>
          <w:rFonts w:ascii="Times New Roman" w:eastAsia="Calibri" w:hAnsi="Times New Roman" w:cs="Times New Roman"/>
          <w:sz w:val="24"/>
          <w:szCs w:val="24"/>
        </w:rPr>
        <w:t xml:space="preserve">The results were filtered by keeping only non-synonymous </w:t>
      </w:r>
      <w:proofErr w:type="spellStart"/>
      <w:r w:rsidR="001E7934" w:rsidRPr="00533E47">
        <w:rPr>
          <w:rFonts w:ascii="Times New Roman" w:eastAsia="Calibri" w:hAnsi="Times New Roman" w:cs="Times New Roman"/>
          <w:sz w:val="24"/>
          <w:szCs w:val="24"/>
        </w:rPr>
        <w:t>exonic</w:t>
      </w:r>
      <w:proofErr w:type="spellEnd"/>
      <w:r w:rsidR="001E7934" w:rsidRPr="00533E47">
        <w:rPr>
          <w:rFonts w:ascii="Times New Roman" w:eastAsia="Calibri" w:hAnsi="Times New Roman" w:cs="Times New Roman"/>
          <w:sz w:val="24"/>
          <w:szCs w:val="24"/>
        </w:rPr>
        <w:t xml:space="preserve"> mutations that were not reported in the </w:t>
      </w:r>
      <w:proofErr w:type="spellStart"/>
      <w:r w:rsidR="001E7934" w:rsidRPr="00533E47">
        <w:rPr>
          <w:rFonts w:ascii="Times New Roman" w:eastAsia="Calibri" w:hAnsi="Times New Roman" w:cs="Times New Roman"/>
          <w:sz w:val="24"/>
          <w:szCs w:val="24"/>
        </w:rPr>
        <w:t>dbSNP</w:t>
      </w:r>
      <w:proofErr w:type="spellEnd"/>
      <w:r w:rsidR="001E7934" w:rsidRPr="00533E47">
        <w:rPr>
          <w:rFonts w:ascii="Times New Roman" w:eastAsia="Calibri" w:hAnsi="Times New Roman" w:cs="Times New Roman"/>
          <w:sz w:val="24"/>
          <w:szCs w:val="24"/>
        </w:rPr>
        <w:t xml:space="preserve"> database.</w:t>
      </w:r>
    </w:p>
    <w:p w:rsidR="00AF4161" w:rsidRPr="00AF4161" w:rsidRDefault="00AF4161" w:rsidP="00AF4161">
      <w:pPr>
        <w:keepNext/>
        <w:keepLines/>
        <w:spacing w:before="200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161">
        <w:rPr>
          <w:rFonts w:ascii="Times New Roman" w:eastAsia="Times New Roman" w:hAnsi="Times New Roman" w:cs="Times New Roman"/>
          <w:b/>
          <w:bCs/>
          <w:sz w:val="28"/>
          <w:szCs w:val="28"/>
        </w:rPr>
        <w:t>Tet-On 3G setup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>Transductions were perfo</w:t>
      </w:r>
      <w:r w:rsidR="00C346C5">
        <w:rPr>
          <w:rFonts w:ascii="Times New Roman" w:eastAsia="Calibri" w:hAnsi="Times New Roman" w:cs="Times New Roman"/>
          <w:sz w:val="24"/>
          <w:szCs w:val="24"/>
        </w:rPr>
        <w:t xml:space="preserve">rmed by </w:t>
      </w:r>
      <w:proofErr w:type="spellStart"/>
      <w:r w:rsidR="00C346C5">
        <w:rPr>
          <w:rFonts w:ascii="Times New Roman" w:eastAsia="Calibri" w:hAnsi="Times New Roman" w:cs="Times New Roman"/>
          <w:sz w:val="24"/>
          <w:szCs w:val="24"/>
        </w:rPr>
        <w:t>RetroNectin</w:t>
      </w:r>
      <w:proofErr w:type="spellEnd"/>
      <w:r w:rsidR="00C346C5">
        <w:rPr>
          <w:rFonts w:ascii="Times New Roman" w:eastAsia="Calibri" w:hAnsi="Times New Roman" w:cs="Times New Roman"/>
          <w:sz w:val="24"/>
          <w:szCs w:val="24"/>
        </w:rPr>
        <w:t>-bound virus</w:t>
      </w:r>
      <w:bookmarkStart w:id="0" w:name="_GoBack"/>
      <w:bookmarkEnd w:id="0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infection method according to the manufacturer’s instructions (Takara/Clontech). Tet regulator transduced cells were selected for by addition of the G418 antibiotic to the culture medium at a final concentration of 0.1mg/ml and response plasmid transduced cells by addition of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puromycin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to a final concentration of 2µg/ml. After each of the two transduction steps, expression of the regulator protein gene or the introduced fusion gene was controlled for by quantitative real-time PCR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qRT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>-PCR).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>Fusion gene expressing cells were cultured with or without doxycycline (dox) for 96 hrs. They were subsequently pelleted in RLT buffer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Qiagen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, Valencia, CA, USA) with 1%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mercaptoethanol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and RNA was extracted using RNeasy micro kit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Qiagen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>) according to the manufacturer’s instructions.</w:t>
      </w:r>
    </w:p>
    <w:p w:rsidR="00AF4161" w:rsidRPr="00AF4161" w:rsidRDefault="00AF4161" w:rsidP="00AF4161">
      <w:pPr>
        <w:keepNext/>
        <w:keepLines/>
        <w:spacing w:before="200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1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Constructing the pLVX-TRE3G response plasmids 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The full-length coding sequence of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FUS-CREB3L2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from Case 25 (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727-bp 1073) cloned into pCR3.1 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="00A2327E">
        <w:rPr>
          <w:rFonts w:ascii="Times New Roman" w:eastAsia="Calibri" w:hAnsi="Times New Roman" w:cs="Times New Roman"/>
          <w:noProof/>
          <w:sz w:val="24"/>
          <w:szCs w:val="24"/>
        </w:rPr>
        <w:t>42</w:t>
      </w:r>
      <w:r w:rsidRPr="00AF4161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was used as a template in the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subcloning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procedure of the pLVX-TRE3G-FUS-CREB3L2 vector, which was constructed with the In-Fusion HD Cloning Kit (Clontech), according to the manufacturer’s instructions.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The pLVX-TRE3G-EWSR1-CREB3L1 and pLVX-TRE3G-EWSR1-NR4A3 constructs were synthesized by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Genscript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(Piscataway, NJ, USA). The fusion transcripts were based on sequencing findings: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EWSR1-CREB3L1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1302 (ex 8) - 6bp insert-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1206 (part of ex 6) and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EWSR1-NR4A3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1622 (ex 12) -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bp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751 (part of ex 3). </w:t>
      </w:r>
    </w:p>
    <w:p w:rsidR="00AF4161" w:rsidRPr="00AF4161" w:rsidRDefault="00AF4161" w:rsidP="00AF4161">
      <w:pPr>
        <w:keepNext/>
        <w:keepLines/>
        <w:spacing w:before="200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F4161">
        <w:rPr>
          <w:rFonts w:ascii="Times New Roman" w:eastAsia="Times New Roman" w:hAnsi="Times New Roman" w:cs="Times New Roman"/>
          <w:b/>
          <w:bCs/>
          <w:sz w:val="28"/>
          <w:szCs w:val="28"/>
        </w:rPr>
        <w:t>qRT</w:t>
      </w:r>
      <w:proofErr w:type="spellEnd"/>
      <w:r w:rsidRPr="00AF4161">
        <w:rPr>
          <w:rFonts w:ascii="Times New Roman" w:eastAsia="Times New Roman" w:hAnsi="Times New Roman" w:cs="Times New Roman"/>
          <w:b/>
          <w:bCs/>
          <w:sz w:val="28"/>
          <w:szCs w:val="28"/>
        </w:rPr>
        <w:t>-PCR</w:t>
      </w:r>
      <w:proofErr w:type="gramEnd"/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To evaluate the expression of the introduced Tet-On regulator and the different fusion genes in the Bj5Ta cell line,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TaqMan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gene-expression assays were performed with custom-made probes for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EWSR1-CREB3L1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FUS-CREB3L2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>EWSR1-NR4A3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and the Tet-On 3G construct. The</w:t>
      </w:r>
      <w:r w:rsidRPr="00AF4161">
        <w:rPr>
          <w:rFonts w:ascii="Times New Roman" w:eastAsia="Calibri" w:hAnsi="Times New Roman" w:cs="Times New Roman"/>
          <w:i/>
          <w:sz w:val="24"/>
          <w:szCs w:val="24"/>
        </w:rPr>
        <w:t xml:space="preserve"> TBP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gene was used as endogenous control. </w:t>
      </w:r>
      <w:proofErr w:type="spellStart"/>
      <w:proofErr w:type="gramStart"/>
      <w:r w:rsidRPr="00AF4161">
        <w:rPr>
          <w:rFonts w:ascii="Times New Roman" w:eastAsia="Calibri" w:hAnsi="Times New Roman" w:cs="Times New Roman"/>
          <w:sz w:val="24"/>
          <w:szCs w:val="24"/>
        </w:rPr>
        <w:t>qRT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>-PCR</w:t>
      </w:r>
      <w:proofErr w:type="gram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was performed according to the manufacturer's instructions, and all reactions were run in triplicate (Applied Biosystems). Calculations were done using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ΔΔCt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method using the SDS software 1.3.1 (Applied Biosystems).</w:t>
      </w:r>
    </w:p>
    <w:p w:rsidR="00AF4161" w:rsidRPr="00AF4161" w:rsidRDefault="00AF4161" w:rsidP="00AF4161">
      <w:pPr>
        <w:keepNext/>
        <w:keepLines/>
        <w:spacing w:before="440" w:after="360" w:line="276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 w:rsidRPr="00AF4161">
        <w:rPr>
          <w:rFonts w:ascii="Times New Roman" w:eastAsia="Times New Roman" w:hAnsi="Times New Roman" w:cs="Times New Roman"/>
          <w:b/>
          <w:bCs/>
          <w:sz w:val="32"/>
          <w:szCs w:val="26"/>
        </w:rPr>
        <w:t xml:space="preserve">Flow cytometry </w:t>
      </w:r>
    </w:p>
    <w:p w:rsidR="00AF4161" w:rsidRPr="00AF4161" w:rsidRDefault="00AF4161" w:rsidP="00AF4161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F4161">
        <w:rPr>
          <w:rFonts w:ascii="Times New Roman" w:eastAsia="Calibri" w:hAnsi="Times New Roman" w:cs="Times New Roman"/>
          <w:sz w:val="24"/>
          <w:szCs w:val="24"/>
        </w:rPr>
        <w:t>For cell surface CD24 staining, cells in PBS + 2% FBS were incubated with</w:t>
      </w:r>
      <w:r w:rsidRPr="00AF4161">
        <w:rPr>
          <w:rFonts w:ascii="Times New Roman" w:eastAsia="Calibri" w:hAnsi="Times New Roman" w:cs="Times New Roman"/>
          <w:sz w:val="24"/>
        </w:rPr>
        <w:t xml:space="preserve"> a </w:t>
      </w:r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PE-conjugated mouse anti-human CD24 antibody (BD biosciences, San Jose, CA) for 20 min in a cold room. Following washing, cells were analyzed in an LSR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Fortessa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cytometer (BD biosciences). To investigate the total CD24 expression, the cells were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permeabilized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with 1.6 %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formamide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for 10 min at room temperature, spun down for 3 min at 2800 rpm, </w:t>
      </w:r>
      <w:proofErr w:type="spellStart"/>
      <w:r w:rsidRPr="00AF4161">
        <w:rPr>
          <w:rFonts w:ascii="Times New Roman" w:eastAsia="Calibri" w:hAnsi="Times New Roman" w:cs="Times New Roman"/>
          <w:sz w:val="24"/>
          <w:szCs w:val="24"/>
        </w:rPr>
        <w:t>resuspended</w:t>
      </w:r>
      <w:proofErr w:type="spellEnd"/>
      <w:r w:rsidRPr="00AF4161">
        <w:rPr>
          <w:rFonts w:ascii="Times New Roman" w:eastAsia="Calibri" w:hAnsi="Times New Roman" w:cs="Times New Roman"/>
          <w:sz w:val="24"/>
          <w:szCs w:val="24"/>
        </w:rPr>
        <w:t xml:space="preserve"> in ice cold </w:t>
      </w:r>
      <w:r w:rsidRPr="00AF4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ethanol and washed 2x in PBS + 2% FBS. Antibody staining and FACS analysis were then performed as above. </w:t>
      </w:r>
    </w:p>
    <w:p w:rsidR="00AF4161" w:rsidRPr="00A2327E" w:rsidRDefault="00AF4161">
      <w:pPr>
        <w:rPr>
          <w:rFonts w:ascii="Times New Roman" w:hAnsi="Times New Roman" w:cs="Times New Roman"/>
          <w:b/>
          <w:sz w:val="40"/>
          <w:szCs w:val="40"/>
        </w:rPr>
      </w:pPr>
      <w:r w:rsidRPr="00A2327E">
        <w:rPr>
          <w:rFonts w:ascii="Times New Roman" w:hAnsi="Times New Roman" w:cs="Times New Roman"/>
          <w:b/>
          <w:sz w:val="40"/>
          <w:szCs w:val="40"/>
        </w:rPr>
        <w:t>References</w:t>
      </w:r>
    </w:p>
    <w:p w:rsidR="002644CA" w:rsidRPr="00A2327E" w:rsidRDefault="00A2327E" w:rsidP="002644CA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  <w:lang w:val="sv-SE"/>
        </w:rPr>
      </w:pPr>
      <w:bookmarkStart w:id="1" w:name="_ENREF_28"/>
      <w:r w:rsidRPr="00A2327E">
        <w:rPr>
          <w:rFonts w:ascii="Times New Roman" w:hAnsi="Times New Roman" w:cs="Times New Roman"/>
          <w:noProof/>
          <w:szCs w:val="24"/>
        </w:rPr>
        <w:t>26</w:t>
      </w:r>
      <w:r w:rsidR="002644CA" w:rsidRPr="00A2327E">
        <w:rPr>
          <w:rFonts w:ascii="Times New Roman" w:hAnsi="Times New Roman" w:cs="Times New Roman"/>
          <w:noProof/>
          <w:szCs w:val="24"/>
        </w:rPr>
        <w:t>.</w:t>
      </w:r>
      <w:r w:rsidR="002644CA" w:rsidRPr="00A2327E">
        <w:rPr>
          <w:rFonts w:cs="Times New Roman"/>
          <w:noProof/>
          <w:szCs w:val="24"/>
        </w:rPr>
        <w:tab/>
      </w:r>
      <w:r w:rsidR="002644CA" w:rsidRPr="00A2327E">
        <w:rPr>
          <w:rFonts w:ascii="Times New Roman" w:hAnsi="Times New Roman" w:cs="Times New Roman"/>
          <w:noProof/>
          <w:szCs w:val="24"/>
        </w:rPr>
        <w:t>Walther C, Mayrhofer M, Nilsson J, Hofvander J, Jonson T, Mandahl N</w:t>
      </w:r>
      <w:r w:rsidR="002644CA" w:rsidRPr="00A2327E">
        <w:rPr>
          <w:rFonts w:ascii="Times New Roman" w:hAnsi="Times New Roman" w:cs="Times New Roman"/>
          <w:i/>
          <w:noProof/>
          <w:szCs w:val="24"/>
        </w:rPr>
        <w:t>, et al.</w:t>
      </w:r>
      <w:r w:rsidR="002644CA" w:rsidRPr="00A2327E">
        <w:rPr>
          <w:rFonts w:ascii="Times New Roman" w:hAnsi="Times New Roman" w:cs="Times New Roman"/>
          <w:noProof/>
          <w:szCs w:val="24"/>
        </w:rPr>
        <w:t xml:space="preserve"> </w:t>
      </w:r>
      <w:r w:rsidR="002644CA" w:rsidRPr="00A2327E">
        <w:rPr>
          <w:rFonts w:ascii="Times New Roman" w:hAnsi="Times New Roman" w:cs="Times New Roman"/>
          <w:noProof/>
          <w:szCs w:val="24"/>
          <w:lang w:val="sv-SE"/>
        </w:rPr>
        <w:t xml:space="preserve">Genetic heterogeneity in rhabdomyosarcoma revealed by SNP array analysis. Genes Chromosomes Cancer </w:t>
      </w:r>
      <w:r w:rsidR="002644CA" w:rsidRPr="00A2327E">
        <w:rPr>
          <w:rFonts w:ascii="Times New Roman" w:hAnsi="Times New Roman" w:cs="Times New Roman"/>
          <w:b/>
          <w:noProof/>
          <w:szCs w:val="24"/>
          <w:lang w:val="sv-SE"/>
        </w:rPr>
        <w:t>2016</w:t>
      </w:r>
      <w:r w:rsidR="002644CA" w:rsidRPr="00A2327E">
        <w:rPr>
          <w:rFonts w:ascii="Times New Roman" w:hAnsi="Times New Roman" w:cs="Times New Roman"/>
          <w:noProof/>
          <w:szCs w:val="24"/>
          <w:lang w:val="sv-SE"/>
        </w:rPr>
        <w:t>;55:3-15.</w:t>
      </w:r>
      <w:bookmarkEnd w:id="1"/>
    </w:p>
    <w:p w:rsidR="002644CA" w:rsidRPr="002644CA" w:rsidRDefault="00A2327E" w:rsidP="002644CA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bookmarkStart w:id="2" w:name="_ENREF_29"/>
      <w:r>
        <w:rPr>
          <w:rFonts w:ascii="Times New Roman" w:hAnsi="Times New Roman" w:cs="Times New Roman"/>
          <w:noProof/>
          <w:szCs w:val="24"/>
        </w:rPr>
        <w:t>40</w:t>
      </w:r>
      <w:r w:rsidR="002644CA" w:rsidRPr="00A2327E">
        <w:rPr>
          <w:rFonts w:ascii="Times New Roman" w:hAnsi="Times New Roman" w:cs="Times New Roman"/>
          <w:noProof/>
          <w:szCs w:val="24"/>
        </w:rPr>
        <w:t>.</w:t>
      </w:r>
      <w:r w:rsidR="002644CA" w:rsidRPr="00A2327E">
        <w:rPr>
          <w:rFonts w:ascii="Times New Roman" w:hAnsi="Times New Roman" w:cs="Times New Roman"/>
          <w:noProof/>
          <w:szCs w:val="24"/>
        </w:rPr>
        <w:tab/>
        <w:t>Hofvander J, Jo VY, Ghanei I, Gisselsson D, Mårtensson E, Mertens F. Comprehensive g</w:t>
      </w:r>
      <w:r w:rsidR="002644CA" w:rsidRPr="002644CA">
        <w:rPr>
          <w:rFonts w:ascii="Times New Roman" w:hAnsi="Times New Roman" w:cs="Times New Roman"/>
          <w:noProof/>
          <w:szCs w:val="24"/>
        </w:rPr>
        <w:t xml:space="preserve">enetic analysis of a paediatric pleomorphic myxoid liposarcoma reveals near-haploidization and loss of the RB1 gene. Histopathology </w:t>
      </w:r>
      <w:r w:rsidR="002644CA" w:rsidRPr="002644CA">
        <w:rPr>
          <w:rFonts w:ascii="Times New Roman" w:hAnsi="Times New Roman" w:cs="Times New Roman"/>
          <w:b/>
          <w:noProof/>
          <w:szCs w:val="24"/>
        </w:rPr>
        <w:t>2016</w:t>
      </w:r>
      <w:r w:rsidR="002644CA" w:rsidRPr="002644CA">
        <w:rPr>
          <w:rFonts w:ascii="Times New Roman" w:hAnsi="Times New Roman" w:cs="Times New Roman"/>
          <w:noProof/>
          <w:szCs w:val="24"/>
        </w:rPr>
        <w:t xml:space="preserve">;69:141-7. </w:t>
      </w:r>
      <w:bookmarkStart w:id="3" w:name="_ENREF_30"/>
      <w:bookmarkEnd w:id="2"/>
    </w:p>
    <w:p w:rsidR="002644CA" w:rsidRDefault="002644CA" w:rsidP="002644CA">
      <w:pPr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4</w:t>
      </w:r>
      <w:r w:rsidR="00A2327E">
        <w:rPr>
          <w:rFonts w:ascii="Times New Roman" w:hAnsi="Times New Roman" w:cs="Times New Roman"/>
          <w:noProof/>
          <w:szCs w:val="24"/>
        </w:rPr>
        <w:t>1</w:t>
      </w:r>
      <w:r w:rsidRPr="002644CA">
        <w:rPr>
          <w:rFonts w:ascii="Times New Roman" w:hAnsi="Times New Roman" w:cs="Times New Roman"/>
          <w:noProof/>
          <w:szCs w:val="24"/>
        </w:rPr>
        <w:t>.</w:t>
      </w:r>
      <w:r w:rsidRPr="002644CA">
        <w:rPr>
          <w:rFonts w:ascii="Times New Roman" w:hAnsi="Times New Roman" w:cs="Times New Roman"/>
          <w:noProof/>
          <w:szCs w:val="24"/>
        </w:rPr>
        <w:tab/>
        <w:t>Cibulskis K, Lawrence MS, Carter SL, Sivachenko A, Jaffe D, Sougnez C</w:t>
      </w:r>
      <w:r w:rsidRPr="002644CA">
        <w:rPr>
          <w:rFonts w:ascii="Times New Roman" w:hAnsi="Times New Roman" w:cs="Times New Roman"/>
          <w:i/>
          <w:noProof/>
          <w:szCs w:val="24"/>
        </w:rPr>
        <w:t>, et al.</w:t>
      </w:r>
      <w:r w:rsidRPr="002644CA">
        <w:rPr>
          <w:rFonts w:ascii="Times New Roman" w:hAnsi="Times New Roman" w:cs="Times New Roman"/>
          <w:noProof/>
          <w:szCs w:val="24"/>
        </w:rPr>
        <w:t xml:space="preserve"> Sensitive detection of somatic point mutations in impure and heterogeneous cancer samples. Nat Biotechnol </w:t>
      </w:r>
      <w:r w:rsidRPr="002644CA">
        <w:rPr>
          <w:rFonts w:ascii="Times New Roman" w:hAnsi="Times New Roman" w:cs="Times New Roman"/>
          <w:b/>
          <w:noProof/>
          <w:szCs w:val="24"/>
        </w:rPr>
        <w:t>2013</w:t>
      </w:r>
      <w:r w:rsidRPr="002644CA">
        <w:rPr>
          <w:rFonts w:ascii="Times New Roman" w:hAnsi="Times New Roman" w:cs="Times New Roman"/>
          <w:noProof/>
          <w:szCs w:val="24"/>
        </w:rPr>
        <w:t>;31:213-9.</w:t>
      </w:r>
      <w:bookmarkEnd w:id="3"/>
    </w:p>
    <w:p w:rsidR="002644CA" w:rsidRPr="002644CA" w:rsidRDefault="002644CA" w:rsidP="002644CA">
      <w:pPr>
        <w:spacing w:after="0" w:line="48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4" w:name="_ENREF_32"/>
      <w:r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4</w:t>
      </w:r>
      <w:r w:rsidR="00A2327E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2</w:t>
      </w:r>
      <w:r w:rsidRPr="002644CA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>.</w:t>
      </w:r>
      <w:r w:rsidRPr="002644CA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ab/>
        <w:t>Panagopoulos I, Möller E, Dahlen A, Isaksson M, Mandahl N, Vlamis-Gardikas A</w:t>
      </w:r>
      <w:r w:rsidRPr="002644CA">
        <w:rPr>
          <w:rFonts w:ascii="Times New Roman" w:eastAsia="Calibri" w:hAnsi="Times New Roman" w:cs="Times New Roman"/>
          <w:i/>
          <w:noProof/>
          <w:sz w:val="24"/>
          <w:szCs w:val="24"/>
          <w:lang w:val="fr-FR"/>
        </w:rPr>
        <w:t>, et al.</w:t>
      </w:r>
      <w:r w:rsidRPr="002644CA">
        <w:rPr>
          <w:rFonts w:ascii="Times New Roman" w:eastAsia="Calibri" w:hAnsi="Times New Roman" w:cs="Times New Roman"/>
          <w:noProof/>
          <w:sz w:val="24"/>
          <w:szCs w:val="24"/>
          <w:lang w:val="fr-FR"/>
        </w:rPr>
        <w:t xml:space="preserve"> </w:t>
      </w:r>
      <w:r w:rsidRPr="002644CA">
        <w:rPr>
          <w:rFonts w:ascii="Times New Roman" w:eastAsia="Calibri" w:hAnsi="Times New Roman" w:cs="Times New Roman"/>
          <w:noProof/>
          <w:sz w:val="24"/>
          <w:szCs w:val="24"/>
        </w:rPr>
        <w:t xml:space="preserve">Characterization of the native CREB3L2 transcription factor and the FUS/CREB3L2 chimera. Genes Chromosomes Cancer </w:t>
      </w:r>
      <w:r w:rsidRPr="002644CA">
        <w:rPr>
          <w:rFonts w:ascii="Times New Roman" w:eastAsia="Calibri" w:hAnsi="Times New Roman" w:cs="Times New Roman"/>
          <w:b/>
          <w:noProof/>
          <w:sz w:val="24"/>
          <w:szCs w:val="24"/>
        </w:rPr>
        <w:t>2007</w:t>
      </w:r>
      <w:r w:rsidRPr="002644CA">
        <w:rPr>
          <w:rFonts w:ascii="Times New Roman" w:eastAsia="Calibri" w:hAnsi="Times New Roman" w:cs="Times New Roman"/>
          <w:noProof/>
          <w:sz w:val="24"/>
          <w:szCs w:val="24"/>
        </w:rPr>
        <w:t>;46:181-91.</w:t>
      </w:r>
      <w:bookmarkEnd w:id="4"/>
    </w:p>
    <w:p w:rsidR="00AF4161" w:rsidRPr="00AF4161" w:rsidRDefault="00AF4161">
      <w:pPr>
        <w:rPr>
          <w:rFonts w:ascii="Times New Roman" w:hAnsi="Times New Roman" w:cs="Times New Roman"/>
          <w:b/>
          <w:sz w:val="40"/>
          <w:szCs w:val="40"/>
          <w:lang w:val="sv-SE"/>
        </w:rPr>
      </w:pPr>
    </w:p>
    <w:sectPr w:rsidR="00AF4161" w:rsidRPr="00AF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CF"/>
    <w:rsid w:val="000C1ECF"/>
    <w:rsid w:val="001E7934"/>
    <w:rsid w:val="002644CA"/>
    <w:rsid w:val="00533E47"/>
    <w:rsid w:val="00725BAD"/>
    <w:rsid w:val="00A2327E"/>
    <w:rsid w:val="00AF4161"/>
    <w:rsid w:val="00C346C5"/>
    <w:rsid w:val="00E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88BE-3959-46D1-8672-51B68BFD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Arbajian</dc:creator>
  <cp:keywords/>
  <dc:description/>
  <cp:lastModifiedBy>Elsa Arbajian</cp:lastModifiedBy>
  <cp:revision>3</cp:revision>
  <dcterms:created xsi:type="dcterms:W3CDTF">2017-09-06T10:51:00Z</dcterms:created>
  <dcterms:modified xsi:type="dcterms:W3CDTF">2017-09-07T09:09:00Z</dcterms:modified>
</cp:coreProperties>
</file>