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36" w:rsidRPr="00F02100" w:rsidRDefault="00183436" w:rsidP="00183436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SUPPLEMENTARY </w:t>
      </w:r>
      <w:r w:rsidRPr="00F02100">
        <w:rPr>
          <w:rFonts w:asciiTheme="majorHAnsi" w:hAnsiTheme="majorHAnsi" w:cstheme="majorHAnsi"/>
          <w:b/>
          <w:sz w:val="24"/>
          <w:szCs w:val="24"/>
        </w:rPr>
        <w:t xml:space="preserve">FIGURE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LEGENDS </w:t>
      </w:r>
    </w:p>
    <w:p w:rsidR="00183436" w:rsidRPr="00F02100" w:rsidRDefault="00183436" w:rsidP="00183436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Figure 1 </w:t>
      </w:r>
      <w:r w:rsidRPr="00F02100">
        <w:rPr>
          <w:rFonts w:asciiTheme="majorHAnsi" w:hAnsiTheme="majorHAnsi" w:cstheme="majorHAnsi"/>
          <w:bCs/>
          <w:sz w:val="24"/>
          <w:szCs w:val="24"/>
        </w:rPr>
        <w:t>Staining of four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PD-L1 antibody clones in human placenta tissue (x 200): 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F02100">
        <w:rPr>
          <w:rFonts w:asciiTheme="majorHAnsi" w:hAnsiTheme="majorHAnsi" w:cstheme="majorHAnsi"/>
          <w:bCs/>
          <w:sz w:val="24"/>
          <w:szCs w:val="24"/>
        </w:rPr>
        <w:t>Ventana</w:t>
      </w:r>
      <w:proofErr w:type="spellEnd"/>
      <w:r w:rsidRPr="00F02100">
        <w:rPr>
          <w:rFonts w:asciiTheme="majorHAnsi" w:hAnsiTheme="majorHAnsi" w:cstheme="majorHAnsi"/>
          <w:bCs/>
          <w:sz w:val="24"/>
          <w:szCs w:val="24"/>
        </w:rPr>
        <w:t xml:space="preserve"> SP263;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B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, SP142;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, E1L3N;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Pr="00F02100">
        <w:rPr>
          <w:rFonts w:asciiTheme="majorHAnsi" w:hAnsiTheme="majorHAnsi" w:cstheme="majorHAnsi"/>
          <w:bCs/>
          <w:sz w:val="24"/>
          <w:szCs w:val="24"/>
        </w:rPr>
        <w:t>, 405.9A1.</w:t>
      </w:r>
    </w:p>
    <w:p w:rsidR="00183436" w:rsidRPr="00F02100" w:rsidRDefault="00183436" w:rsidP="00183436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183436" w:rsidRPr="00F02100" w:rsidRDefault="00183436" w:rsidP="00183436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Figure 2 </w:t>
      </w:r>
      <w:r w:rsidRPr="00F02100">
        <w:rPr>
          <w:rFonts w:asciiTheme="majorHAnsi" w:hAnsiTheme="majorHAnsi" w:cstheme="majorHAnsi"/>
          <w:bCs/>
          <w:sz w:val="24"/>
          <w:szCs w:val="24"/>
        </w:rPr>
        <w:t>Staining of three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PD-L1 antibody clones in “sausage” test block:  Left panel: benign prostatic tissue (x 200); Right panel: colon medullary carcinoma (x 400). </w:t>
      </w:r>
      <w:proofErr w:type="gramStart"/>
      <w:r w:rsidRPr="00F02100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 and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F02100">
        <w:rPr>
          <w:rFonts w:asciiTheme="majorHAnsi" w:hAnsiTheme="majorHAnsi" w:cstheme="majorHAnsi"/>
          <w:bCs/>
          <w:sz w:val="24"/>
          <w:szCs w:val="24"/>
        </w:rPr>
        <w:t>Ventana</w:t>
      </w:r>
      <w:proofErr w:type="spellEnd"/>
      <w:r w:rsidRPr="00F02100">
        <w:rPr>
          <w:rFonts w:asciiTheme="majorHAnsi" w:hAnsiTheme="majorHAnsi" w:cstheme="majorHAnsi"/>
          <w:bCs/>
          <w:sz w:val="24"/>
          <w:szCs w:val="24"/>
        </w:rPr>
        <w:t xml:space="preserve"> SP263;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B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 and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F02100">
        <w:rPr>
          <w:rFonts w:asciiTheme="majorHAnsi" w:hAnsiTheme="majorHAnsi" w:cstheme="majorHAnsi"/>
          <w:bCs/>
          <w:sz w:val="24"/>
          <w:szCs w:val="24"/>
        </w:rPr>
        <w:t>, SP142; C and F, E1L3N.</w:t>
      </w:r>
      <w:proofErr w:type="gramEnd"/>
    </w:p>
    <w:p w:rsidR="00183436" w:rsidRPr="00F02100" w:rsidRDefault="00183436" w:rsidP="00183436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183436" w:rsidRPr="00F02100" w:rsidRDefault="00183436" w:rsidP="00183436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Figure 3 </w:t>
      </w:r>
      <w:r w:rsidRPr="00F02100">
        <w:rPr>
          <w:rFonts w:asciiTheme="majorHAnsi" w:hAnsiTheme="majorHAnsi" w:cstheme="majorHAnsi"/>
          <w:bCs/>
          <w:sz w:val="24"/>
          <w:szCs w:val="24"/>
        </w:rPr>
        <w:t>Staining of three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PD-L1 antibody clones in two cases of untreated </w:t>
      </w:r>
      <w:proofErr w:type="spellStart"/>
      <w:r w:rsidRPr="00F02100">
        <w:rPr>
          <w:rFonts w:asciiTheme="majorHAnsi" w:hAnsiTheme="majorHAnsi" w:cstheme="majorHAnsi"/>
          <w:bCs/>
          <w:sz w:val="24"/>
          <w:szCs w:val="24"/>
        </w:rPr>
        <w:t>PCa</w:t>
      </w:r>
      <w:proofErr w:type="spellEnd"/>
      <w:r w:rsidRPr="00F02100">
        <w:rPr>
          <w:rFonts w:asciiTheme="majorHAnsi" w:hAnsiTheme="majorHAnsi" w:cstheme="majorHAnsi"/>
          <w:bCs/>
          <w:sz w:val="24"/>
          <w:szCs w:val="24"/>
        </w:rPr>
        <w:t xml:space="preserve"> that were PD-L1-positive (x 400):  Left panel: Case UN69 (blue arrow: nerve); Right panel: Case UN88. </w:t>
      </w:r>
      <w:proofErr w:type="gramStart"/>
      <w:r w:rsidRPr="00F02100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 and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F02100">
        <w:rPr>
          <w:rFonts w:asciiTheme="majorHAnsi" w:hAnsiTheme="majorHAnsi" w:cstheme="majorHAnsi"/>
          <w:bCs/>
          <w:sz w:val="24"/>
          <w:szCs w:val="24"/>
        </w:rPr>
        <w:t>Ventana</w:t>
      </w:r>
      <w:proofErr w:type="spellEnd"/>
      <w:r w:rsidRPr="00F02100">
        <w:rPr>
          <w:rFonts w:asciiTheme="majorHAnsi" w:hAnsiTheme="majorHAnsi" w:cstheme="majorHAnsi"/>
          <w:bCs/>
          <w:sz w:val="24"/>
          <w:szCs w:val="24"/>
        </w:rPr>
        <w:t xml:space="preserve"> SP263;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B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 and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, SP142;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 and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F</w:t>
      </w:r>
      <w:r w:rsidRPr="00F02100">
        <w:rPr>
          <w:rFonts w:asciiTheme="majorHAnsi" w:hAnsiTheme="majorHAnsi" w:cstheme="majorHAnsi"/>
          <w:bCs/>
          <w:sz w:val="24"/>
          <w:szCs w:val="24"/>
        </w:rPr>
        <w:t>, E1L3N.</w:t>
      </w:r>
      <w:proofErr w:type="gramEnd"/>
    </w:p>
    <w:p w:rsidR="00183436" w:rsidRPr="00F02100" w:rsidRDefault="00183436" w:rsidP="00183436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183436" w:rsidRPr="00F02100" w:rsidRDefault="00183436" w:rsidP="00183436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Figure 4 </w:t>
      </w:r>
      <w:r w:rsidRPr="00F02100">
        <w:rPr>
          <w:rFonts w:asciiTheme="majorHAnsi" w:hAnsiTheme="majorHAnsi" w:cstheme="majorHAnsi"/>
          <w:bCs/>
          <w:sz w:val="24"/>
          <w:szCs w:val="24"/>
        </w:rPr>
        <w:t>Staining of three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PD-L1 antibody clones in two cases of Neo-AAPL treated </w:t>
      </w:r>
      <w:proofErr w:type="spellStart"/>
      <w:r w:rsidRPr="00F02100">
        <w:rPr>
          <w:rFonts w:asciiTheme="majorHAnsi" w:hAnsiTheme="majorHAnsi" w:cstheme="majorHAnsi"/>
          <w:bCs/>
          <w:sz w:val="24"/>
          <w:szCs w:val="24"/>
        </w:rPr>
        <w:t>PCa</w:t>
      </w:r>
      <w:proofErr w:type="spellEnd"/>
      <w:r w:rsidRPr="00F02100">
        <w:rPr>
          <w:rFonts w:asciiTheme="majorHAnsi" w:hAnsiTheme="majorHAnsi" w:cstheme="majorHAnsi"/>
          <w:bCs/>
          <w:sz w:val="24"/>
          <w:szCs w:val="24"/>
        </w:rPr>
        <w:t xml:space="preserve"> that were PD-L1-positive (x 400):  Left panel: Case A31; Right panel: Case A7. </w:t>
      </w:r>
      <w:proofErr w:type="gramStart"/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A 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and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F02100">
        <w:rPr>
          <w:rFonts w:asciiTheme="majorHAnsi" w:hAnsiTheme="majorHAnsi" w:cstheme="majorHAnsi"/>
          <w:bCs/>
          <w:sz w:val="24"/>
          <w:szCs w:val="24"/>
        </w:rPr>
        <w:t>Ventana</w:t>
      </w:r>
      <w:proofErr w:type="spellEnd"/>
      <w:r w:rsidRPr="00F02100">
        <w:rPr>
          <w:rFonts w:asciiTheme="majorHAnsi" w:hAnsiTheme="majorHAnsi" w:cstheme="majorHAnsi"/>
          <w:bCs/>
          <w:sz w:val="24"/>
          <w:szCs w:val="24"/>
        </w:rPr>
        <w:t xml:space="preserve"> SP263;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B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 and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, SP142;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 and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F</w:t>
      </w:r>
      <w:r w:rsidRPr="00F02100">
        <w:rPr>
          <w:rFonts w:asciiTheme="majorHAnsi" w:hAnsiTheme="majorHAnsi" w:cstheme="majorHAnsi"/>
          <w:bCs/>
          <w:sz w:val="24"/>
          <w:szCs w:val="24"/>
        </w:rPr>
        <w:t>, E1L3N.</w:t>
      </w:r>
      <w:proofErr w:type="gramEnd"/>
    </w:p>
    <w:p w:rsidR="00183436" w:rsidRPr="00F02100" w:rsidRDefault="00183436" w:rsidP="00183436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183436" w:rsidRPr="00F02100" w:rsidRDefault="00183436" w:rsidP="00183436">
      <w:p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Figure 5 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PD-L1 expression in six tumors with staining in 1-4% tumor cells: E1L3N (x 600).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A-C,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 “scattered” pattern: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A, </w:t>
      </w:r>
      <w:r w:rsidRPr="00F02100">
        <w:rPr>
          <w:rFonts w:asciiTheme="majorHAnsi" w:hAnsiTheme="majorHAnsi" w:cstheme="majorHAnsi"/>
          <w:bCs/>
          <w:sz w:val="24"/>
          <w:szCs w:val="24"/>
        </w:rPr>
        <w:t>Case UN8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. B, </w:t>
      </w:r>
      <w:r w:rsidRPr="00F02100">
        <w:rPr>
          <w:rFonts w:asciiTheme="majorHAnsi" w:hAnsiTheme="majorHAnsi" w:cstheme="majorHAnsi"/>
          <w:bCs/>
          <w:sz w:val="24"/>
          <w:szCs w:val="24"/>
        </w:rPr>
        <w:t>Case UN97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; C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, Case  UN116;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D-F</w:t>
      </w:r>
      <w:r w:rsidRPr="00F02100">
        <w:rPr>
          <w:rFonts w:asciiTheme="majorHAnsi" w:hAnsiTheme="majorHAnsi" w:cstheme="majorHAnsi"/>
          <w:bCs/>
          <w:sz w:val="24"/>
          <w:szCs w:val="24"/>
        </w:rPr>
        <w:t>, PD-L1</w:t>
      </w:r>
      <w:r w:rsidRPr="00F02100">
        <w:rPr>
          <w:rFonts w:asciiTheme="majorHAnsi" w:hAnsiTheme="majorHAnsi" w:cstheme="majorHAnsi"/>
          <w:bCs/>
          <w:sz w:val="24"/>
          <w:szCs w:val="24"/>
          <w:vertAlign w:val="superscript"/>
        </w:rPr>
        <w:t>high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 component in cases of “nodular” pattern: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D, 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Case UN69;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E,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 Case UN75;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F</w:t>
      </w:r>
      <w:r w:rsidRPr="00F02100">
        <w:rPr>
          <w:rFonts w:asciiTheme="majorHAnsi" w:hAnsiTheme="majorHAnsi" w:cstheme="majorHAnsi"/>
          <w:bCs/>
          <w:sz w:val="24"/>
          <w:szCs w:val="24"/>
        </w:rPr>
        <w:t>, Case UN94.</w:t>
      </w:r>
    </w:p>
    <w:p w:rsidR="00183436" w:rsidRPr="00F02100" w:rsidRDefault="00183436" w:rsidP="00183436">
      <w:p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</w:p>
    <w:p w:rsidR="00183436" w:rsidRPr="00F02100" w:rsidRDefault="00183436" w:rsidP="00183436">
      <w:p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F02100">
        <w:rPr>
          <w:rFonts w:asciiTheme="majorHAnsi" w:hAnsiTheme="majorHAnsi" w:cstheme="majorHAnsi"/>
          <w:b/>
          <w:bCs/>
          <w:sz w:val="24"/>
          <w:szCs w:val="24"/>
        </w:rPr>
        <w:t>Figure 6 A</w:t>
      </w:r>
      <w:r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Dual </w:t>
      </w:r>
      <w:proofErr w:type="spellStart"/>
      <w:r w:rsidRPr="00F02100">
        <w:rPr>
          <w:rFonts w:asciiTheme="majorHAnsi" w:hAnsiTheme="majorHAnsi" w:cstheme="majorHAnsi"/>
          <w:bCs/>
          <w:sz w:val="24"/>
          <w:szCs w:val="24"/>
        </w:rPr>
        <w:t>immunostain</w:t>
      </w:r>
      <w:proofErr w:type="spellEnd"/>
      <w:r w:rsidRPr="00F02100">
        <w:rPr>
          <w:rFonts w:asciiTheme="majorHAnsi" w:hAnsiTheme="majorHAnsi" w:cstheme="majorHAnsi"/>
          <w:bCs/>
          <w:sz w:val="24"/>
          <w:szCs w:val="24"/>
        </w:rPr>
        <w:t xml:space="preserve"> for PD-L1 (E1L3N, brown chromogen) and CK18 (red chromogen) of a tumor (case UN116) with PD-L1 staining in 1-4% tumor cells (x 1,000); </w:t>
      </w:r>
      <w:r w:rsidRPr="00F42B02">
        <w:rPr>
          <w:rFonts w:asciiTheme="majorHAnsi" w:hAnsiTheme="majorHAnsi" w:cstheme="majorHAnsi"/>
          <w:b/>
          <w:bCs/>
          <w:sz w:val="24"/>
          <w:szCs w:val="24"/>
        </w:rPr>
        <w:t>B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-D</w:t>
      </w:r>
      <w:r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 Two adjacent tumor nodules (Case UN125) that were discordant for PD-L1 but concordant for ERG and PTEN on </w:t>
      </w:r>
      <w:proofErr w:type="spellStart"/>
      <w:r w:rsidRPr="00F02100">
        <w:rPr>
          <w:rFonts w:asciiTheme="majorHAnsi" w:hAnsiTheme="majorHAnsi" w:cstheme="majorHAnsi"/>
          <w:bCs/>
          <w:sz w:val="24"/>
          <w:szCs w:val="24"/>
        </w:rPr>
        <w:t>immunostains</w:t>
      </w:r>
      <w:proofErr w:type="spellEnd"/>
      <w:r w:rsidRPr="00F02100">
        <w:rPr>
          <w:rFonts w:asciiTheme="majorHAnsi" w:hAnsiTheme="majorHAnsi" w:cstheme="majorHAnsi"/>
          <w:bCs/>
          <w:sz w:val="24"/>
          <w:szCs w:val="24"/>
        </w:rPr>
        <w:t xml:space="preserve"> (x 100): </w:t>
      </w:r>
      <w:r w:rsidRPr="00F42B02">
        <w:rPr>
          <w:rFonts w:asciiTheme="majorHAnsi" w:hAnsiTheme="majorHAnsi" w:cstheme="majorHAnsi"/>
          <w:b/>
          <w:bCs/>
          <w:sz w:val="24"/>
          <w:szCs w:val="24"/>
        </w:rPr>
        <w:t>B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, PD-L1;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C, </w:t>
      </w:r>
      <w:r w:rsidRPr="00F02100">
        <w:rPr>
          <w:rFonts w:asciiTheme="majorHAnsi" w:hAnsiTheme="majorHAnsi" w:cstheme="majorHAnsi"/>
          <w:bCs/>
          <w:sz w:val="24"/>
          <w:szCs w:val="24"/>
        </w:rPr>
        <w:t>ERG;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 D</w:t>
      </w:r>
      <w:r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02100">
        <w:rPr>
          <w:rFonts w:asciiTheme="majorHAnsi" w:hAnsiTheme="majorHAnsi" w:cstheme="majorHAnsi"/>
          <w:bCs/>
          <w:sz w:val="24"/>
          <w:szCs w:val="24"/>
        </w:rPr>
        <w:t>PTEN.</w:t>
      </w:r>
    </w:p>
    <w:p w:rsidR="00183436" w:rsidRPr="00F02100" w:rsidRDefault="00183436" w:rsidP="00183436">
      <w:p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</w:p>
    <w:p w:rsidR="00183436" w:rsidRPr="00F02100" w:rsidRDefault="00183436" w:rsidP="00183436">
      <w:p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F02100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Figure 7 </w:t>
      </w:r>
      <w:r w:rsidRPr="00F02100">
        <w:rPr>
          <w:rFonts w:asciiTheme="majorHAnsi" w:hAnsiTheme="majorHAnsi" w:cstheme="majorHAnsi"/>
          <w:bCs/>
          <w:sz w:val="24"/>
          <w:szCs w:val="24"/>
        </w:rPr>
        <w:t>Correlation of PD-L1 expression with tumor-infiltrating CD8</w:t>
      </w:r>
      <w:r w:rsidRPr="00F02100">
        <w:rPr>
          <w:rFonts w:asciiTheme="majorHAnsi" w:hAnsiTheme="majorHAnsi" w:cstheme="majorHAnsi"/>
          <w:bCs/>
          <w:sz w:val="24"/>
          <w:szCs w:val="24"/>
          <w:vertAlign w:val="superscript"/>
        </w:rPr>
        <w:t>+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 T cells and PD-1</w:t>
      </w:r>
      <w:r w:rsidRPr="00F02100">
        <w:rPr>
          <w:rFonts w:asciiTheme="majorHAnsi" w:hAnsiTheme="majorHAnsi" w:cstheme="majorHAnsi"/>
          <w:bCs/>
          <w:sz w:val="24"/>
          <w:szCs w:val="24"/>
          <w:vertAlign w:val="superscript"/>
        </w:rPr>
        <w:t xml:space="preserve">+ 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cells in two Neo-AAPL treated tumors (x 400): 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A-C</w:t>
      </w:r>
      <w:r w:rsidRPr="00F02100">
        <w:rPr>
          <w:rFonts w:asciiTheme="majorHAnsi" w:hAnsiTheme="majorHAnsi" w:cstheme="majorHAnsi"/>
          <w:bCs/>
          <w:sz w:val="24"/>
          <w:szCs w:val="24"/>
        </w:rPr>
        <w:t>, a PD-L1-positive tumor (case A7) (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, PD-L1;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B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, CD8;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, PD-1); 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D-F</w:t>
      </w:r>
      <w:r w:rsidRPr="00F02100">
        <w:rPr>
          <w:rFonts w:asciiTheme="majorHAnsi" w:hAnsiTheme="majorHAnsi" w:cstheme="majorHAnsi"/>
          <w:bCs/>
          <w:sz w:val="24"/>
          <w:szCs w:val="24"/>
        </w:rPr>
        <w:t>, a PD-L1-negative tumor (case A3) (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, PD-L1;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, CD8; </w:t>
      </w:r>
      <w:r w:rsidRPr="00F02100">
        <w:rPr>
          <w:rFonts w:asciiTheme="majorHAnsi" w:hAnsiTheme="majorHAnsi" w:cstheme="majorHAnsi"/>
          <w:b/>
          <w:bCs/>
          <w:sz w:val="24"/>
          <w:szCs w:val="24"/>
        </w:rPr>
        <w:t>F</w:t>
      </w:r>
      <w:r w:rsidRPr="00F02100">
        <w:rPr>
          <w:rFonts w:asciiTheme="majorHAnsi" w:hAnsiTheme="majorHAnsi" w:cstheme="majorHAnsi"/>
          <w:bCs/>
          <w:sz w:val="24"/>
          <w:szCs w:val="24"/>
        </w:rPr>
        <w:t>, PD-1).</w:t>
      </w:r>
    </w:p>
    <w:p w:rsidR="00183436" w:rsidRPr="00F02100" w:rsidRDefault="00183436" w:rsidP="00183436">
      <w:p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</w:p>
    <w:p w:rsidR="00183436" w:rsidRPr="00F02100" w:rsidRDefault="00183436" w:rsidP="001834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02100">
        <w:rPr>
          <w:rFonts w:asciiTheme="majorHAnsi" w:hAnsiTheme="majorHAnsi" w:cstheme="majorHAnsi"/>
          <w:b/>
          <w:bCs/>
          <w:sz w:val="24"/>
          <w:szCs w:val="24"/>
        </w:rPr>
        <w:t xml:space="preserve">Figure 8 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The </w:t>
      </w:r>
      <w:r>
        <w:rPr>
          <w:rFonts w:asciiTheme="majorHAnsi" w:hAnsiTheme="majorHAnsi" w:cstheme="majorHAnsi"/>
          <w:bCs/>
          <w:sz w:val="24"/>
          <w:szCs w:val="24"/>
        </w:rPr>
        <w:t>densities</w:t>
      </w:r>
      <w:r w:rsidRPr="00F02100">
        <w:rPr>
          <w:rFonts w:asciiTheme="majorHAnsi" w:hAnsiTheme="majorHAnsi" w:cstheme="majorHAnsi"/>
          <w:bCs/>
          <w:sz w:val="24"/>
          <w:szCs w:val="24"/>
        </w:rPr>
        <w:t xml:space="preserve"> of tumor-infiltrating immune cells that were positive for CD3, CD8, and PD-1, per </w:t>
      </w:r>
      <w:r>
        <w:rPr>
          <w:rFonts w:asciiTheme="majorHAnsi" w:hAnsiTheme="majorHAnsi" w:cstheme="majorHAnsi"/>
          <w:bCs/>
          <w:sz w:val="24"/>
          <w:szCs w:val="24"/>
        </w:rPr>
        <w:t>100 tumor cells</w:t>
      </w:r>
      <w:r w:rsidRPr="00F02100">
        <w:rPr>
          <w:rFonts w:asciiTheme="majorHAnsi" w:hAnsiTheme="majorHAnsi" w:cstheme="majorHAnsi"/>
          <w:bCs/>
          <w:sz w:val="24"/>
          <w:szCs w:val="24"/>
        </w:rPr>
        <w:t>, were plotted in PD-L1- positive and -negative cases (N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F02100">
        <w:rPr>
          <w:rFonts w:asciiTheme="majorHAnsi" w:hAnsiTheme="majorHAnsi" w:cstheme="majorHAnsi"/>
          <w:bCs/>
          <w:sz w:val="24"/>
          <w:szCs w:val="24"/>
        </w:rPr>
        <w:t>=14), regardless of treatment status (upper panel), with or without Neo-AAPL treatment (bottom panel).</w:t>
      </w:r>
    </w:p>
    <w:p w:rsidR="00183436" w:rsidRPr="00F02100" w:rsidRDefault="00183436" w:rsidP="0018343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474E5" w:rsidRDefault="00183436">
      <w:bookmarkStart w:id="0" w:name="_GoBack"/>
      <w:bookmarkEnd w:id="0"/>
    </w:p>
    <w:sectPr w:rsidR="003474E5">
      <w:footerReference w:type="default" r:id="rId5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898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378" w:rsidRDefault="00183436">
        <w:pPr>
          <w:pStyle w:val="Footer"/>
          <w:jc w:val="center"/>
        </w:pPr>
        <w:r>
          <w:fldChar w:fldCharType="begin"/>
        </w:r>
        <w:r>
          <w:instrText xml:space="preserve"> PAGE  </w:instrText>
        </w:r>
        <w:r>
          <w:instrText xml:space="preserve">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6378" w:rsidRDefault="0018343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36"/>
    <w:rsid w:val="00006F61"/>
    <w:rsid w:val="00183436"/>
    <w:rsid w:val="009C4554"/>
    <w:rsid w:val="00A1659A"/>
    <w:rsid w:val="00C51E4E"/>
    <w:rsid w:val="00CE346C"/>
    <w:rsid w:val="00F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3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3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Ye,Huihui</dc:creator>
  <cp:lastModifiedBy>Ye,Huihui</cp:lastModifiedBy>
  <cp:revision>1</cp:revision>
  <dcterms:created xsi:type="dcterms:W3CDTF">2017-08-21T18:59:00Z</dcterms:created>
  <dcterms:modified xsi:type="dcterms:W3CDTF">2017-08-21T19:00:00Z</dcterms:modified>
</cp:coreProperties>
</file>