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20" w:rsidRDefault="00793B20" w:rsidP="00731E6E">
      <w:pPr>
        <w:spacing w:after="12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Figures</w:t>
      </w:r>
    </w:p>
    <w:p w:rsidR="0074413B" w:rsidRDefault="0074413B" w:rsidP="00731E6E">
      <w:pPr>
        <w:spacing w:after="12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FD371C" w:rsidRPr="00D54F36" w:rsidRDefault="00FD371C" w:rsidP="00FD371C">
      <w:pPr>
        <w:spacing w:after="12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</w:t>
      </w:r>
      <w:r w:rsidRPr="00D54F36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54F36">
        <w:rPr>
          <w:rFonts w:ascii="Times New Roman" w:hAnsi="Times New Roman" w:cs="Times New Roman"/>
          <w:b/>
          <w:sz w:val="24"/>
          <w:szCs w:val="24"/>
        </w:rPr>
        <w:t xml:space="preserve">  Guardant360 ctDNA Sequencing</w:t>
      </w:r>
      <w:r>
        <w:rPr>
          <w:rFonts w:ascii="Times New Roman" w:hAnsi="Times New Roman" w:cs="Times New Roman"/>
          <w:b/>
          <w:sz w:val="24"/>
          <w:szCs w:val="24"/>
        </w:rPr>
        <w:t xml:space="preserve"> Gene Panel</w:t>
      </w:r>
    </w:p>
    <w:p w:rsidR="00FD371C" w:rsidRPr="00D54F36" w:rsidRDefault="00FD371C" w:rsidP="00FD371C">
      <w:pPr>
        <w:spacing w:after="12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5C6A881" wp14:editId="213B3129">
            <wp:extent cx="5486400" cy="3587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565" cy="359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71C" w:rsidRPr="00793B20" w:rsidRDefault="00FD371C" w:rsidP="00FD371C">
      <w:pPr>
        <w:spacing w:after="120" w:line="240" w:lineRule="auto"/>
        <w:ind w:left="270"/>
        <w:rPr>
          <w:rFonts w:ascii="Times New Roman" w:hAnsi="Times New Roman" w:cs="Times New Roman"/>
        </w:rPr>
      </w:pPr>
      <w:r w:rsidRPr="00793B20">
        <w:rPr>
          <w:rFonts w:ascii="Times New Roman" w:hAnsi="Times New Roman" w:cs="Times New Roman"/>
        </w:rPr>
        <w:t>The Guardant360 panel version GH2.9 reports single nucleotide variants (SNVs) in 70 genes, gene copy number amplifications in 18 genes, fusions/rearrangements in 6 genes as well as indels in 3 genes. Complete exons are sequenced for all exons in 30 genes, including ERBB2, and the critical exons in 40 genes (597 exons total). Thus, a 146,000 base pair targeted region is sequenced for each patient sample. 2,720 probes. Average GC 47%.</w:t>
      </w:r>
    </w:p>
    <w:p w:rsidR="00FD371C" w:rsidRPr="00793B20" w:rsidRDefault="00FD371C" w:rsidP="00FD371C">
      <w:pPr>
        <w:spacing w:after="0" w:line="240" w:lineRule="auto"/>
        <w:ind w:left="270"/>
        <w:rPr>
          <w:rFonts w:ascii="Times New Roman" w:hAnsi="Times New Roman" w:cs="Times New Roman"/>
        </w:rPr>
      </w:pPr>
    </w:p>
    <w:p w:rsidR="00FD371C" w:rsidRDefault="00FD371C" w:rsidP="00FD371C">
      <w:pPr>
        <w:ind w:left="270"/>
        <w:rPr>
          <w:rFonts w:ascii="Times New Roman" w:hAnsi="Times New Roman" w:cs="Times New Roman"/>
          <w:b/>
          <w:sz w:val="24"/>
        </w:rPr>
      </w:pPr>
    </w:p>
    <w:p w:rsidR="00FD371C" w:rsidRDefault="00FD371C" w:rsidP="00FD371C">
      <w:pPr>
        <w:ind w:left="270"/>
        <w:rPr>
          <w:rFonts w:ascii="Times New Roman" w:hAnsi="Times New Roman" w:cs="Times New Roman"/>
          <w:b/>
          <w:sz w:val="24"/>
        </w:rPr>
      </w:pPr>
    </w:p>
    <w:p w:rsidR="00FD371C" w:rsidRDefault="00FD371C" w:rsidP="00FD371C">
      <w:pPr>
        <w:ind w:left="270"/>
        <w:rPr>
          <w:rFonts w:ascii="Times New Roman" w:hAnsi="Times New Roman" w:cs="Times New Roman"/>
          <w:b/>
          <w:sz w:val="24"/>
        </w:rPr>
      </w:pPr>
    </w:p>
    <w:p w:rsidR="00FD371C" w:rsidRDefault="00FD371C" w:rsidP="00FD371C">
      <w:pPr>
        <w:ind w:left="270"/>
        <w:rPr>
          <w:rFonts w:ascii="Times New Roman" w:hAnsi="Times New Roman" w:cs="Times New Roman"/>
          <w:b/>
          <w:sz w:val="24"/>
        </w:rPr>
      </w:pPr>
    </w:p>
    <w:p w:rsidR="00FD371C" w:rsidRDefault="00FD371C" w:rsidP="00FD371C">
      <w:pPr>
        <w:ind w:left="270"/>
        <w:rPr>
          <w:rFonts w:ascii="Times New Roman" w:hAnsi="Times New Roman" w:cs="Times New Roman"/>
          <w:b/>
          <w:sz w:val="24"/>
        </w:rPr>
      </w:pPr>
    </w:p>
    <w:p w:rsidR="00FD371C" w:rsidRDefault="00FD371C" w:rsidP="00FD371C">
      <w:pPr>
        <w:ind w:left="270"/>
        <w:rPr>
          <w:rFonts w:ascii="Times New Roman" w:hAnsi="Times New Roman" w:cs="Times New Roman"/>
          <w:b/>
          <w:sz w:val="24"/>
        </w:rPr>
      </w:pPr>
    </w:p>
    <w:p w:rsidR="0074413B" w:rsidRDefault="0074413B" w:rsidP="00731E6E">
      <w:pPr>
        <w:spacing w:after="12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74413B" w:rsidRDefault="0074413B" w:rsidP="00731E6E">
      <w:pPr>
        <w:spacing w:after="12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74413B" w:rsidRDefault="0074413B" w:rsidP="00731E6E">
      <w:pPr>
        <w:spacing w:after="12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793B20" w:rsidRDefault="0074413B" w:rsidP="00731E6E">
      <w:pPr>
        <w:spacing w:after="12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Fig</w:t>
      </w:r>
      <w:r w:rsidRPr="00D54F36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FD371C">
        <w:rPr>
          <w:rFonts w:ascii="Times New Roman" w:hAnsi="Times New Roman" w:cs="Times New Roman"/>
          <w:b/>
          <w:sz w:val="24"/>
          <w:szCs w:val="24"/>
        </w:rPr>
        <w:t>2</w:t>
      </w:r>
      <w:r w:rsidRPr="00D54F3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Consort Diagram</w:t>
      </w:r>
    </w:p>
    <w:p w:rsidR="0074413B" w:rsidRDefault="0074413B" w:rsidP="00731E6E">
      <w:pPr>
        <w:spacing w:after="12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74413B" w:rsidRDefault="00744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CF86F63" wp14:editId="285EFFB8">
            <wp:extent cx="6858000" cy="3091815"/>
            <wp:effectExtent l="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1E6E" w:rsidRDefault="00731E6E" w:rsidP="00731E6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31E6E" w:rsidRDefault="00731E6E" w:rsidP="00731E6E">
      <w:pPr>
        <w:rPr>
          <w:rFonts w:ascii="Times New Roman" w:hAnsi="Times New Roman" w:cs="Times New Roman"/>
          <w:b/>
          <w:sz w:val="24"/>
        </w:rPr>
      </w:pPr>
    </w:p>
    <w:p w:rsidR="00731E6E" w:rsidRDefault="00304AB8" w:rsidP="007F6B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Supplementary Fig</w:t>
      </w:r>
      <w:r w:rsidR="006C280A" w:rsidRPr="00D54F36">
        <w:rPr>
          <w:rFonts w:ascii="Times New Roman" w:hAnsi="Times New Roman" w:cs="Times New Roman"/>
          <w:b/>
          <w:sz w:val="24"/>
        </w:rPr>
        <w:t xml:space="preserve"> S</w:t>
      </w:r>
      <w:r w:rsidR="00DF7CA9" w:rsidRPr="00D54F36">
        <w:rPr>
          <w:rFonts w:ascii="Times New Roman" w:hAnsi="Times New Roman" w:cs="Times New Roman"/>
          <w:b/>
          <w:sz w:val="24"/>
        </w:rPr>
        <w:t>3</w:t>
      </w:r>
      <w:r w:rsidR="006C280A" w:rsidRPr="00D54F36">
        <w:rPr>
          <w:rFonts w:ascii="Times New Roman" w:hAnsi="Times New Roman" w:cs="Times New Roman"/>
          <w:b/>
          <w:sz w:val="24"/>
        </w:rPr>
        <w:t xml:space="preserve">.  Distribution of </w:t>
      </w:r>
      <w:r w:rsidR="006C280A" w:rsidRPr="00D54F36">
        <w:rPr>
          <w:rFonts w:ascii="Times New Roman" w:hAnsi="Times New Roman" w:cs="Times New Roman"/>
          <w:b/>
          <w:i/>
          <w:sz w:val="24"/>
        </w:rPr>
        <w:t>HER2</w:t>
      </w:r>
      <w:r w:rsidR="0004092D" w:rsidRPr="00D54F36">
        <w:rPr>
          <w:rFonts w:ascii="Times New Roman" w:hAnsi="Times New Roman" w:cs="Times New Roman"/>
          <w:b/>
          <w:sz w:val="24"/>
        </w:rPr>
        <w:t xml:space="preserve"> activating</w:t>
      </w:r>
      <w:r w:rsidR="006C280A" w:rsidRPr="00D54F36">
        <w:rPr>
          <w:rFonts w:ascii="Times New Roman" w:hAnsi="Times New Roman" w:cs="Times New Roman"/>
          <w:b/>
          <w:sz w:val="24"/>
        </w:rPr>
        <w:t xml:space="preserve"> mutations identified by plasma ctDNA sequencing in 1</w:t>
      </w:r>
      <w:r w:rsidR="00AB31A7">
        <w:rPr>
          <w:rFonts w:ascii="Times New Roman" w:hAnsi="Times New Roman" w:cs="Times New Roman"/>
          <w:b/>
          <w:sz w:val="24"/>
        </w:rPr>
        <w:t>,</w:t>
      </w:r>
      <w:r w:rsidR="006C280A" w:rsidRPr="00D54F36">
        <w:rPr>
          <w:rFonts w:ascii="Times New Roman" w:hAnsi="Times New Roman" w:cs="Times New Roman"/>
          <w:b/>
          <w:sz w:val="24"/>
        </w:rPr>
        <w:t>584 breast cancer patients</w:t>
      </w:r>
      <w:r w:rsidR="007F6B9A" w:rsidRPr="00D54F36">
        <w:rPr>
          <w:rFonts w:ascii="Times New Roman" w:hAnsi="Times New Roman" w:cs="Times New Roman"/>
          <w:sz w:val="24"/>
        </w:rPr>
        <w:t xml:space="preserve"> </w:t>
      </w:r>
    </w:p>
    <w:p w:rsidR="00731E6E" w:rsidRDefault="00731E6E" w:rsidP="007F6B9A">
      <w:pPr>
        <w:rPr>
          <w:rFonts w:ascii="Times New Roman" w:hAnsi="Times New Roman" w:cs="Times New Roman"/>
          <w:sz w:val="24"/>
        </w:rPr>
      </w:pPr>
    </w:p>
    <w:p w:rsidR="007F6B9A" w:rsidRPr="00D54F36" w:rsidRDefault="00731E6E" w:rsidP="007F6B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9B97447" wp14:editId="5AAEC931">
            <wp:extent cx="5943600" cy="3050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bb2_lolliplot-1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5"/>
                    <a:stretch/>
                  </pic:blipFill>
                  <pic:spPr bwMode="auto">
                    <a:xfrm>
                      <a:off x="0" y="0"/>
                      <a:ext cx="5943600" cy="305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80A" w:rsidRPr="00D54F36" w:rsidRDefault="007F6B9A" w:rsidP="006C280A">
      <w:pPr>
        <w:rPr>
          <w:rFonts w:ascii="Times New Roman" w:hAnsi="Times New Roman" w:cs="Times New Roman"/>
          <w:sz w:val="24"/>
        </w:rPr>
      </w:pPr>
      <w:r w:rsidRPr="00D54F36">
        <w:rPr>
          <w:rFonts w:ascii="Times New Roman" w:hAnsi="Times New Roman" w:cs="Times New Roman"/>
          <w:sz w:val="24"/>
        </w:rPr>
        <w:t xml:space="preserve">Each circle represents a single patient. </w:t>
      </w:r>
    </w:p>
    <w:p w:rsidR="007F6B9A" w:rsidRDefault="007F6B9A" w:rsidP="00283B9D">
      <w:pPr>
        <w:rPr>
          <w:rFonts w:ascii="Times New Roman" w:hAnsi="Times New Roman" w:cs="Times New Roman"/>
        </w:rPr>
      </w:pPr>
    </w:p>
    <w:p w:rsidR="006C280A" w:rsidRDefault="006C280A" w:rsidP="006C280A">
      <w:pPr>
        <w:rPr>
          <w:rFonts w:ascii="Times New Roman" w:hAnsi="Times New Roman" w:cs="Times New Roman"/>
        </w:rPr>
      </w:pPr>
    </w:p>
    <w:p w:rsidR="006C280A" w:rsidRDefault="006C280A" w:rsidP="006C280A">
      <w:pPr>
        <w:rPr>
          <w:rFonts w:ascii="Times New Roman" w:hAnsi="Times New Roman" w:cs="Times New Roman"/>
        </w:rPr>
      </w:pPr>
    </w:p>
    <w:p w:rsidR="006C280A" w:rsidRPr="006C280A" w:rsidRDefault="006C280A" w:rsidP="006C2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280A" w:rsidRPr="00DF7CA9" w:rsidRDefault="006C280A" w:rsidP="00DF7CA9">
      <w:pPr>
        <w:rPr>
          <w:rFonts w:ascii="Times New Roman" w:hAnsi="Times New Roman" w:cs="Times New Roman"/>
          <w:b/>
          <w:sz w:val="24"/>
          <w:szCs w:val="24"/>
        </w:rPr>
      </w:pPr>
      <w:r w:rsidRPr="00DF7CA9">
        <w:rPr>
          <w:rFonts w:ascii="Times New Roman" w:hAnsi="Times New Roman" w:cs="Times New Roman"/>
          <w:b/>
          <w:sz w:val="24"/>
          <w:szCs w:val="24"/>
        </w:rPr>
        <w:lastRenderedPageBreak/>
        <w:t>SUPPLEMENTARY TABLES</w:t>
      </w:r>
    </w:p>
    <w:p w:rsidR="006C280A" w:rsidRPr="006C280A" w:rsidRDefault="006C280A" w:rsidP="006C280A">
      <w:pPr>
        <w:rPr>
          <w:rFonts w:ascii="Times New Roman" w:hAnsi="Times New Roman" w:cs="Times New Roman"/>
          <w:b/>
        </w:rPr>
      </w:pPr>
    </w:p>
    <w:p w:rsidR="006C280A" w:rsidRPr="006C280A" w:rsidRDefault="006C280A" w:rsidP="006C280A">
      <w:pPr>
        <w:rPr>
          <w:rFonts w:ascii="Times New Roman" w:hAnsi="Times New Roman" w:cs="Times New Roman"/>
          <w:b/>
        </w:rPr>
      </w:pPr>
    </w:p>
    <w:p w:rsidR="006C280A" w:rsidRPr="006C280A" w:rsidRDefault="006C280A" w:rsidP="006C280A">
      <w:pPr>
        <w:rPr>
          <w:rFonts w:ascii="Times New Roman" w:hAnsi="Times New Roman" w:cs="Times New Roman"/>
          <w:b/>
        </w:rPr>
      </w:pPr>
    </w:p>
    <w:p w:rsidR="006C280A" w:rsidRPr="006C280A" w:rsidRDefault="006C280A" w:rsidP="006C280A">
      <w:pPr>
        <w:rPr>
          <w:rFonts w:ascii="Times New Roman" w:hAnsi="Times New Roman" w:cs="Times New Roman"/>
        </w:rPr>
      </w:pPr>
    </w:p>
    <w:p w:rsidR="006C280A" w:rsidRPr="006C280A" w:rsidRDefault="006C280A" w:rsidP="006C280A">
      <w:pPr>
        <w:rPr>
          <w:rFonts w:ascii="Times New Roman" w:hAnsi="Times New Roman" w:cs="Times New Roman"/>
        </w:rPr>
      </w:pPr>
    </w:p>
    <w:p w:rsidR="006C280A" w:rsidRPr="006C280A" w:rsidRDefault="006C280A" w:rsidP="006C280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99"/>
        <w:tblW w:w="10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2"/>
        <w:gridCol w:w="2468"/>
        <w:gridCol w:w="2260"/>
      </w:tblGrid>
      <w:tr w:rsidR="005F6EBC" w:rsidRPr="00CA174F" w:rsidTr="005F6EBC">
        <w:trPr>
          <w:trHeight w:val="304"/>
        </w:trPr>
        <w:tc>
          <w:tcPr>
            <w:tcW w:w="10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4AB8" w:rsidRDefault="00304AB8" w:rsidP="005F6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 xml:space="preserve">Supplementary </w:t>
            </w:r>
            <w:r w:rsidR="005F6EBC" w:rsidRPr="00CA174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Table S</w:t>
            </w:r>
            <w:r w:rsidR="005F6EB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1</w:t>
            </w:r>
            <w:r w:rsidR="005F6EBC" w:rsidRPr="00CA174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="005F6EB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="005F6EBC" w:rsidRPr="0004092D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kern w:val="24"/>
              </w:rPr>
              <w:t>HER2</w:t>
            </w:r>
            <w:r w:rsidR="005F6EBC" w:rsidRPr="00CA174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="005F6EB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Activating M</w:t>
            </w:r>
            <w:r w:rsidR="005F6EBC" w:rsidRPr="00CA174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utation</w:t>
            </w:r>
            <w:r w:rsidR="005F6EB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s</w:t>
            </w:r>
            <w:r w:rsidR="005F6EBC" w:rsidRPr="00CA174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="005F6EB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D</w:t>
            </w:r>
            <w:r w:rsidR="005F6EBC" w:rsidRPr="00CA174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 xml:space="preserve">etection by </w:t>
            </w:r>
            <w:r w:rsidR="005F6EB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T</w:t>
            </w:r>
            <w:r w:rsidR="005F6EBC" w:rsidRPr="00CA174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 xml:space="preserve">umor DNA </w:t>
            </w:r>
          </w:p>
          <w:p w:rsidR="005F6EBC" w:rsidRPr="00CA174F" w:rsidRDefault="005F6EBC" w:rsidP="005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CA174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 xml:space="preserve">versus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P</w:t>
            </w:r>
            <w:r w:rsidRPr="00CA174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 xml:space="preserve">lasma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C</w:t>
            </w:r>
            <w:r w:rsidRPr="00CA174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 xml:space="preserve">ell-free DNA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S</w:t>
            </w:r>
            <w:r w:rsidRPr="00CA174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equencing</w:t>
            </w:r>
          </w:p>
        </w:tc>
      </w:tr>
      <w:tr w:rsidR="005F6EBC" w:rsidRPr="00CA174F" w:rsidTr="000B00E0">
        <w:trPr>
          <w:trHeight w:val="205"/>
        </w:trPr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EBC" w:rsidRPr="00CA174F" w:rsidRDefault="005F6EBC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EBC" w:rsidRPr="00CA174F" w:rsidRDefault="005F6EBC" w:rsidP="005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904CD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HER2</w:t>
            </w:r>
            <w:r w:rsidRPr="00CA17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mutation by tumor DNA sequencing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*</w:t>
            </w:r>
            <w:r w:rsidRPr="00CA17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5F6EBC" w:rsidRPr="00CA174F" w:rsidTr="000B00E0">
        <w:trPr>
          <w:trHeight w:val="340"/>
        </w:trPr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EBC" w:rsidRPr="00CA174F" w:rsidRDefault="005F6EBC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904CD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HER2</w:t>
            </w:r>
            <w:r w:rsidRPr="00CA17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mutation by ctDNA sequencing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*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EBC" w:rsidRPr="00CA174F" w:rsidRDefault="005F6EBC" w:rsidP="005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A17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Pos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EBC" w:rsidRPr="00CA174F" w:rsidRDefault="005F6EBC" w:rsidP="005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A17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Neg</w:t>
            </w:r>
          </w:p>
        </w:tc>
      </w:tr>
      <w:tr w:rsidR="005F6EBC" w:rsidRPr="00CA174F" w:rsidTr="000B00E0">
        <w:trPr>
          <w:trHeight w:val="23"/>
        </w:trPr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EBC" w:rsidRPr="00CA174F" w:rsidRDefault="005F6EBC" w:rsidP="005F6EB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A17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(concordant with tumor sequencing)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EBC" w:rsidRPr="00CA174F" w:rsidRDefault="005F6EBC" w:rsidP="005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A17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EBC" w:rsidRPr="00CA174F" w:rsidRDefault="005F6EBC" w:rsidP="005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A17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  <w:tr w:rsidR="005F6EBC" w:rsidRPr="00CA174F" w:rsidTr="000B00E0">
        <w:trPr>
          <w:trHeight w:val="23"/>
        </w:trPr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EBC" w:rsidRPr="00CA174F" w:rsidRDefault="005F6EBC" w:rsidP="005F6EB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Pos (discordant with tumor sequencing)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EBC" w:rsidRPr="00CA174F" w:rsidRDefault="005F6EBC" w:rsidP="005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EBC" w:rsidRPr="00CA174F" w:rsidRDefault="005F6EBC" w:rsidP="005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NA</w:t>
            </w:r>
          </w:p>
        </w:tc>
      </w:tr>
      <w:tr w:rsidR="005F6EBC" w:rsidRPr="00CA174F" w:rsidTr="000B00E0">
        <w:trPr>
          <w:trHeight w:val="115"/>
        </w:trPr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EBC" w:rsidRPr="00CA174F" w:rsidRDefault="005F6EBC" w:rsidP="005F6EB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A17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Neg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EBC" w:rsidRPr="00CA174F" w:rsidRDefault="005F6EBC" w:rsidP="005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EBC" w:rsidRPr="00CA174F" w:rsidRDefault="005F6EBC" w:rsidP="005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A17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32</w:t>
            </w:r>
          </w:p>
        </w:tc>
      </w:tr>
      <w:tr w:rsidR="005F6EBC" w:rsidRPr="00CA174F" w:rsidTr="000B00E0">
        <w:trPr>
          <w:trHeight w:val="205"/>
        </w:trPr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EBC" w:rsidRPr="00CA174F" w:rsidRDefault="005F6EBC" w:rsidP="001732E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A17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detectable </w:t>
            </w:r>
            <w:r w:rsidRPr="00CA17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ctDNA</w:t>
            </w:r>
            <w:r w:rsidR="000B00E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mutation</w:t>
            </w:r>
            <w:r w:rsidRPr="00CA17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EBC" w:rsidRPr="00CA174F" w:rsidRDefault="005F6EBC" w:rsidP="005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A17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EBC" w:rsidRPr="00CA174F" w:rsidRDefault="005F6EBC" w:rsidP="005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A17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</w:tr>
      <w:tr w:rsidR="005F6EBC" w:rsidRPr="00CA174F" w:rsidTr="000B00E0">
        <w:trPr>
          <w:trHeight w:val="223"/>
        </w:trPr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EBC" w:rsidRPr="00CA174F" w:rsidRDefault="005F6EBC" w:rsidP="005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A17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Total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EBC" w:rsidRPr="00CA174F" w:rsidRDefault="005F6EBC" w:rsidP="005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A17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EBC" w:rsidRPr="00CA174F" w:rsidRDefault="005F6EBC" w:rsidP="005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A17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40</w:t>
            </w:r>
          </w:p>
        </w:tc>
      </w:tr>
      <w:tr w:rsidR="005F6EBC" w:rsidRPr="00CA174F" w:rsidTr="005F6EBC">
        <w:trPr>
          <w:trHeight w:val="223"/>
        </w:trPr>
        <w:tc>
          <w:tcPr>
            <w:tcW w:w="10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6EBC" w:rsidRPr="00CA174F" w:rsidRDefault="005F6EBC" w:rsidP="0012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Comparing the tumor DNA sequencing, the </w:t>
            </w:r>
            <w:r w:rsidRPr="001904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sensitivity and specificity of ctDNA for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the</w:t>
            </w:r>
            <w:r w:rsidRPr="001904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detection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of</w:t>
            </w:r>
            <w:r w:rsidRPr="001904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904CD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HER2</w:t>
            </w:r>
            <w:r w:rsidRPr="001904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activating mutation</w:t>
            </w:r>
            <w:r w:rsidR="000B00E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was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904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11/14 (79%, 90%</w:t>
            </w:r>
            <w:r w:rsidR="000B00E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904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CI: 53-94%) and 32/32 (100%, 90%</w:t>
            </w:r>
            <w:r w:rsidR="000B00E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904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CI: 91-100%), respectively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 </w:t>
            </w:r>
            <w:r w:rsidR="000B00E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The overall concordance rate was </w:t>
            </w:r>
            <w:r w:rsidR="0012146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  <w:r w:rsidR="000B00E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3/46 (93.5%, 90% CI 87-100%).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* Mutation data is detailed in </w:t>
            </w:r>
            <w:r w:rsidR="000B00E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Supplementary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Table S</w:t>
            </w:r>
            <w:r w:rsidR="000B00E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  <w:r w:rsidR="000B00E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NA, not applicable</w:t>
            </w:r>
          </w:p>
        </w:tc>
      </w:tr>
    </w:tbl>
    <w:p w:rsidR="006C280A" w:rsidRPr="006C280A" w:rsidRDefault="006C280A" w:rsidP="006C280A">
      <w:pPr>
        <w:rPr>
          <w:rFonts w:ascii="Times New Roman" w:hAnsi="Times New Roman" w:cs="Times New Roman"/>
        </w:rPr>
      </w:pPr>
    </w:p>
    <w:p w:rsidR="006C280A" w:rsidRPr="006C280A" w:rsidRDefault="006C280A" w:rsidP="006C280A">
      <w:pPr>
        <w:rPr>
          <w:rFonts w:ascii="Times New Roman" w:hAnsi="Times New Roman" w:cs="Times New Roman"/>
        </w:rPr>
      </w:pPr>
    </w:p>
    <w:p w:rsidR="006C280A" w:rsidRPr="006C280A" w:rsidRDefault="006C280A" w:rsidP="006C280A">
      <w:pPr>
        <w:rPr>
          <w:rFonts w:ascii="Times New Roman" w:hAnsi="Times New Roman" w:cs="Times New Roman"/>
        </w:rPr>
      </w:pPr>
    </w:p>
    <w:p w:rsidR="006C280A" w:rsidRPr="006C280A" w:rsidRDefault="006C280A" w:rsidP="006C280A">
      <w:pPr>
        <w:rPr>
          <w:rFonts w:ascii="Times New Roman" w:hAnsi="Times New Roman" w:cs="Times New Roman"/>
        </w:rPr>
      </w:pPr>
    </w:p>
    <w:p w:rsidR="006C280A" w:rsidRPr="006C280A" w:rsidRDefault="006C280A" w:rsidP="006C280A">
      <w:pPr>
        <w:rPr>
          <w:rFonts w:ascii="Times New Roman" w:hAnsi="Times New Roman" w:cs="Times New Roman"/>
        </w:rPr>
      </w:pPr>
    </w:p>
    <w:p w:rsidR="006C280A" w:rsidRPr="006C280A" w:rsidRDefault="006C280A" w:rsidP="006C280A">
      <w:pPr>
        <w:rPr>
          <w:rFonts w:ascii="Times New Roman" w:hAnsi="Times New Roman" w:cs="Times New Roman"/>
        </w:rPr>
      </w:pPr>
    </w:p>
    <w:p w:rsidR="006C280A" w:rsidRPr="006C280A" w:rsidRDefault="006C280A" w:rsidP="006C280A">
      <w:pPr>
        <w:rPr>
          <w:rFonts w:ascii="Times New Roman" w:hAnsi="Times New Roman" w:cs="Times New Roman"/>
        </w:rPr>
      </w:pPr>
    </w:p>
    <w:p w:rsidR="006C280A" w:rsidRDefault="006C280A" w:rsidP="00024AA4">
      <w:pPr>
        <w:spacing w:after="0" w:line="240" w:lineRule="auto"/>
        <w:rPr>
          <w:rFonts w:ascii="Times New Roman" w:hAnsi="Times New Roman" w:cs="Times New Roman"/>
          <w:b/>
        </w:rPr>
      </w:pPr>
    </w:p>
    <w:p w:rsidR="00CA174F" w:rsidRPr="00CA174F" w:rsidRDefault="00CA174F" w:rsidP="00CA174F">
      <w:pPr>
        <w:pStyle w:val="NormalWeb"/>
        <w:spacing w:before="0" w:beforeAutospacing="0" w:after="0" w:afterAutospacing="0"/>
      </w:pPr>
    </w:p>
    <w:p w:rsidR="006C280A" w:rsidRDefault="006C280A" w:rsidP="00024AA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2071"/>
        <w:tblW w:w="102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9"/>
        <w:gridCol w:w="2047"/>
        <w:gridCol w:w="2044"/>
        <w:gridCol w:w="900"/>
        <w:gridCol w:w="900"/>
        <w:gridCol w:w="1170"/>
        <w:gridCol w:w="540"/>
        <w:gridCol w:w="900"/>
        <w:gridCol w:w="1115"/>
      </w:tblGrid>
      <w:tr w:rsidR="001A07FB" w:rsidRPr="00F34ECE" w:rsidTr="00AB31A7">
        <w:trPr>
          <w:trHeight w:val="593"/>
        </w:trPr>
        <w:tc>
          <w:tcPr>
            <w:tcW w:w="102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7FB" w:rsidRPr="00F34ECE" w:rsidRDefault="00304AB8" w:rsidP="00AB31A7">
            <w:pPr>
              <w:spacing w:after="0" w:line="240" w:lineRule="auto"/>
              <w:jc w:val="center"/>
              <w:textAlignment w:val="bottom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 xml:space="preserve">Supplementary </w:t>
            </w:r>
            <w:r w:rsidR="001A07FB" w:rsidRPr="00F34EC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 xml:space="preserve">Table S2  </w:t>
            </w:r>
            <w:r w:rsidR="001A07FB" w:rsidRPr="00F34ECE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kern w:val="24"/>
              </w:rPr>
              <w:t>HER2</w:t>
            </w:r>
            <w:r w:rsidR="001A07FB" w:rsidRPr="00F34EC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 xml:space="preserve"> Mutation by Tumor or ctDNA sequencing, ctDNA </w:t>
            </w:r>
            <w:r w:rsidR="001A07FB" w:rsidRPr="00F34ECE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kern w:val="24"/>
              </w:rPr>
              <w:t>HER2</w:t>
            </w:r>
            <w:r w:rsidR="001A07FB" w:rsidRPr="00F34EC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 xml:space="preserve"> mutation Variant Allele Frequency, and Tumor Response in Individual Patient with Activating </w:t>
            </w:r>
            <w:r w:rsidR="001A07FB" w:rsidRPr="00F34ECE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kern w:val="24"/>
              </w:rPr>
              <w:t>HER2</w:t>
            </w:r>
            <w:r w:rsidR="001A07FB" w:rsidRPr="00F34EC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 xml:space="preserve"> Mutations (n=14)</w:t>
            </w:r>
          </w:p>
        </w:tc>
      </w:tr>
      <w:tr w:rsidR="001A07FB" w:rsidRPr="00F34ECE" w:rsidTr="00AB31A7">
        <w:trPr>
          <w:trHeight w:val="157"/>
        </w:trPr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Pt </w:t>
            </w:r>
          </w:p>
          <w:p w:rsidR="001A07FB" w:rsidRPr="00F34ECE" w:rsidRDefault="001A07FB" w:rsidP="00AB31A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ID</w:t>
            </w:r>
          </w:p>
        </w:tc>
        <w:tc>
          <w:tcPr>
            <w:tcW w:w="2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 xml:space="preserve">HER2 </w:t>
            </w:r>
            <w:r w:rsidRPr="00F34EC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Mutation</w:t>
            </w:r>
          </w:p>
          <w:p w:rsidR="001A07FB" w:rsidRPr="00F34ECE" w:rsidRDefault="001A07FB" w:rsidP="00AB31A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by tumor sequencing</w:t>
            </w:r>
          </w:p>
        </w:tc>
        <w:tc>
          <w:tcPr>
            <w:tcW w:w="5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7FB" w:rsidRPr="00F34ECE" w:rsidRDefault="001A07FB" w:rsidP="00AB31A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ctDNA </w:t>
            </w:r>
            <w:r w:rsidRPr="00F34ECE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 xml:space="preserve">HER2 </w:t>
            </w:r>
            <w:r w:rsidRPr="00F34EC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Mutation Variant Allele Frequency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Best Response</w:t>
            </w:r>
          </w:p>
          <w:p w:rsidR="001A07FB" w:rsidRPr="00F34ECE" w:rsidRDefault="001A07FB" w:rsidP="00AB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</w:rPr>
              <w:t>% change in tumor size</w:t>
            </w:r>
          </w:p>
        </w:tc>
        <w:tc>
          <w:tcPr>
            <w:tcW w:w="1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PFS</w:t>
            </w:r>
          </w:p>
          <w:p w:rsidR="001A07FB" w:rsidRPr="00F34ECE" w:rsidRDefault="001A07FB" w:rsidP="00AB31A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(Weeks)</w:t>
            </w:r>
          </w:p>
        </w:tc>
      </w:tr>
      <w:tr w:rsidR="001A07FB" w:rsidRPr="00F34ECE" w:rsidTr="00AB31A7">
        <w:trPr>
          <w:trHeight w:val="418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7FB" w:rsidRPr="00F34ECE" w:rsidRDefault="001A07FB" w:rsidP="00AB3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7FB" w:rsidRPr="00F34ECE" w:rsidRDefault="001A07FB" w:rsidP="00AB3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7FB" w:rsidRPr="00F34ECE" w:rsidRDefault="001A07FB" w:rsidP="00AB31A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Baseline ctDNA </w:t>
            </w:r>
          </w:p>
          <w:p w:rsidR="001A07FB" w:rsidRPr="00F34ECE" w:rsidRDefault="001A07FB" w:rsidP="00AB31A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HER2</w:t>
            </w:r>
            <w:r w:rsidRPr="00F34EC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Mutation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Baseline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4-week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Progression</w:t>
            </w:r>
          </w:p>
        </w:tc>
        <w:tc>
          <w:tcPr>
            <w:tcW w:w="14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7FB" w:rsidRPr="00F34ECE" w:rsidRDefault="001A07FB" w:rsidP="00AB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7FB" w:rsidRPr="00F34ECE" w:rsidRDefault="001A07FB" w:rsidP="00AB31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07FB" w:rsidRPr="00F34ECE" w:rsidTr="00AB31A7">
        <w:trPr>
          <w:trHeight w:val="321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2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2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P780_Y781insGSP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7FB" w:rsidRPr="00F34ECE" w:rsidRDefault="001A07FB" w:rsidP="00AB31A7">
            <w:pPr>
              <w:spacing w:after="0" w:line="32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Not detected (Neg)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2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0%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2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2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NA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2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SD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7FB" w:rsidRPr="00F34ECE" w:rsidRDefault="001A07FB" w:rsidP="00AB31A7">
            <w:pPr>
              <w:spacing w:after="0" w:line="321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NM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2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75 </w:t>
            </w:r>
          </w:p>
        </w:tc>
      </w:tr>
      <w:tr w:rsidR="001A07FB" w:rsidRPr="00F34ECE" w:rsidTr="00AB31A7">
        <w:trPr>
          <w:trHeight w:val="31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L869R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1A07FB" w:rsidRPr="00F34ECE" w:rsidRDefault="001A07FB" w:rsidP="00AB31A7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L869R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15.44%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0.27%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1.6%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SD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7FB" w:rsidRPr="00F34ECE" w:rsidRDefault="001A07FB" w:rsidP="00AB31A7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-12%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37</w:t>
            </w:r>
          </w:p>
        </w:tc>
      </w:tr>
      <w:tr w:rsidR="001A07FB" w:rsidRPr="00F34ECE" w:rsidTr="00AB31A7">
        <w:trPr>
          <w:trHeight w:val="347"/>
        </w:trPr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S310F,V842I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Not detected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0%, 0%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0%, 0%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0.34%, 0%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SD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NM</w:t>
            </w:r>
          </w:p>
        </w:tc>
        <w:tc>
          <w:tcPr>
            <w:tcW w:w="11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32</w:t>
            </w:r>
          </w:p>
        </w:tc>
      </w:tr>
      <w:tr w:rsidR="001A07FB" w:rsidRPr="00F34ECE" w:rsidTr="00AB31A7">
        <w:trPr>
          <w:trHeight w:val="347"/>
        </w:trPr>
        <w:tc>
          <w:tcPr>
            <w:tcW w:w="66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Not detected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D769Y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0.94%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0.2%</w:t>
            </w: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1A07FB" w:rsidRPr="00F34ECE" w:rsidTr="00AB31A7">
        <w:trPr>
          <w:trHeight w:val="388"/>
        </w:trPr>
        <w:tc>
          <w:tcPr>
            <w:tcW w:w="66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Not detected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I767M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2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0%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2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0.25%</w:t>
            </w: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1A07FB" w:rsidRPr="00F34ECE" w:rsidTr="00AB31A7">
        <w:trPr>
          <w:trHeight w:val="347"/>
        </w:trPr>
        <w:tc>
          <w:tcPr>
            <w:tcW w:w="66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Not detected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T862A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2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0%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2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17.79%</w:t>
            </w: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1A07FB" w:rsidRPr="00F34ECE" w:rsidTr="00AB31A7">
        <w:trPr>
          <w:trHeight w:val="347"/>
        </w:trPr>
        <w:tc>
          <w:tcPr>
            <w:tcW w:w="66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Not detected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T798I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2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0%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2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0.39%</w:t>
            </w: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1A07FB" w:rsidRPr="00F34ECE" w:rsidTr="00AB31A7">
        <w:trPr>
          <w:trHeight w:val="347"/>
        </w:trPr>
        <w:tc>
          <w:tcPr>
            <w:tcW w:w="66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Not detected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L869R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7.47%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0.55%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22.86%</w:t>
            </w: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1A07FB" w:rsidRPr="00F34ECE" w:rsidTr="00AB31A7">
        <w:trPr>
          <w:trHeight w:val="34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V777_G778insGSP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V777_G778insGSP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0.19%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0.82%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CR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-100%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32</w:t>
            </w:r>
          </w:p>
        </w:tc>
      </w:tr>
      <w:tr w:rsidR="001A07FB" w:rsidRPr="00F34ECE" w:rsidTr="00AB31A7">
        <w:trPr>
          <w:trHeight w:val="34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9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L755S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L755S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0.96%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0.15%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14.82%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PR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-35%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31</w:t>
            </w:r>
          </w:p>
        </w:tc>
      </w:tr>
      <w:tr w:rsidR="001A07FB" w:rsidRPr="00F34ECE" w:rsidTr="00AB31A7">
        <w:trPr>
          <w:trHeight w:val="34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L755S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L755S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45.98%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1.11%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NA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SD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NM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22</w:t>
            </w:r>
          </w:p>
        </w:tc>
      </w:tr>
      <w:tr w:rsidR="001A07FB" w:rsidRPr="00F34ECE" w:rsidTr="00AB31A7">
        <w:trPr>
          <w:trHeight w:val="34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A775_G776insYVMA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A775_G776insYVMA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10.28%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0.11%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15.65%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SD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5%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</w:t>
            </w:r>
          </w:p>
        </w:tc>
      </w:tr>
      <w:tr w:rsidR="001A07FB" w:rsidRPr="00F34ECE" w:rsidTr="00AB31A7">
        <w:trPr>
          <w:trHeight w:val="34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D769H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D769H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2.85%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0.25%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3.76%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SD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-23%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12</w:t>
            </w:r>
          </w:p>
        </w:tc>
      </w:tr>
      <w:tr w:rsidR="001A07FB" w:rsidRPr="00F34ECE" w:rsidTr="00AB31A7">
        <w:trPr>
          <w:trHeight w:val="34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S310F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Not detected (Neg)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0%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PD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9</w:t>
            </w:r>
          </w:p>
        </w:tc>
      </w:tr>
      <w:tr w:rsidR="001A07FB" w:rsidRPr="00F34ECE" w:rsidTr="00AB31A7">
        <w:trPr>
          <w:trHeight w:val="34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P780_Y781insGSP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P780_Y781insGSP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14.27%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2.01%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8.84%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PD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17%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</w:tr>
      <w:tr w:rsidR="001A07FB" w:rsidRPr="00F34ECE" w:rsidTr="00AB31A7">
        <w:trPr>
          <w:trHeight w:val="34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L755S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L755S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4.22%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1.71%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5.04%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PD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33%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</w:tr>
      <w:tr w:rsidR="001A07FB" w:rsidRPr="00F34ECE" w:rsidTr="00AB31A7">
        <w:trPr>
          <w:trHeight w:val="34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L755S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L755S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32.41%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43%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NA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PD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</w:tr>
      <w:tr w:rsidR="001A07FB" w:rsidRPr="00F34ECE" w:rsidTr="00AB31A7">
        <w:trPr>
          <w:trHeight w:val="34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7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L755S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L755S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4.63%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16.41%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NA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PD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41%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4</w:t>
            </w:r>
          </w:p>
        </w:tc>
      </w:tr>
      <w:tr w:rsidR="001A07FB" w:rsidRPr="00F34ECE" w:rsidTr="00AB31A7">
        <w:trPr>
          <w:trHeight w:val="4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L755S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L755S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15.20%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NA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PD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17%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3</w:t>
            </w:r>
          </w:p>
        </w:tc>
      </w:tr>
      <w:tr w:rsidR="001A07FB" w:rsidRPr="00F34ECE" w:rsidTr="00AB31A7">
        <w:trPr>
          <w:trHeight w:val="45"/>
        </w:trPr>
        <w:tc>
          <w:tcPr>
            <w:tcW w:w="102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07FB" w:rsidRPr="00F34ECE" w:rsidRDefault="001A07FB" w:rsidP="00AB31A7">
            <w:pPr>
              <w:spacing w:after="0" w:line="34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NA, </w:t>
            </w:r>
            <w:r w:rsidR="00AB31A7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Sample </w:t>
            </w: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Not available;  NM, no measurable disease by RECIST;  SD, Stable Disease;  CR, Complete Response;  PR, Partial Response; </w:t>
            </w:r>
            <w:r w:rsidR="00AB31A7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PD, Progressive Disease; </w:t>
            </w: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PFS, Progression free survival; Shaded VAFs </w:t>
            </w:r>
            <w:r w:rsidR="00AB31A7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data </w:t>
            </w: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were used for </w:t>
            </w:r>
            <w:r w:rsidR="00AB31A7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the plot in </w:t>
            </w:r>
            <w:r w:rsidR="00FD20F4">
              <w:rPr>
                <w:rFonts w:ascii="Times New Roman" w:eastAsia="Times New Roman" w:hAnsi="Times New Roman" w:cs="Times New Roman"/>
                <w:color w:val="000000"/>
                <w:kern w:val="24"/>
              </w:rPr>
              <w:t>Figure 2</w:t>
            </w:r>
            <w:r w:rsidRPr="00F34ECE">
              <w:rPr>
                <w:rFonts w:ascii="Times New Roman" w:eastAsia="Times New Roman" w:hAnsi="Times New Roman" w:cs="Times New Roman"/>
                <w:color w:val="000000"/>
                <w:kern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.</w:t>
            </w:r>
          </w:p>
        </w:tc>
      </w:tr>
    </w:tbl>
    <w:p w:rsidR="00102CB9" w:rsidRPr="00D54F36" w:rsidRDefault="00102CB9" w:rsidP="001A07FB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sectPr w:rsidR="00102CB9" w:rsidRPr="00D54F36" w:rsidSect="00731E6E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6D" w:rsidRDefault="00F0206D" w:rsidP="00996C23">
      <w:pPr>
        <w:spacing w:after="0" w:line="240" w:lineRule="auto"/>
      </w:pPr>
      <w:r>
        <w:separator/>
      </w:r>
    </w:p>
  </w:endnote>
  <w:endnote w:type="continuationSeparator" w:id="0">
    <w:p w:rsidR="00F0206D" w:rsidRDefault="00F0206D" w:rsidP="0099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192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892" w:rsidRDefault="00CA28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7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C23" w:rsidRDefault="00996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6D" w:rsidRDefault="00F0206D" w:rsidP="00996C23">
      <w:pPr>
        <w:spacing w:after="0" w:line="240" w:lineRule="auto"/>
      </w:pPr>
      <w:r>
        <w:separator/>
      </w:r>
    </w:p>
  </w:footnote>
  <w:footnote w:type="continuationSeparator" w:id="0">
    <w:p w:rsidR="00F0206D" w:rsidRDefault="00F0206D" w:rsidP="0099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44B16"/>
    <w:multiLevelType w:val="hybridMultilevel"/>
    <w:tmpl w:val="5DACE8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E51D7"/>
    <w:multiLevelType w:val="hybridMultilevel"/>
    <w:tmpl w:val="5DACE8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93E"/>
    <w:multiLevelType w:val="hybridMultilevel"/>
    <w:tmpl w:val="839C7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65490"/>
    <w:multiLevelType w:val="hybridMultilevel"/>
    <w:tmpl w:val="5DACE8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37304"/>
    <w:multiLevelType w:val="hybridMultilevel"/>
    <w:tmpl w:val="5DACE8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94CCE"/>
    <w:multiLevelType w:val="hybridMultilevel"/>
    <w:tmpl w:val="26EC8C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On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xssdxst2prspzexpsbpr5tv9epz9fdx2zz9&quot;&gt;2009 SPORE Refs FINAL Copy 2&lt;record-ids&gt;&lt;item&gt;4448&lt;/item&gt;&lt;/record-ids&gt;&lt;/item&gt;&lt;/Libraries&gt;"/>
  </w:docVars>
  <w:rsids>
    <w:rsidRoot w:val="007155F7"/>
    <w:rsid w:val="00003E87"/>
    <w:rsid w:val="00024AA4"/>
    <w:rsid w:val="0004092D"/>
    <w:rsid w:val="00046B5C"/>
    <w:rsid w:val="00067A5D"/>
    <w:rsid w:val="00073A6E"/>
    <w:rsid w:val="00083B91"/>
    <w:rsid w:val="000B00E0"/>
    <w:rsid w:val="000B72AC"/>
    <w:rsid w:val="000D0357"/>
    <w:rsid w:val="000D6334"/>
    <w:rsid w:val="00102CB9"/>
    <w:rsid w:val="00115A61"/>
    <w:rsid w:val="0012146B"/>
    <w:rsid w:val="001423B9"/>
    <w:rsid w:val="001732E5"/>
    <w:rsid w:val="001904CD"/>
    <w:rsid w:val="001A07FB"/>
    <w:rsid w:val="001F32F4"/>
    <w:rsid w:val="00244912"/>
    <w:rsid w:val="00283B9D"/>
    <w:rsid w:val="00292C79"/>
    <w:rsid w:val="002B07C2"/>
    <w:rsid w:val="002B4B7D"/>
    <w:rsid w:val="002D3F9D"/>
    <w:rsid w:val="002F2618"/>
    <w:rsid w:val="00304AB8"/>
    <w:rsid w:val="00326D21"/>
    <w:rsid w:val="00385691"/>
    <w:rsid w:val="003B47FB"/>
    <w:rsid w:val="00401099"/>
    <w:rsid w:val="004C3702"/>
    <w:rsid w:val="004C7F37"/>
    <w:rsid w:val="005726BC"/>
    <w:rsid w:val="00580516"/>
    <w:rsid w:val="005A30FE"/>
    <w:rsid w:val="005D765A"/>
    <w:rsid w:val="005E7C98"/>
    <w:rsid w:val="005F6EBC"/>
    <w:rsid w:val="005F7ECD"/>
    <w:rsid w:val="006111E8"/>
    <w:rsid w:val="00627D96"/>
    <w:rsid w:val="0067428B"/>
    <w:rsid w:val="006755E9"/>
    <w:rsid w:val="00682B56"/>
    <w:rsid w:val="006A7EDB"/>
    <w:rsid w:val="006C280A"/>
    <w:rsid w:val="006E243B"/>
    <w:rsid w:val="006F5E14"/>
    <w:rsid w:val="0070402B"/>
    <w:rsid w:val="007155F7"/>
    <w:rsid w:val="00731E6E"/>
    <w:rsid w:val="0074413B"/>
    <w:rsid w:val="007815CE"/>
    <w:rsid w:val="00784ECF"/>
    <w:rsid w:val="007911B3"/>
    <w:rsid w:val="00793B20"/>
    <w:rsid w:val="007A5DDC"/>
    <w:rsid w:val="007F0448"/>
    <w:rsid w:val="007F49AA"/>
    <w:rsid w:val="007F6B9A"/>
    <w:rsid w:val="00806748"/>
    <w:rsid w:val="00816D4E"/>
    <w:rsid w:val="008855FF"/>
    <w:rsid w:val="008B6D1B"/>
    <w:rsid w:val="008D17AE"/>
    <w:rsid w:val="008F68B1"/>
    <w:rsid w:val="0090468E"/>
    <w:rsid w:val="009222C0"/>
    <w:rsid w:val="00996C23"/>
    <w:rsid w:val="009971F9"/>
    <w:rsid w:val="009B3D03"/>
    <w:rsid w:val="009D1529"/>
    <w:rsid w:val="009F504F"/>
    <w:rsid w:val="009F6CA5"/>
    <w:rsid w:val="00A247B9"/>
    <w:rsid w:val="00AA42AF"/>
    <w:rsid w:val="00AB31A7"/>
    <w:rsid w:val="00B21742"/>
    <w:rsid w:val="00B34703"/>
    <w:rsid w:val="00B443FC"/>
    <w:rsid w:val="00B4667B"/>
    <w:rsid w:val="00B50B1A"/>
    <w:rsid w:val="00BE0425"/>
    <w:rsid w:val="00BE3726"/>
    <w:rsid w:val="00BF591F"/>
    <w:rsid w:val="00C316D6"/>
    <w:rsid w:val="00C503BC"/>
    <w:rsid w:val="00C64629"/>
    <w:rsid w:val="00CA174F"/>
    <w:rsid w:val="00CA2892"/>
    <w:rsid w:val="00CD4760"/>
    <w:rsid w:val="00CE116F"/>
    <w:rsid w:val="00CF227F"/>
    <w:rsid w:val="00D246D6"/>
    <w:rsid w:val="00D52108"/>
    <w:rsid w:val="00D54F36"/>
    <w:rsid w:val="00D67E20"/>
    <w:rsid w:val="00D8710F"/>
    <w:rsid w:val="00DA18DE"/>
    <w:rsid w:val="00DC1F2D"/>
    <w:rsid w:val="00DD1BBF"/>
    <w:rsid w:val="00DD55DE"/>
    <w:rsid w:val="00DF00C9"/>
    <w:rsid w:val="00DF7CA9"/>
    <w:rsid w:val="00E95714"/>
    <w:rsid w:val="00EE3035"/>
    <w:rsid w:val="00F0206D"/>
    <w:rsid w:val="00F07C73"/>
    <w:rsid w:val="00F27B77"/>
    <w:rsid w:val="00F34ECE"/>
    <w:rsid w:val="00F43BCD"/>
    <w:rsid w:val="00FA2CA9"/>
    <w:rsid w:val="00FB41C3"/>
    <w:rsid w:val="00FB5A92"/>
    <w:rsid w:val="00FC076F"/>
    <w:rsid w:val="00FD20F4"/>
    <w:rsid w:val="00FD371C"/>
    <w:rsid w:val="00FD4C79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D910E0F-9C24-4FF1-BDDF-60D20B77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5F7"/>
    <w:pPr>
      <w:ind w:left="720"/>
      <w:contextualSpacing/>
    </w:pPr>
  </w:style>
  <w:style w:type="paragraph" w:customStyle="1" w:styleId="Default">
    <w:name w:val="Default"/>
    <w:link w:val="DefaultChar"/>
    <w:rsid w:val="00024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024AA4"/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6D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D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C2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C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C280A"/>
    <w:pPr>
      <w:framePr w:hSpace="180" w:wrap="around" w:vAnchor="text" w:hAnchor="page" w:x="2520" w:y="408"/>
      <w:spacing w:after="0"/>
      <w:suppressOverlap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C280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C280A"/>
    <w:pPr>
      <w:framePr w:hSpace="180" w:wrap="around" w:vAnchor="text" w:hAnchor="page" w:x="2520" w:y="408"/>
      <w:spacing w:line="240" w:lineRule="auto"/>
      <w:suppressOverlap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C280A"/>
    <w:rPr>
      <w:rFonts w:ascii="Calibri" w:hAnsi="Calibri"/>
      <w:noProof/>
    </w:rPr>
  </w:style>
  <w:style w:type="paragraph" w:styleId="NormalWeb">
    <w:name w:val="Normal (Web)"/>
    <w:basedOn w:val="Normal"/>
    <w:uiPriority w:val="99"/>
    <w:unhideWhenUsed/>
    <w:rsid w:val="00CA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23"/>
  </w:style>
  <w:style w:type="paragraph" w:styleId="Footer">
    <w:name w:val="footer"/>
    <w:basedOn w:val="Normal"/>
    <w:link w:val="FooterChar"/>
    <w:uiPriority w:val="99"/>
    <w:unhideWhenUsed/>
    <w:rsid w:val="0099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Ma, Cynthia</cp:lastModifiedBy>
  <cp:revision>9</cp:revision>
  <cp:lastPrinted>2017-02-14T18:43:00Z</cp:lastPrinted>
  <dcterms:created xsi:type="dcterms:W3CDTF">2017-03-22T20:40:00Z</dcterms:created>
  <dcterms:modified xsi:type="dcterms:W3CDTF">2017-05-23T23:31:00Z</dcterms:modified>
</cp:coreProperties>
</file>