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91B40" w14:textId="0F173980" w:rsidR="00D54DCB" w:rsidRPr="006B0014" w:rsidRDefault="00D54DCB" w:rsidP="00D54DCB">
      <w:pPr>
        <w:pStyle w:val="Heading1"/>
      </w:pPr>
      <w:r w:rsidRPr="006B0014">
        <w:t>Supplementary materials</w:t>
      </w:r>
    </w:p>
    <w:p w14:paraId="15AB9A69" w14:textId="1102CF0B" w:rsidR="00416C77" w:rsidRPr="006B0014" w:rsidRDefault="00416C77" w:rsidP="0092273E">
      <w:pPr>
        <w:pStyle w:val="Heading2"/>
      </w:pPr>
      <w:r w:rsidRPr="006B0014">
        <w:t>M</w:t>
      </w:r>
      <w:r w:rsidR="0005012E" w:rsidRPr="006B0014">
        <w:t>ethods</w:t>
      </w:r>
    </w:p>
    <w:p w14:paraId="1BC02564" w14:textId="2B3D61AF" w:rsidR="00416C77" w:rsidRPr="006B0014" w:rsidRDefault="00416C77" w:rsidP="0092273E">
      <w:pPr>
        <w:pStyle w:val="Heading3"/>
      </w:pPr>
      <w:r w:rsidRPr="006B0014">
        <w:t xml:space="preserve">Inclusion </w:t>
      </w:r>
      <w:r w:rsidR="0051054D" w:rsidRPr="006B0014">
        <w:t>criteria</w:t>
      </w:r>
    </w:p>
    <w:p w14:paraId="360DE1D9" w14:textId="375B2657" w:rsidR="00416C77" w:rsidRPr="006B0014" w:rsidRDefault="008133A3" w:rsidP="0092273E">
      <w:r w:rsidRPr="006B0014">
        <w:t>In addition to those listed in the main manuscript, i</w:t>
      </w:r>
      <w:r w:rsidR="00416C77" w:rsidRPr="006B0014">
        <w:t>n</w:t>
      </w:r>
      <w:r w:rsidRPr="006B0014">
        <w:t>clusion cr</w:t>
      </w:r>
      <w:r w:rsidR="00416C77" w:rsidRPr="006B0014">
        <w:t>i</w:t>
      </w:r>
      <w:r w:rsidRPr="006B0014">
        <w:t>t</w:t>
      </w:r>
      <w:r w:rsidR="00416C77" w:rsidRPr="006B0014">
        <w:t>eria for Part 1 and 2 were:</w:t>
      </w:r>
    </w:p>
    <w:p w14:paraId="309810D9" w14:textId="77777777" w:rsidR="00504E6C" w:rsidRPr="006B0014" w:rsidRDefault="00504E6C" w:rsidP="0092273E">
      <w:pPr>
        <w:pStyle w:val="ListParagraph"/>
        <w:numPr>
          <w:ilvl w:val="0"/>
          <w:numId w:val="4"/>
        </w:numPr>
      </w:pPr>
      <w:r w:rsidRPr="006B0014">
        <w:rPr>
          <w:rFonts w:cs="Arial"/>
          <w:bdr w:val="none" w:sz="0" w:space="0" w:color="auto" w:frame="1"/>
        </w:rPr>
        <w:t xml:space="preserve">Age ≥18 years </w:t>
      </w:r>
    </w:p>
    <w:p w14:paraId="4E37B0D1" w14:textId="77777777" w:rsidR="00504E6C" w:rsidRPr="006B0014" w:rsidRDefault="00504E6C" w:rsidP="0092273E">
      <w:pPr>
        <w:pStyle w:val="ListParagraph"/>
        <w:numPr>
          <w:ilvl w:val="0"/>
          <w:numId w:val="4"/>
        </w:numPr>
      </w:pPr>
      <w:r w:rsidRPr="006B0014">
        <w:rPr>
          <w:rFonts w:cs="Arial"/>
          <w:bdr w:val="none" w:sz="0" w:space="0" w:color="auto" w:frame="1"/>
        </w:rPr>
        <w:t>Adequate organ function including renal function (based on blood creatinine and urine protein/creatinine ratio); and normal left-ventricular ejection fraction</w:t>
      </w:r>
    </w:p>
    <w:p w14:paraId="0DB49080" w14:textId="527917D0" w:rsidR="008133A3" w:rsidRPr="006B0014" w:rsidRDefault="00416C77" w:rsidP="0092273E">
      <w:pPr>
        <w:pStyle w:val="ListParagraph"/>
        <w:numPr>
          <w:ilvl w:val="0"/>
          <w:numId w:val="4"/>
        </w:numPr>
      </w:pPr>
      <w:r w:rsidRPr="006B0014">
        <w:t>Histologically</w:t>
      </w:r>
      <w:r w:rsidR="00B72621">
        <w:t>-</w:t>
      </w:r>
      <w:r w:rsidRPr="006B0014">
        <w:t xml:space="preserve"> or </w:t>
      </w:r>
      <w:proofErr w:type="spellStart"/>
      <w:r w:rsidRPr="006B0014">
        <w:t>cytolo</w:t>
      </w:r>
      <w:r w:rsidR="008133A3" w:rsidRPr="006B0014">
        <w:t>gically</w:t>
      </w:r>
      <w:proofErr w:type="spellEnd"/>
      <w:r w:rsidR="00B72621">
        <w:t>-</w:t>
      </w:r>
      <w:r w:rsidR="008133A3" w:rsidRPr="006B0014">
        <w:t>confirmed diagnosis of one</w:t>
      </w:r>
      <w:r w:rsidRPr="006B0014">
        <w:t xml:space="preserve"> of the following solid tumor malignancies that was not responsive to standard therapy, or for which there was no approved or curative therapy, or for subjects that refused standard therapy:</w:t>
      </w:r>
    </w:p>
    <w:p w14:paraId="6E96CF9B" w14:textId="77777777" w:rsidR="008133A3" w:rsidRPr="006B0014" w:rsidRDefault="00416C77" w:rsidP="0092273E">
      <w:pPr>
        <w:pStyle w:val="ListParagraph"/>
        <w:numPr>
          <w:ilvl w:val="0"/>
          <w:numId w:val="4"/>
        </w:numPr>
      </w:pPr>
      <w:r w:rsidRPr="006B0014">
        <w:t>Endometrioid cancer</w:t>
      </w:r>
    </w:p>
    <w:p w14:paraId="67C1734B" w14:textId="77777777" w:rsidR="008133A3" w:rsidRPr="006B0014" w:rsidRDefault="00416C77" w:rsidP="0092273E">
      <w:pPr>
        <w:pStyle w:val="ListParagraph"/>
        <w:numPr>
          <w:ilvl w:val="0"/>
          <w:numId w:val="4"/>
        </w:numPr>
      </w:pPr>
      <w:r w:rsidRPr="006B0014">
        <w:t>Prostate cancer</w:t>
      </w:r>
    </w:p>
    <w:p w14:paraId="5E662BF5" w14:textId="77777777" w:rsidR="008133A3" w:rsidRPr="006B0014" w:rsidRDefault="00416C77" w:rsidP="0092273E">
      <w:pPr>
        <w:pStyle w:val="ListParagraph"/>
        <w:numPr>
          <w:ilvl w:val="0"/>
          <w:numId w:val="4"/>
        </w:numPr>
      </w:pPr>
      <w:r w:rsidRPr="006B0014">
        <w:t>Ovarian cance</w:t>
      </w:r>
      <w:r w:rsidR="008133A3" w:rsidRPr="006B0014">
        <w:t>r</w:t>
      </w:r>
    </w:p>
    <w:p w14:paraId="67140AA8" w14:textId="10D633C6" w:rsidR="008133A3" w:rsidRPr="006B0014" w:rsidRDefault="00416C77" w:rsidP="0092273E">
      <w:pPr>
        <w:pStyle w:val="ListParagraph"/>
        <w:numPr>
          <w:ilvl w:val="0"/>
          <w:numId w:val="4"/>
        </w:numPr>
      </w:pPr>
      <w:r w:rsidRPr="006B0014">
        <w:t>Non-small cell lung cancer</w:t>
      </w:r>
    </w:p>
    <w:p w14:paraId="1620BA71" w14:textId="77777777" w:rsidR="008133A3" w:rsidRPr="006B0014" w:rsidRDefault="008133A3" w:rsidP="0092273E">
      <w:pPr>
        <w:pStyle w:val="ListParagraph"/>
        <w:numPr>
          <w:ilvl w:val="0"/>
          <w:numId w:val="4"/>
        </w:numPr>
      </w:pPr>
      <w:r w:rsidRPr="006B0014">
        <w:t>Glioblastoma</w:t>
      </w:r>
    </w:p>
    <w:p w14:paraId="41532DA9" w14:textId="77777777" w:rsidR="008133A3" w:rsidRPr="006B0014" w:rsidRDefault="00416C77" w:rsidP="0092273E">
      <w:pPr>
        <w:pStyle w:val="ListParagraph"/>
        <w:numPr>
          <w:ilvl w:val="0"/>
          <w:numId w:val="4"/>
        </w:numPr>
      </w:pPr>
      <w:r w:rsidRPr="006B0014">
        <w:t xml:space="preserve">Breast cancer (triple </w:t>
      </w:r>
      <w:r w:rsidR="008133A3" w:rsidRPr="006B0014">
        <w:t>negative: estrogen receptor</w:t>
      </w:r>
      <w:r w:rsidRPr="006B0014">
        <w:t>, progesterone</w:t>
      </w:r>
      <w:r w:rsidR="008133A3" w:rsidRPr="006B0014">
        <w:t xml:space="preserve"> </w:t>
      </w:r>
      <w:r w:rsidRPr="006B0014">
        <w:t xml:space="preserve">receptor, and human epidermal </w:t>
      </w:r>
      <w:r w:rsidR="008133A3" w:rsidRPr="006B0014">
        <w:t>growth factor receptor 2-</w:t>
      </w:r>
      <w:r w:rsidRPr="006B0014">
        <w:t>negative)</w:t>
      </w:r>
    </w:p>
    <w:p w14:paraId="33769B9F" w14:textId="77777777" w:rsidR="008133A3" w:rsidRPr="006B0014" w:rsidRDefault="00416C77" w:rsidP="0092273E">
      <w:pPr>
        <w:pStyle w:val="ListParagraph"/>
        <w:numPr>
          <w:ilvl w:val="0"/>
          <w:numId w:val="4"/>
        </w:numPr>
      </w:pPr>
      <w:r w:rsidRPr="006B0014">
        <w:t>Gastric adenocarcinoma</w:t>
      </w:r>
    </w:p>
    <w:p w14:paraId="5F8F6B5F" w14:textId="77777777" w:rsidR="008133A3" w:rsidRPr="006B0014" w:rsidRDefault="008133A3" w:rsidP="0092273E">
      <w:pPr>
        <w:pStyle w:val="ListParagraph"/>
        <w:numPr>
          <w:ilvl w:val="0"/>
          <w:numId w:val="4"/>
        </w:numPr>
      </w:pPr>
      <w:r w:rsidRPr="006B0014">
        <w:t>Colorectal cancer</w:t>
      </w:r>
    </w:p>
    <w:p w14:paraId="4392C824" w14:textId="77777777" w:rsidR="008133A3" w:rsidRPr="006B0014" w:rsidRDefault="00416C77" w:rsidP="0092273E">
      <w:pPr>
        <w:pStyle w:val="ListParagraph"/>
        <w:numPr>
          <w:ilvl w:val="0"/>
          <w:numId w:val="4"/>
        </w:numPr>
      </w:pPr>
      <w:r w:rsidRPr="006B0014">
        <w:t>Head/ne</w:t>
      </w:r>
      <w:r w:rsidR="008133A3" w:rsidRPr="006B0014">
        <w:t>ck squamous cell carcinoma</w:t>
      </w:r>
    </w:p>
    <w:p w14:paraId="0C375A85" w14:textId="77777777" w:rsidR="008133A3" w:rsidRPr="006B0014" w:rsidRDefault="00416C77" w:rsidP="0092273E">
      <w:pPr>
        <w:pStyle w:val="ListParagraph"/>
        <w:numPr>
          <w:ilvl w:val="0"/>
          <w:numId w:val="4"/>
        </w:numPr>
      </w:pPr>
      <w:r w:rsidRPr="006B0014">
        <w:t>Melanoma</w:t>
      </w:r>
    </w:p>
    <w:p w14:paraId="515A10D2" w14:textId="6500B98D" w:rsidR="00424834" w:rsidRPr="006B0014" w:rsidRDefault="00504E6C" w:rsidP="0092273E">
      <w:pPr>
        <w:pStyle w:val="ListParagraph"/>
        <w:numPr>
          <w:ilvl w:val="0"/>
          <w:numId w:val="4"/>
        </w:numPr>
      </w:pPr>
      <w:r w:rsidRPr="006B0014">
        <w:t>Presence of a</w:t>
      </w:r>
      <w:r w:rsidR="00416C77" w:rsidRPr="006B0014">
        <w:t xml:space="preserve"> tumor with a documented </w:t>
      </w:r>
      <w:r w:rsidR="004C5285">
        <w:t>p</w:t>
      </w:r>
      <w:r w:rsidR="004C5285">
        <w:rPr>
          <w:color w:val="000000"/>
          <w:shd w:val="clear" w:color="auto" w:fill="FFFFFF"/>
        </w:rPr>
        <w:t>hosphatase and tensin homolog</w:t>
      </w:r>
      <w:r w:rsidR="004C5285" w:rsidRPr="006B0014">
        <w:t xml:space="preserve"> </w:t>
      </w:r>
      <w:r w:rsidR="004C5285">
        <w:t>(</w:t>
      </w:r>
      <w:r w:rsidR="00416C77" w:rsidRPr="006B0014">
        <w:t>PTEN</w:t>
      </w:r>
      <w:r w:rsidR="004C5285">
        <w:t>)</w:t>
      </w:r>
      <w:r w:rsidR="00416C77" w:rsidRPr="006B0014">
        <w:t xml:space="preserve"> deficiency using an analytically</w:t>
      </w:r>
      <w:r w:rsidR="00B72621">
        <w:t>-</w:t>
      </w:r>
      <w:r w:rsidR="00424834" w:rsidRPr="006B0014">
        <w:t>validated immunohistochemistry</w:t>
      </w:r>
      <w:r w:rsidR="00416C77" w:rsidRPr="006B0014">
        <w:t xml:space="preserve"> assay or other correlative assay (</w:t>
      </w:r>
      <w:proofErr w:type="spellStart"/>
      <w:r w:rsidR="00416C77" w:rsidRPr="006B0014">
        <w:t>eg</w:t>
      </w:r>
      <w:proofErr w:type="spellEnd"/>
      <w:r w:rsidR="00416C77" w:rsidRPr="006B0014">
        <w:t>, fluorescent in situ</w:t>
      </w:r>
      <w:r w:rsidR="00424834" w:rsidRPr="006B0014">
        <w:t xml:space="preserve"> hybridization). </w:t>
      </w:r>
      <w:r w:rsidR="00416C77" w:rsidRPr="006B0014">
        <w:t xml:space="preserve">Determination of PTEN </w:t>
      </w:r>
      <w:r w:rsidR="00416C77" w:rsidRPr="006B0014">
        <w:lastRenderedPageBreak/>
        <w:t>deficiency using archival tumor</w:t>
      </w:r>
      <w:r w:rsidR="00424834" w:rsidRPr="006B0014">
        <w:t xml:space="preserve"> </w:t>
      </w:r>
      <w:r w:rsidR="00416C77" w:rsidRPr="006B0014">
        <w:t>was acceptable. Where archival tissue was not available or did not confirm</w:t>
      </w:r>
      <w:r w:rsidR="00424834" w:rsidRPr="006B0014">
        <w:t xml:space="preserve"> </w:t>
      </w:r>
      <w:r w:rsidR="00416C77" w:rsidRPr="006B0014">
        <w:t>PTEN deficiency, a fresh tumor sample was acceptable for screening, and those</w:t>
      </w:r>
      <w:r w:rsidR="00424834" w:rsidRPr="006B0014">
        <w:t xml:space="preserve"> </w:t>
      </w:r>
      <w:r w:rsidR="00416C77" w:rsidRPr="006B0014">
        <w:t>with PTEN deficiency were eligible.</w:t>
      </w:r>
    </w:p>
    <w:p w14:paraId="6926DACA" w14:textId="77777777" w:rsidR="00424834" w:rsidRPr="006B0014" w:rsidRDefault="00424834" w:rsidP="0092273E">
      <w:pPr>
        <w:pStyle w:val="ListParagraph"/>
        <w:numPr>
          <w:ilvl w:val="0"/>
          <w:numId w:val="4"/>
        </w:numPr>
      </w:pPr>
      <w:r w:rsidRPr="006B0014">
        <w:t>Progression</w:t>
      </w:r>
      <w:r w:rsidR="00416C77" w:rsidRPr="006B0014">
        <w:t xml:space="preserve"> on standard therapy</w:t>
      </w:r>
    </w:p>
    <w:p w14:paraId="1B9D864D" w14:textId="77777777" w:rsidR="0051054D" w:rsidRPr="006B0014" w:rsidRDefault="0051054D" w:rsidP="0092273E">
      <w:pPr>
        <w:pStyle w:val="ListParagraph"/>
        <w:numPr>
          <w:ilvl w:val="0"/>
          <w:numId w:val="4"/>
        </w:numPr>
      </w:pPr>
      <w:r w:rsidRPr="006B0014">
        <w:rPr>
          <w:rFonts w:cs="Arial"/>
          <w:bdr w:val="none" w:sz="0" w:space="0" w:color="auto" w:frame="1"/>
        </w:rPr>
        <w:t>Eastern Cooperative Oncology Group</w:t>
      </w:r>
      <w:r w:rsidR="00424834" w:rsidRPr="006B0014">
        <w:t xml:space="preserve"> performance s</w:t>
      </w:r>
      <w:r w:rsidR="00416C77" w:rsidRPr="006B0014">
        <w:t>tatus: 0 or 1</w:t>
      </w:r>
    </w:p>
    <w:p w14:paraId="04B4493E" w14:textId="77777777" w:rsidR="0051054D" w:rsidRPr="006B0014" w:rsidRDefault="0051054D" w:rsidP="0092273E">
      <w:pPr>
        <w:rPr>
          <w:i/>
        </w:rPr>
      </w:pPr>
    </w:p>
    <w:p w14:paraId="73DE93FD" w14:textId="49163197" w:rsidR="0051054D" w:rsidRPr="006B0014" w:rsidRDefault="0051054D" w:rsidP="0092273E">
      <w:pPr>
        <w:pStyle w:val="Heading3"/>
      </w:pPr>
      <w:r w:rsidRPr="006B0014">
        <w:t>Exclusion criteria</w:t>
      </w:r>
    </w:p>
    <w:p w14:paraId="71834D55" w14:textId="6AD7A4FC" w:rsidR="00DC0F7D" w:rsidRPr="006B0014" w:rsidRDefault="005632CC" w:rsidP="0092273E">
      <w:pPr>
        <w:pStyle w:val="ListParagraph"/>
        <w:numPr>
          <w:ilvl w:val="0"/>
          <w:numId w:val="5"/>
        </w:numPr>
      </w:pPr>
      <w:r w:rsidRPr="006B0014">
        <w:t>Patient has undergone</w:t>
      </w:r>
      <w:r w:rsidR="00DC0F7D" w:rsidRPr="006B0014">
        <w:t xml:space="preserve"> chemotherapy, radiotherapy, immunotherapy, or other anti-cancer therapy including investigational drug(s) within 14 days prior to the first dose of GSK2636771</w:t>
      </w:r>
    </w:p>
    <w:p w14:paraId="46BBC8B8" w14:textId="53C3F94C" w:rsidR="00DC0F7D" w:rsidRPr="006B0014" w:rsidRDefault="00DC0F7D" w:rsidP="0092273E">
      <w:pPr>
        <w:pStyle w:val="ListParagraph"/>
        <w:numPr>
          <w:ilvl w:val="0"/>
          <w:numId w:val="5"/>
        </w:numPr>
      </w:pPr>
      <w:r w:rsidRPr="006B0014">
        <w:t>History of congenital platelet function defect (</w:t>
      </w:r>
      <w:proofErr w:type="spellStart"/>
      <w:r w:rsidRPr="006B0014">
        <w:t>eg</w:t>
      </w:r>
      <w:proofErr w:type="spellEnd"/>
      <w:r w:rsidRPr="006B0014">
        <w:t>, Bernard</w:t>
      </w:r>
      <w:r w:rsidR="00B165CA">
        <w:t>–</w:t>
      </w:r>
      <w:proofErr w:type="spellStart"/>
      <w:r w:rsidRPr="006B0014">
        <w:t>Soulier</w:t>
      </w:r>
      <w:proofErr w:type="spellEnd"/>
      <w:r w:rsidRPr="006B0014">
        <w:t xml:space="preserve"> syndrome, </w:t>
      </w:r>
      <w:proofErr w:type="spellStart"/>
      <w:r w:rsidRPr="006B0014">
        <w:t>Chediak</w:t>
      </w:r>
      <w:proofErr w:type="spellEnd"/>
      <w:r w:rsidR="00B165CA">
        <w:t>–</w:t>
      </w:r>
      <w:r w:rsidRPr="006B0014">
        <w:t xml:space="preserve">Higashi syndrome, Glanzmann </w:t>
      </w:r>
      <w:proofErr w:type="spellStart"/>
      <w:r w:rsidRPr="006B0014">
        <w:t>thrombasthenia</w:t>
      </w:r>
      <w:proofErr w:type="spellEnd"/>
      <w:r w:rsidRPr="006B0014">
        <w:t>, storage pool defect)</w:t>
      </w:r>
    </w:p>
    <w:p w14:paraId="5F045794" w14:textId="10F9B0D6" w:rsidR="00DC0F7D" w:rsidRPr="006B0014" w:rsidRDefault="005632CC" w:rsidP="0092273E">
      <w:pPr>
        <w:pStyle w:val="ListParagraph"/>
        <w:numPr>
          <w:ilvl w:val="0"/>
          <w:numId w:val="5"/>
        </w:numPr>
      </w:pPr>
      <w:r w:rsidRPr="006B0014">
        <w:t xml:space="preserve">Patients </w:t>
      </w:r>
      <w:r w:rsidR="00DC0F7D" w:rsidRPr="006B0014">
        <w:t>with brain metastases of non-central nervous system (CNS) primary tumors are excluded if their brain metastases are:</w:t>
      </w:r>
    </w:p>
    <w:p w14:paraId="44A0AF44" w14:textId="6AFD3C1C" w:rsidR="00DC0F7D" w:rsidRPr="006B0014" w:rsidRDefault="00DC0F7D" w:rsidP="0092273E">
      <w:pPr>
        <w:pStyle w:val="ListParagraph"/>
        <w:numPr>
          <w:ilvl w:val="1"/>
          <w:numId w:val="5"/>
        </w:numPr>
      </w:pPr>
      <w:r w:rsidRPr="006B0014">
        <w:t>Symptomatic</w:t>
      </w:r>
    </w:p>
    <w:p w14:paraId="2C748DF8" w14:textId="203FB1C7" w:rsidR="003C2E80" w:rsidRPr="006B0014" w:rsidRDefault="00DC0F7D" w:rsidP="0092273E">
      <w:pPr>
        <w:pStyle w:val="ListParagraph"/>
        <w:numPr>
          <w:ilvl w:val="1"/>
          <w:numId w:val="5"/>
        </w:numPr>
      </w:pPr>
      <w:r w:rsidRPr="006B0014">
        <w:t xml:space="preserve">Treated (surgery, radiation therapy) but not clinically and radiographically stable </w:t>
      </w:r>
      <w:r w:rsidR="00840B9D">
        <w:t>1</w:t>
      </w:r>
      <w:r w:rsidRPr="006B0014">
        <w:t xml:space="preserve"> month after local therapy (as assessed by contrast enhanced magnetic resonance imaging or computed tomography) </w:t>
      </w:r>
    </w:p>
    <w:p w14:paraId="51F399AD" w14:textId="3F7B44B9" w:rsidR="00DC0F7D" w:rsidRPr="006B0014" w:rsidRDefault="00DC0F7D" w:rsidP="0092273E">
      <w:pPr>
        <w:pStyle w:val="ListParagraph"/>
        <w:numPr>
          <w:ilvl w:val="1"/>
          <w:numId w:val="5"/>
        </w:numPr>
      </w:pPr>
      <w:r w:rsidRPr="006B0014">
        <w:t>Asymptomatic and untreated but &gt;1 cm in the longest dimension</w:t>
      </w:r>
      <w:r w:rsidR="004336C1">
        <w:t>.</w:t>
      </w:r>
    </w:p>
    <w:p w14:paraId="095B5D90" w14:textId="64BFC045" w:rsidR="00DC0F7D" w:rsidRPr="006B0014" w:rsidRDefault="00DC0F7D" w:rsidP="0092273E">
      <w:pPr>
        <w:pStyle w:val="ListParagraph"/>
        <w:numPr>
          <w:ilvl w:val="0"/>
          <w:numId w:val="5"/>
        </w:numPr>
      </w:pPr>
      <w:r w:rsidRPr="006B0014">
        <w:t>Cardiovascular risk:</w:t>
      </w:r>
    </w:p>
    <w:p w14:paraId="11211D61" w14:textId="1DB981ED" w:rsidR="00DC0F7D" w:rsidRPr="006B0014" w:rsidRDefault="00DC0F7D" w:rsidP="0092273E">
      <w:pPr>
        <w:pStyle w:val="ListParagraph"/>
        <w:numPr>
          <w:ilvl w:val="1"/>
          <w:numId w:val="5"/>
        </w:numPr>
      </w:pPr>
      <w:r w:rsidRPr="006B0014">
        <w:t>QT interval corrected by Fridericia’s formula ≥470 msec</w:t>
      </w:r>
    </w:p>
    <w:p w14:paraId="7983019B" w14:textId="4EE898EF" w:rsidR="00DC0F7D" w:rsidRPr="006B0014" w:rsidRDefault="00DC0F7D" w:rsidP="0092273E">
      <w:pPr>
        <w:pStyle w:val="ListParagraph"/>
        <w:numPr>
          <w:ilvl w:val="1"/>
          <w:numId w:val="5"/>
        </w:numPr>
      </w:pPr>
      <w:r w:rsidRPr="006B0014">
        <w:t>Other clinically significant electrocardiogram</w:t>
      </w:r>
      <w:r w:rsidR="003C2E80" w:rsidRPr="006B0014">
        <w:t>,</w:t>
      </w:r>
      <w:r w:rsidRPr="006B0014">
        <w:t xml:space="preserve"> abnormalities</w:t>
      </w:r>
      <w:r w:rsidR="003C2E80" w:rsidRPr="006B0014">
        <w:t xml:space="preserve"> </w:t>
      </w:r>
      <w:r w:rsidRPr="006B0014">
        <w:t>including second degree (Type II) or third degree atrioventricular</w:t>
      </w:r>
      <w:r w:rsidR="003C2E80" w:rsidRPr="006B0014">
        <w:t xml:space="preserve"> </w:t>
      </w:r>
      <w:r w:rsidRPr="006B0014">
        <w:t>block</w:t>
      </w:r>
    </w:p>
    <w:p w14:paraId="2C44C5CB" w14:textId="5402B1D1" w:rsidR="00DC0F7D" w:rsidRPr="006B0014" w:rsidRDefault="00DC0F7D" w:rsidP="0092273E">
      <w:pPr>
        <w:pStyle w:val="ListParagraph"/>
        <w:numPr>
          <w:ilvl w:val="1"/>
          <w:numId w:val="5"/>
        </w:numPr>
      </w:pPr>
      <w:r w:rsidRPr="006B0014">
        <w:lastRenderedPageBreak/>
        <w:t>History of myocardial infarction, acute coronary syndromes (including</w:t>
      </w:r>
      <w:r w:rsidR="003C2E80" w:rsidRPr="006B0014">
        <w:t xml:space="preserve"> </w:t>
      </w:r>
      <w:r w:rsidRPr="006B0014">
        <w:t>unstable angina), coronary angioplasty, or stenting or bypass grafting</w:t>
      </w:r>
      <w:r w:rsidR="003C2E80" w:rsidRPr="006B0014">
        <w:t xml:space="preserve"> </w:t>
      </w:r>
      <w:r w:rsidRPr="006B0014">
        <w:t>within the past 6</w:t>
      </w:r>
      <w:r w:rsidR="004C5285">
        <w:t> </w:t>
      </w:r>
      <w:r w:rsidRPr="006B0014">
        <w:t>months</w:t>
      </w:r>
    </w:p>
    <w:p w14:paraId="667DE1B3" w14:textId="5CD76233" w:rsidR="00DC0F7D" w:rsidRPr="006B0014" w:rsidRDefault="00DC0F7D" w:rsidP="0092273E">
      <w:pPr>
        <w:pStyle w:val="ListParagraph"/>
        <w:numPr>
          <w:ilvl w:val="1"/>
          <w:numId w:val="5"/>
        </w:numPr>
      </w:pPr>
      <w:r w:rsidRPr="006B0014">
        <w:t>Class III or IV heart failure as defined by the New York Heart Association</w:t>
      </w:r>
      <w:r w:rsidR="003C2E80" w:rsidRPr="006B0014">
        <w:t xml:space="preserve"> </w:t>
      </w:r>
      <w:r w:rsidRPr="006B0014">
        <w:t xml:space="preserve">functional classification system </w:t>
      </w:r>
    </w:p>
    <w:p w14:paraId="06487E8D" w14:textId="1252B7C7" w:rsidR="00DC0F7D" w:rsidRPr="006B0014" w:rsidRDefault="00DC0F7D" w:rsidP="0092273E">
      <w:pPr>
        <w:pStyle w:val="ListParagraph"/>
        <w:numPr>
          <w:ilvl w:val="1"/>
          <w:numId w:val="5"/>
        </w:numPr>
      </w:pPr>
      <w:r w:rsidRPr="006B0014">
        <w:t xml:space="preserve">Baseline cardiac troponin I &gt;10% </w:t>
      </w:r>
      <w:r w:rsidR="007F0B14">
        <w:t>coefficient of variation (</w:t>
      </w:r>
      <w:r w:rsidRPr="006B0014">
        <w:t>CV</w:t>
      </w:r>
      <w:r w:rsidR="007F0B14">
        <w:t>)</w:t>
      </w:r>
      <w:r w:rsidR="004336C1">
        <w:t>.</w:t>
      </w:r>
    </w:p>
    <w:p w14:paraId="408D34E6" w14:textId="5AF1FB06" w:rsidR="00DC0F7D" w:rsidRPr="006B0014" w:rsidRDefault="00DC0F7D" w:rsidP="0092273E">
      <w:pPr>
        <w:pStyle w:val="ListParagraph"/>
        <w:numPr>
          <w:ilvl w:val="0"/>
          <w:numId w:val="5"/>
        </w:numPr>
      </w:pPr>
      <w:r w:rsidRPr="006B0014">
        <w:t>Pregnant or lactating female</w:t>
      </w:r>
    </w:p>
    <w:p w14:paraId="6F3E693D" w14:textId="188D2E8A" w:rsidR="00DC0F7D" w:rsidRPr="006B0014" w:rsidRDefault="00DC0F7D" w:rsidP="0092273E">
      <w:pPr>
        <w:pStyle w:val="ListParagraph"/>
        <w:numPr>
          <w:ilvl w:val="0"/>
          <w:numId w:val="5"/>
        </w:numPr>
      </w:pPr>
      <w:r w:rsidRPr="006B0014">
        <w:t>Any malignancy related to human immunodeficiency virus</w:t>
      </w:r>
      <w:r w:rsidR="00571A4B" w:rsidRPr="006B0014">
        <w:t xml:space="preserve"> (HIV)</w:t>
      </w:r>
      <w:r w:rsidRPr="006B0014">
        <w:t xml:space="preserve"> or solid organ</w:t>
      </w:r>
      <w:r w:rsidR="00571A4B" w:rsidRPr="006B0014">
        <w:t xml:space="preserve"> </w:t>
      </w:r>
      <w:r w:rsidRPr="006B0014">
        <w:t>transplant; history of known HIV, history of known Hepatitis B virus (HBV)</w:t>
      </w:r>
      <w:r w:rsidR="00571A4B" w:rsidRPr="006B0014">
        <w:t xml:space="preserve"> </w:t>
      </w:r>
      <w:r w:rsidRPr="006B0014">
        <w:t>positive surface antigen (</w:t>
      </w:r>
      <w:r w:rsidR="00571A4B" w:rsidRPr="006B0014">
        <w:t>patient</w:t>
      </w:r>
      <w:r w:rsidRPr="006B0014">
        <w:t>s with documented laboratory evidence of HBV</w:t>
      </w:r>
      <w:r w:rsidR="00571A4B" w:rsidRPr="006B0014">
        <w:t xml:space="preserve"> </w:t>
      </w:r>
      <w:r w:rsidRPr="006B0014">
        <w:t>clearance may be enrolled) or positive Hepatitis C virus antibody</w:t>
      </w:r>
      <w:r w:rsidR="00571A4B" w:rsidRPr="006B0014">
        <w:t xml:space="preserve"> </w:t>
      </w:r>
      <w:r w:rsidRPr="006B0014">
        <w:t>confirmed by recombinant immunoblot assay</w:t>
      </w:r>
    </w:p>
    <w:p w14:paraId="707225BE" w14:textId="5F03939C" w:rsidR="00DC0F7D" w:rsidRPr="006B0014" w:rsidRDefault="00DC0F7D" w:rsidP="0092273E">
      <w:pPr>
        <w:pStyle w:val="ListParagraph"/>
        <w:numPr>
          <w:ilvl w:val="0"/>
          <w:numId w:val="5"/>
        </w:numPr>
      </w:pPr>
      <w:r w:rsidRPr="006B0014">
        <w:t>Any serious or unstable pre-existing medical, psychiatric, or other condition</w:t>
      </w:r>
      <w:r w:rsidR="00571A4B" w:rsidRPr="006B0014">
        <w:t xml:space="preserve"> </w:t>
      </w:r>
      <w:r w:rsidRPr="006B0014">
        <w:t xml:space="preserve">(including laboratory abnormalities) that could have interfered with </w:t>
      </w:r>
      <w:r w:rsidR="00571A4B" w:rsidRPr="006B0014">
        <w:t>patien</w:t>
      </w:r>
      <w:r w:rsidRPr="006B0014">
        <w:t>t’s</w:t>
      </w:r>
      <w:r w:rsidR="00571A4B" w:rsidRPr="006B0014">
        <w:t xml:space="preserve"> </w:t>
      </w:r>
      <w:r w:rsidRPr="006B0014">
        <w:t>safety or providing informed consent</w:t>
      </w:r>
    </w:p>
    <w:p w14:paraId="48994B96" w14:textId="334C374F" w:rsidR="00DC0F7D" w:rsidRPr="006B0014" w:rsidRDefault="00DC0F7D" w:rsidP="0092273E">
      <w:pPr>
        <w:pStyle w:val="ListParagraph"/>
        <w:numPr>
          <w:ilvl w:val="0"/>
          <w:numId w:val="5"/>
        </w:numPr>
      </w:pPr>
      <w:r w:rsidRPr="006B0014">
        <w:t xml:space="preserve">Presence of any clinically significant gastrointestinal </w:t>
      </w:r>
      <w:r w:rsidR="00DD0C8D">
        <w:t xml:space="preserve">(GI) </w:t>
      </w:r>
      <w:r w:rsidRPr="006B0014">
        <w:t>abnormalities or other</w:t>
      </w:r>
      <w:r w:rsidR="00571A4B" w:rsidRPr="006B0014">
        <w:t xml:space="preserve"> </w:t>
      </w:r>
      <w:r w:rsidRPr="006B0014">
        <w:t>condition that may alter absorption such as malabsorption syndrome or major</w:t>
      </w:r>
      <w:r w:rsidR="00571A4B" w:rsidRPr="006B0014">
        <w:t xml:space="preserve"> </w:t>
      </w:r>
      <w:r w:rsidRPr="006B0014">
        <w:t>resection of the stomach or bowels</w:t>
      </w:r>
    </w:p>
    <w:p w14:paraId="075D0506" w14:textId="77777777" w:rsidR="00B76291" w:rsidRPr="006B0014" w:rsidRDefault="00DC0F7D" w:rsidP="0092273E">
      <w:pPr>
        <w:pStyle w:val="ListParagraph"/>
        <w:numPr>
          <w:ilvl w:val="0"/>
          <w:numId w:val="5"/>
        </w:numPr>
      </w:pPr>
      <w:r w:rsidRPr="006B0014">
        <w:t>Known active infection requiring parenteral or oral anti-infective treatment</w:t>
      </w:r>
    </w:p>
    <w:p w14:paraId="1F0ADE1D" w14:textId="02A9BD6F" w:rsidR="00B76291" w:rsidRPr="006B0014" w:rsidRDefault="00DC0F7D" w:rsidP="0092273E">
      <w:pPr>
        <w:pStyle w:val="ListParagraph"/>
        <w:numPr>
          <w:ilvl w:val="0"/>
          <w:numId w:val="5"/>
        </w:numPr>
      </w:pPr>
      <w:r w:rsidRPr="006B0014">
        <w:t>Evidence of severe or uncontrolled systemic diseases (</w:t>
      </w:r>
      <w:proofErr w:type="spellStart"/>
      <w:r w:rsidRPr="006B0014">
        <w:t>eg</w:t>
      </w:r>
      <w:proofErr w:type="spellEnd"/>
      <w:r w:rsidRPr="006B0014">
        <w:t>, unstable or</w:t>
      </w:r>
      <w:r w:rsidR="00B76291" w:rsidRPr="006B0014">
        <w:t xml:space="preserve"> </w:t>
      </w:r>
      <w:r w:rsidRPr="006B0014">
        <w:t>uncompensated respiratory, hepatic, renal or cardiac disease)</w:t>
      </w:r>
    </w:p>
    <w:p w14:paraId="78B3680C" w14:textId="53CFFBE2" w:rsidR="00416C77" w:rsidRPr="006B0014" w:rsidRDefault="00DC0F7D" w:rsidP="0092273E">
      <w:pPr>
        <w:pStyle w:val="ListParagraph"/>
        <w:numPr>
          <w:ilvl w:val="0"/>
          <w:numId w:val="5"/>
        </w:numPr>
      </w:pPr>
      <w:r w:rsidRPr="006B0014">
        <w:t>Active peptic ulcer disease or history of abdominal fistula, GI perforation, or</w:t>
      </w:r>
      <w:r w:rsidR="00B76291" w:rsidRPr="006B0014">
        <w:t xml:space="preserve"> </w:t>
      </w:r>
      <w:r w:rsidRPr="006B0014">
        <w:t>intra- abdominal abscess within 28 days prior to first dose of study treatment</w:t>
      </w:r>
      <w:r w:rsidR="00416C77" w:rsidRPr="006B0014">
        <w:br w:type="page"/>
      </w:r>
    </w:p>
    <w:p w14:paraId="6D6FBEF0" w14:textId="77777777" w:rsidR="00300061" w:rsidRDefault="00300061" w:rsidP="001F5E07">
      <w:pPr>
        <w:pStyle w:val="Heading3"/>
        <w:sectPr w:rsidR="00300061" w:rsidSect="004359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C6E973" w14:textId="4E7B5B70" w:rsidR="007E5BB6" w:rsidRPr="006B0014" w:rsidRDefault="007E5BB6" w:rsidP="001F5E07">
      <w:pPr>
        <w:pStyle w:val="Heading3"/>
      </w:pPr>
      <w:r w:rsidRPr="006B0014">
        <w:lastRenderedPageBreak/>
        <w:t>Supplementary Figure</w:t>
      </w:r>
      <w:r w:rsidR="00FA041F" w:rsidRPr="006B0014">
        <w:t xml:space="preserve"> 1</w:t>
      </w:r>
      <w:r w:rsidRPr="006B0014">
        <w:t>: Study design</w:t>
      </w:r>
    </w:p>
    <w:p w14:paraId="22804D44" w14:textId="2044A504" w:rsidR="00D90D1C" w:rsidRPr="006B0014" w:rsidRDefault="00D90D1C">
      <w:pPr>
        <w:spacing w:line="240" w:lineRule="auto"/>
      </w:pPr>
    </w:p>
    <w:p w14:paraId="25913324" w14:textId="110B520F" w:rsidR="00D90D1C" w:rsidRPr="006B0014" w:rsidRDefault="00FA041F" w:rsidP="00D90D1C">
      <w:pPr>
        <w:pStyle w:val="Heading3"/>
      </w:pPr>
      <w:r w:rsidRPr="006B0014">
        <w:t>Supplementary Figure 2</w:t>
      </w:r>
      <w:r w:rsidR="00D90D1C" w:rsidRPr="006B0014">
        <w:t xml:space="preserve">: LNCAP and DU-145 prostate cancer cells were treated with 1 or 10 </w:t>
      </w:r>
      <w:r w:rsidR="00D90D1C" w:rsidRPr="006B0014">
        <w:rPr>
          <w:rFonts w:cs="Arial"/>
        </w:rPr>
        <w:t>μ</w:t>
      </w:r>
      <w:r w:rsidR="00D90D1C" w:rsidRPr="006B0014">
        <w:t>M GSK2636771 for up to 48 hours and probed with the indicated antibodies</w:t>
      </w:r>
    </w:p>
    <w:p w14:paraId="034307C1" w14:textId="77777777" w:rsidR="0037340E" w:rsidRDefault="0037340E" w:rsidP="00FA041F">
      <w:pPr>
        <w:pStyle w:val="Heading3"/>
      </w:pPr>
    </w:p>
    <w:p w14:paraId="3EBF97C9" w14:textId="771697BB" w:rsidR="00FA041F" w:rsidRPr="006B0014" w:rsidRDefault="00FA041F" w:rsidP="00FA041F">
      <w:pPr>
        <w:pStyle w:val="Heading3"/>
        <w:rPr>
          <w:rFonts w:cs="Arial"/>
        </w:rPr>
      </w:pPr>
      <w:r w:rsidRPr="006B0014">
        <w:rPr>
          <w:rFonts w:cs="Arial"/>
        </w:rPr>
        <w:t xml:space="preserve">Supplementary Figure 3: Glucose and insulin levels after treatment with GSK2636771 in fasted mice. </w:t>
      </w:r>
    </w:p>
    <w:p w14:paraId="572ED2A9" w14:textId="2A213AB5" w:rsidR="00FA041F" w:rsidRPr="006B0014" w:rsidRDefault="00FA041F" w:rsidP="00FA041F">
      <w:pPr>
        <w:rPr>
          <w:rFonts w:cs="Arial"/>
        </w:rPr>
      </w:pPr>
      <w:r w:rsidRPr="006B0014">
        <w:rPr>
          <w:rFonts w:cs="Arial"/>
        </w:rPr>
        <w:t xml:space="preserve">Mice (n=3/group) were dosed orally for </w:t>
      </w:r>
      <w:r w:rsidR="005F11F0">
        <w:rPr>
          <w:rFonts w:cs="Arial"/>
        </w:rPr>
        <w:t>3</w:t>
      </w:r>
      <w:r w:rsidR="005F11F0" w:rsidRPr="006B0014">
        <w:rPr>
          <w:rFonts w:cs="Arial"/>
        </w:rPr>
        <w:t xml:space="preserve"> </w:t>
      </w:r>
      <w:r w:rsidRPr="006B0014">
        <w:rPr>
          <w:rFonts w:cs="Arial"/>
        </w:rPr>
        <w:t>days with vehicle, GSK2636771, or GSK2126458 (a pan PI3K/mTOR inhibitor) then starved for 20 hours before receiving a final dose of compound. Blood was collected at 0, 0.5, 1, 2, and 4 hours after the last dose. Mean values are presented; errors bars represent standard deviations.</w:t>
      </w:r>
    </w:p>
    <w:p w14:paraId="411BE4B7" w14:textId="77777777" w:rsidR="00CA74E2" w:rsidRDefault="0099307D" w:rsidP="00E86B17">
      <w:pPr>
        <w:spacing w:before="240" w:line="360" w:lineRule="auto"/>
        <w:contextualSpacing/>
        <w:rPr>
          <w:rFonts w:cs="Arial"/>
        </w:rPr>
      </w:pPr>
      <w:r>
        <w:br/>
        <w:t xml:space="preserve">mTOR, </w:t>
      </w:r>
      <w:r w:rsidRPr="00365C4E">
        <w:rPr>
          <w:rFonts w:cs="Arial"/>
        </w:rPr>
        <w:t xml:space="preserve">mammalian target of rapamycin </w:t>
      </w:r>
    </w:p>
    <w:p w14:paraId="477D94C2" w14:textId="77777777" w:rsidR="00CA74E2" w:rsidRDefault="00CA74E2" w:rsidP="00E86B17">
      <w:pPr>
        <w:spacing w:before="240" w:line="360" w:lineRule="auto"/>
        <w:contextualSpacing/>
        <w:rPr>
          <w:rFonts w:cs="Arial"/>
        </w:rPr>
      </w:pPr>
    </w:p>
    <w:p w14:paraId="37C0C260" w14:textId="17E9CDFF" w:rsidR="00CA74E2" w:rsidRPr="008F4815" w:rsidRDefault="00CA74E2" w:rsidP="00CA74E2">
      <w:pPr>
        <w:rPr>
          <w:rFonts w:cs="Arial"/>
        </w:rPr>
      </w:pPr>
      <w:r>
        <w:rPr>
          <w:rFonts w:cs="Arial"/>
          <w:b/>
        </w:rPr>
        <w:t>Supplementary Figure 4:</w:t>
      </w:r>
      <w:r w:rsidRPr="008F4815">
        <w:rPr>
          <w:rFonts w:cs="Arial"/>
          <w:b/>
        </w:rPr>
        <w:t xml:space="preserve"> Investigation of the p.L1049R mutation identified in a patient with castration-resistant prostate cancer</w:t>
      </w:r>
      <w:r w:rsidRPr="008F4815">
        <w:rPr>
          <w:rFonts w:cs="Arial"/>
        </w:rPr>
        <w:t xml:space="preserve">. </w:t>
      </w:r>
    </w:p>
    <w:p w14:paraId="78EDA5ED" w14:textId="77777777" w:rsidR="00CA74E2" w:rsidRPr="008F4815" w:rsidRDefault="00CA74E2">
      <w:pPr>
        <w:rPr>
          <w:rFonts w:cs="Arial"/>
        </w:rPr>
      </w:pPr>
      <w:r w:rsidRPr="008F4815">
        <w:rPr>
          <w:rFonts w:cs="Arial"/>
          <w:b/>
        </w:rPr>
        <w:t>A</w:t>
      </w:r>
      <w:r w:rsidRPr="008F4815">
        <w:rPr>
          <w:rFonts w:cs="Arial"/>
        </w:rPr>
        <w:t xml:space="preserve">, The </w:t>
      </w:r>
      <w:r w:rsidRPr="008F4815">
        <w:rPr>
          <w:rFonts w:cs="Arial"/>
          <w:i/>
        </w:rPr>
        <w:t xml:space="preserve">PIK3CB </w:t>
      </w:r>
      <w:r w:rsidRPr="008F4815">
        <w:rPr>
          <w:rFonts w:cs="Arial"/>
        </w:rPr>
        <w:t xml:space="preserve">L1049R mutation is homologous to H1047R in </w:t>
      </w:r>
      <w:r w:rsidRPr="008F4815">
        <w:rPr>
          <w:rFonts w:cs="Arial"/>
          <w:i/>
        </w:rPr>
        <w:t>PI3KCA</w:t>
      </w:r>
      <w:r w:rsidRPr="008F4815">
        <w:rPr>
          <w:rFonts w:cs="Arial"/>
        </w:rPr>
        <w:t xml:space="preserve">, as reported in a patient with glioblastoma (www.cbioportal.org); </w:t>
      </w:r>
      <w:r w:rsidRPr="008F4815">
        <w:rPr>
          <w:rFonts w:cs="Arial"/>
          <w:b/>
        </w:rPr>
        <w:t>B,</w:t>
      </w:r>
      <w:r w:rsidRPr="008F4815">
        <w:rPr>
          <w:rFonts w:cs="Arial"/>
        </w:rPr>
        <w:t xml:space="preserve"> Confirmation of the presence of the </w:t>
      </w:r>
      <w:r w:rsidRPr="008F4815">
        <w:rPr>
          <w:rFonts w:cs="Arial"/>
          <w:i/>
        </w:rPr>
        <w:t xml:space="preserve">PIK3CB </w:t>
      </w:r>
      <w:r w:rsidRPr="008F4815">
        <w:rPr>
          <w:rFonts w:cs="Arial"/>
        </w:rPr>
        <w:t xml:space="preserve">p.L1049R mutation was achieved using Sanger sequencing; </w:t>
      </w:r>
      <w:r w:rsidRPr="008F4815">
        <w:rPr>
          <w:rFonts w:cs="Arial"/>
          <w:b/>
        </w:rPr>
        <w:t>C,</w:t>
      </w:r>
      <w:r w:rsidRPr="008F4815">
        <w:rPr>
          <w:rFonts w:cs="Arial"/>
        </w:rPr>
        <w:t xml:space="preserve"> PC3 cells were transduced with pHTBBV1.1 (using baculovirus gene transfer into mammalian cells) expressing wt </w:t>
      </w:r>
      <w:r w:rsidRPr="008F4815">
        <w:rPr>
          <w:rFonts w:cs="Arial"/>
          <w:i/>
        </w:rPr>
        <w:t>PIK3CB</w:t>
      </w:r>
      <w:r w:rsidRPr="008F4815">
        <w:rPr>
          <w:rFonts w:cs="Arial"/>
        </w:rPr>
        <w:t xml:space="preserve"> or the p.L1049R mutant at a range of multiplicity of infections, and analyzed using Western blot.</w:t>
      </w:r>
    </w:p>
    <w:p w14:paraId="5003791F" w14:textId="77777777" w:rsidR="00CA74E2" w:rsidRPr="008F4815" w:rsidRDefault="00CA74E2">
      <w:pPr>
        <w:widowControl w:val="0"/>
        <w:autoSpaceDE w:val="0"/>
        <w:autoSpaceDN w:val="0"/>
        <w:adjustRightInd w:val="0"/>
        <w:rPr>
          <w:rFonts w:cs="Arial"/>
        </w:rPr>
      </w:pPr>
    </w:p>
    <w:p w14:paraId="367328BC" w14:textId="304A7633" w:rsidR="00E86B17" w:rsidRPr="00E86B17" w:rsidRDefault="00CA74E2" w:rsidP="00740AC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 w:rsidRPr="008F4815">
        <w:rPr>
          <w:rFonts w:cs="Arial"/>
        </w:rPr>
        <w:t xml:space="preserve">AKT, protein kinase B; APC, Adenomatous polyposis coli; AR, androgen receptor; ATM, ataxia telangiectasia mutated; BRAF, v-raf murine sarcoma viral oncogene homolog B; CHD1, </w:t>
      </w:r>
      <w:r w:rsidRPr="008F4815">
        <w:rPr>
          <w:rFonts w:cs="Arial"/>
        </w:rPr>
        <w:lastRenderedPageBreak/>
        <w:t xml:space="preserve">chromodomain helicase DNA binding protein 1; CNS, central nervous system; CNV, copy number variation; CRPC, castration-resistant prostate cancer; DNA, deoxyribonucleic acid; GE, gastrointestinal; GMB, glioblastoma; H&amp;N, head and neck; KRAS, V-Ki-ras2 Kirsten rat sarcoma viral oncogene homolog; NE/Non, not evaluable; NRAS, neuroblastoma rat sarcoma viral oncogene homolog; NSCLC, non-small cell lung cancer; PI3K, phosphoinositide-3-kinase; qPCR, quantitative polymerase chain reaction; PD, progressive disease; </w:t>
      </w:r>
      <w:r w:rsidRPr="008F4815">
        <w:rPr>
          <w:rFonts w:cs="Arial"/>
          <w:i/>
        </w:rPr>
        <w:t>PI3K</w:t>
      </w:r>
      <w:r w:rsidRPr="008F4815">
        <w:rPr>
          <w:rFonts w:cs="Arial"/>
        </w:rPr>
        <w:t>, phosphoinositide-3-kinase; PR, partial response; PSA, prostate-specific antigen; PTEN, phosphatase and tensin homolog; SD, stable disease; wt, wild type</w:t>
      </w:r>
      <w:r w:rsidR="00E86B17">
        <w:br w:type="page"/>
      </w:r>
    </w:p>
    <w:p w14:paraId="67811093" w14:textId="7759432E" w:rsidR="00FA041F" w:rsidRPr="006B0014" w:rsidRDefault="00FA041F" w:rsidP="00FA041F">
      <w:pPr>
        <w:pStyle w:val="Heading3"/>
      </w:pPr>
      <w:r w:rsidRPr="006B0014">
        <w:lastRenderedPageBreak/>
        <w:t>Supplementary Table 1: 3 + 3 dose escalation guidelines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A041F" w:rsidRPr="006B0014" w14:paraId="19453BC8" w14:textId="77777777" w:rsidTr="00F37DBA">
        <w:tc>
          <w:tcPr>
            <w:tcW w:w="4675" w:type="dxa"/>
          </w:tcPr>
          <w:p w14:paraId="5D65C10D" w14:textId="2959B144" w:rsidR="00FA041F" w:rsidRPr="006B0014" w:rsidRDefault="00FA041F" w:rsidP="009330E9">
            <w:pPr>
              <w:tabs>
                <w:tab w:val="left" w:pos="0"/>
              </w:tabs>
              <w:rPr>
                <w:rFonts w:cs="Arial"/>
                <w:b/>
                <w:sz w:val="24"/>
                <w:szCs w:val="24"/>
              </w:rPr>
            </w:pPr>
            <w:r w:rsidRPr="006B0014">
              <w:rPr>
                <w:rFonts w:cs="Arial"/>
                <w:b/>
                <w:sz w:val="24"/>
                <w:szCs w:val="24"/>
              </w:rPr>
              <w:t xml:space="preserve">Number of </w:t>
            </w:r>
            <w:r w:rsidR="00D45D12">
              <w:rPr>
                <w:rFonts w:cs="Arial"/>
                <w:b/>
                <w:sz w:val="24"/>
                <w:szCs w:val="24"/>
              </w:rPr>
              <w:t>s</w:t>
            </w:r>
            <w:r w:rsidR="00D45D12" w:rsidRPr="006B0014">
              <w:rPr>
                <w:rFonts w:cs="Arial"/>
                <w:b/>
                <w:sz w:val="24"/>
                <w:szCs w:val="24"/>
              </w:rPr>
              <w:t xml:space="preserve">ubjects </w:t>
            </w:r>
            <w:r w:rsidRPr="006B0014">
              <w:rPr>
                <w:rFonts w:cs="Arial"/>
                <w:b/>
                <w:sz w:val="24"/>
                <w:szCs w:val="24"/>
              </w:rPr>
              <w:t>with DLT</w:t>
            </w:r>
          </w:p>
        </w:tc>
        <w:tc>
          <w:tcPr>
            <w:tcW w:w="4675" w:type="dxa"/>
          </w:tcPr>
          <w:p w14:paraId="23AC04EA" w14:textId="77777777" w:rsidR="00FA041F" w:rsidRPr="006B0014" w:rsidRDefault="00FA041F" w:rsidP="006008DA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6B0014">
              <w:rPr>
                <w:rFonts w:cs="Arial"/>
                <w:b/>
                <w:sz w:val="24"/>
                <w:szCs w:val="24"/>
              </w:rPr>
              <w:t>Action</w:t>
            </w:r>
          </w:p>
        </w:tc>
      </w:tr>
      <w:tr w:rsidR="00FA041F" w:rsidRPr="006B0014" w14:paraId="57F9FEF1" w14:textId="77777777" w:rsidTr="00F37DBA">
        <w:tc>
          <w:tcPr>
            <w:tcW w:w="4675" w:type="dxa"/>
          </w:tcPr>
          <w:p w14:paraId="10133908" w14:textId="77777777" w:rsidR="00FA041F" w:rsidRPr="006B0014" w:rsidRDefault="00FA041F" w:rsidP="006008D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  <w:r w:rsidRPr="006B0014">
              <w:rPr>
                <w:rFonts w:cs="Arial"/>
                <w:sz w:val="24"/>
                <w:szCs w:val="24"/>
              </w:rPr>
              <w:t>0 out of 3 subjects</w:t>
            </w:r>
          </w:p>
        </w:tc>
        <w:tc>
          <w:tcPr>
            <w:tcW w:w="4675" w:type="dxa"/>
          </w:tcPr>
          <w:p w14:paraId="4C7FA56C" w14:textId="77777777" w:rsidR="00FA041F" w:rsidRPr="006B0014" w:rsidRDefault="00FA041F" w:rsidP="006008D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  <w:r w:rsidRPr="006B0014">
              <w:rPr>
                <w:rFonts w:cs="Arial"/>
                <w:sz w:val="24"/>
                <w:szCs w:val="24"/>
              </w:rPr>
              <w:t>Escalate to next dose level</w:t>
            </w:r>
          </w:p>
        </w:tc>
      </w:tr>
      <w:tr w:rsidR="00FA041F" w:rsidRPr="006B0014" w14:paraId="31775327" w14:textId="77777777" w:rsidTr="00F37DBA">
        <w:tc>
          <w:tcPr>
            <w:tcW w:w="4675" w:type="dxa"/>
          </w:tcPr>
          <w:p w14:paraId="2CB6542B" w14:textId="77777777" w:rsidR="00FA041F" w:rsidRPr="006B0014" w:rsidRDefault="00FA041F" w:rsidP="006008D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  <w:r w:rsidRPr="006B0014">
              <w:rPr>
                <w:rFonts w:cs="Arial"/>
                <w:sz w:val="24"/>
                <w:szCs w:val="24"/>
              </w:rPr>
              <w:t>1 out of 3 subjects</w:t>
            </w:r>
          </w:p>
        </w:tc>
        <w:tc>
          <w:tcPr>
            <w:tcW w:w="4675" w:type="dxa"/>
          </w:tcPr>
          <w:p w14:paraId="69C7CFAF" w14:textId="77777777" w:rsidR="00FA041F" w:rsidRPr="006B0014" w:rsidRDefault="00FA041F" w:rsidP="006008D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  <w:r w:rsidRPr="006B0014">
              <w:rPr>
                <w:rFonts w:cs="Arial"/>
                <w:sz w:val="24"/>
                <w:szCs w:val="24"/>
              </w:rPr>
              <w:t>Accrue 3 additional evaluable subjects at current dose level for a total of 6 evaluable subjects</w:t>
            </w:r>
          </w:p>
        </w:tc>
      </w:tr>
      <w:tr w:rsidR="00FA041F" w:rsidRPr="006B0014" w14:paraId="2E8FAE24" w14:textId="77777777" w:rsidTr="00F37DBA">
        <w:tc>
          <w:tcPr>
            <w:tcW w:w="4675" w:type="dxa"/>
          </w:tcPr>
          <w:p w14:paraId="49BDCC32" w14:textId="77777777" w:rsidR="00FA041F" w:rsidRPr="006B0014" w:rsidRDefault="00FA041F" w:rsidP="006008D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  <w:r w:rsidRPr="006B0014">
              <w:rPr>
                <w:rFonts w:cs="Arial"/>
                <w:sz w:val="24"/>
                <w:szCs w:val="24"/>
              </w:rPr>
              <w:t>1 out of 6 subjects</w:t>
            </w:r>
          </w:p>
        </w:tc>
        <w:tc>
          <w:tcPr>
            <w:tcW w:w="4675" w:type="dxa"/>
          </w:tcPr>
          <w:p w14:paraId="114F6984" w14:textId="77777777" w:rsidR="00FA041F" w:rsidRPr="006B0014" w:rsidRDefault="00FA041F" w:rsidP="006008D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  <w:r w:rsidRPr="006B0014">
              <w:rPr>
                <w:rFonts w:cs="Arial"/>
                <w:sz w:val="24"/>
                <w:szCs w:val="24"/>
              </w:rPr>
              <w:t>Escalate to next dose level</w:t>
            </w:r>
          </w:p>
        </w:tc>
      </w:tr>
      <w:tr w:rsidR="00FA041F" w:rsidRPr="006B0014" w14:paraId="3288A2DB" w14:textId="77777777" w:rsidTr="00F37DBA">
        <w:tc>
          <w:tcPr>
            <w:tcW w:w="4675" w:type="dxa"/>
          </w:tcPr>
          <w:p w14:paraId="591875F7" w14:textId="734EC22A" w:rsidR="00FA041F" w:rsidRPr="006B0014" w:rsidRDefault="00FA041F" w:rsidP="006008D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  <w:r w:rsidRPr="006B0014">
              <w:rPr>
                <w:rFonts w:cs="Arial"/>
                <w:sz w:val="24"/>
                <w:szCs w:val="24"/>
              </w:rPr>
              <w:t xml:space="preserve">2 or more subjects in a dosing cohort </w:t>
            </w:r>
            <w:r w:rsidR="005F11F0">
              <w:rPr>
                <w:rFonts w:cs="Arial"/>
                <w:sz w:val="24"/>
                <w:szCs w:val="24"/>
              </w:rPr>
              <w:br/>
            </w:r>
            <w:r w:rsidRPr="006B0014">
              <w:rPr>
                <w:rFonts w:cs="Arial"/>
                <w:sz w:val="24"/>
                <w:szCs w:val="24"/>
              </w:rPr>
              <w:t>(up to 6 subjects)</w:t>
            </w:r>
          </w:p>
        </w:tc>
        <w:tc>
          <w:tcPr>
            <w:tcW w:w="4675" w:type="dxa"/>
          </w:tcPr>
          <w:p w14:paraId="1A726B3C" w14:textId="77777777" w:rsidR="00FA041F" w:rsidRPr="006B0014" w:rsidRDefault="00FA041F" w:rsidP="006008D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  <w:r w:rsidRPr="006B0014">
              <w:rPr>
                <w:rFonts w:cs="Arial"/>
                <w:sz w:val="24"/>
                <w:szCs w:val="24"/>
              </w:rPr>
              <w:t>MTD was exceeded; de-escalate to a lower dose, or expand previous cohort to 6 evaluable subjects</w:t>
            </w:r>
          </w:p>
        </w:tc>
      </w:tr>
    </w:tbl>
    <w:p w14:paraId="3EDC7F07" w14:textId="24728E90" w:rsidR="00FA041F" w:rsidRPr="006B0014" w:rsidRDefault="00FA041F" w:rsidP="00FA041F">
      <w:pPr>
        <w:tabs>
          <w:tab w:val="left" w:pos="0"/>
        </w:tabs>
        <w:rPr>
          <w:rFonts w:cs="Arial"/>
          <w:sz w:val="24"/>
          <w:szCs w:val="24"/>
        </w:rPr>
      </w:pPr>
      <w:r w:rsidRPr="006B0014">
        <w:rPr>
          <w:rFonts w:cs="Arial"/>
          <w:sz w:val="24"/>
          <w:szCs w:val="24"/>
        </w:rPr>
        <w:t>DLT, dose-limiting toxicity; MTD, maximum tolerated dose</w:t>
      </w:r>
      <w:r w:rsidR="005F11F0">
        <w:rPr>
          <w:rFonts w:cs="Arial"/>
          <w:sz w:val="24"/>
          <w:szCs w:val="24"/>
        </w:rPr>
        <w:t>.</w:t>
      </w:r>
    </w:p>
    <w:p w14:paraId="1FA4CFB9" w14:textId="77777777" w:rsidR="0006139F" w:rsidRPr="006B0014" w:rsidRDefault="0006139F" w:rsidP="0006139F"/>
    <w:p w14:paraId="3DAAC4CF" w14:textId="77777777" w:rsidR="009D2ABF" w:rsidRPr="006B0014" w:rsidRDefault="009D2ABF">
      <w:pPr>
        <w:spacing w:line="240" w:lineRule="auto"/>
        <w:rPr>
          <w:rFonts w:eastAsiaTheme="majorEastAsia" w:cstheme="majorBidi"/>
          <w:b/>
          <w:sz w:val="24"/>
          <w:szCs w:val="24"/>
        </w:rPr>
      </w:pPr>
      <w:r w:rsidRPr="006B0014">
        <w:br w:type="page"/>
      </w:r>
    </w:p>
    <w:p w14:paraId="10C19E6A" w14:textId="70F2434F" w:rsidR="0006139F" w:rsidRPr="006B0014" w:rsidRDefault="0006139F" w:rsidP="0006139F">
      <w:pPr>
        <w:pStyle w:val="Heading3"/>
      </w:pPr>
      <w:r w:rsidRPr="006B0014">
        <w:lastRenderedPageBreak/>
        <w:t xml:space="preserve">Supplementary Table 2: </w:t>
      </w:r>
      <w:r w:rsidR="007948ED">
        <w:t>C</w:t>
      </w:r>
      <w:r w:rsidR="007948ED" w:rsidRPr="006B0014">
        <w:t xml:space="preserve">ustomized </w:t>
      </w:r>
      <w:r w:rsidRPr="006B0014">
        <w:t>sequencing panel</w:t>
      </w:r>
    </w:p>
    <w:tbl>
      <w:tblPr>
        <w:tblStyle w:val="TableGrid"/>
        <w:tblW w:w="10598" w:type="dxa"/>
        <w:tblInd w:w="-70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096"/>
        <w:gridCol w:w="1172"/>
        <w:gridCol w:w="1134"/>
        <w:gridCol w:w="1134"/>
        <w:gridCol w:w="1275"/>
        <w:gridCol w:w="1276"/>
        <w:gridCol w:w="1276"/>
      </w:tblGrid>
      <w:tr w:rsidR="00CB62C7" w:rsidRPr="006B0014" w14:paraId="3E44D1DE" w14:textId="77777777" w:rsidTr="00F37DBA">
        <w:tc>
          <w:tcPr>
            <w:tcW w:w="1101" w:type="dxa"/>
          </w:tcPr>
          <w:p w14:paraId="4B5BB012" w14:textId="61BCFEEF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ABL1</w:t>
            </w:r>
          </w:p>
        </w:tc>
        <w:tc>
          <w:tcPr>
            <w:tcW w:w="1134" w:type="dxa"/>
          </w:tcPr>
          <w:p w14:paraId="177E7EC7" w14:textId="7393F60E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BUB1B</w:t>
            </w:r>
          </w:p>
        </w:tc>
        <w:tc>
          <w:tcPr>
            <w:tcW w:w="1096" w:type="dxa"/>
          </w:tcPr>
          <w:p w14:paraId="6AD262C5" w14:textId="0E5367A2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DAXX</w:t>
            </w:r>
          </w:p>
        </w:tc>
        <w:tc>
          <w:tcPr>
            <w:tcW w:w="1172" w:type="dxa"/>
          </w:tcPr>
          <w:p w14:paraId="24240E8A" w14:textId="7C018863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074C46">
              <w:rPr>
                <w:sz w:val="20"/>
                <w:szCs w:val="20"/>
              </w:rPr>
              <w:t>FBX</w:t>
            </w:r>
            <w:r w:rsidR="00533EAA" w:rsidRPr="00074C46">
              <w:rPr>
                <w:sz w:val="20"/>
                <w:szCs w:val="20"/>
              </w:rPr>
              <w:t>O</w:t>
            </w:r>
            <w:r w:rsidRPr="00074C46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164E7810" w14:textId="05FC0933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HRAS</w:t>
            </w:r>
          </w:p>
        </w:tc>
        <w:tc>
          <w:tcPr>
            <w:tcW w:w="1134" w:type="dxa"/>
          </w:tcPr>
          <w:p w14:paraId="5B60AC91" w14:textId="01697675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MAP2K2</w:t>
            </w:r>
          </w:p>
        </w:tc>
        <w:tc>
          <w:tcPr>
            <w:tcW w:w="1275" w:type="dxa"/>
          </w:tcPr>
          <w:p w14:paraId="26C91DB4" w14:textId="45F20899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NOTCH1</w:t>
            </w:r>
          </w:p>
        </w:tc>
        <w:tc>
          <w:tcPr>
            <w:tcW w:w="1276" w:type="dxa"/>
          </w:tcPr>
          <w:p w14:paraId="0C8552DE" w14:textId="77768B77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PTCH1</w:t>
            </w:r>
          </w:p>
        </w:tc>
        <w:tc>
          <w:tcPr>
            <w:tcW w:w="1276" w:type="dxa"/>
          </w:tcPr>
          <w:p w14:paraId="71C8C545" w14:textId="19D13D5C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TNFAIP3</w:t>
            </w:r>
          </w:p>
        </w:tc>
      </w:tr>
      <w:tr w:rsidR="00CB62C7" w:rsidRPr="006B0014" w14:paraId="53933373" w14:textId="77777777" w:rsidTr="00F37DBA">
        <w:trPr>
          <w:trHeight w:val="463"/>
        </w:trPr>
        <w:tc>
          <w:tcPr>
            <w:tcW w:w="1101" w:type="dxa"/>
          </w:tcPr>
          <w:p w14:paraId="7133F767" w14:textId="2A8D0113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AKT1</w:t>
            </w:r>
          </w:p>
        </w:tc>
        <w:tc>
          <w:tcPr>
            <w:tcW w:w="1134" w:type="dxa"/>
          </w:tcPr>
          <w:p w14:paraId="71A72EBD" w14:textId="15803C3F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CARD11</w:t>
            </w:r>
          </w:p>
        </w:tc>
        <w:tc>
          <w:tcPr>
            <w:tcW w:w="1096" w:type="dxa"/>
          </w:tcPr>
          <w:p w14:paraId="35B90079" w14:textId="30BB5EBC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DDB2</w:t>
            </w:r>
          </w:p>
        </w:tc>
        <w:tc>
          <w:tcPr>
            <w:tcW w:w="1172" w:type="dxa"/>
          </w:tcPr>
          <w:p w14:paraId="1553E685" w14:textId="34D1497A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FBXW7</w:t>
            </w:r>
          </w:p>
        </w:tc>
        <w:tc>
          <w:tcPr>
            <w:tcW w:w="1134" w:type="dxa"/>
          </w:tcPr>
          <w:p w14:paraId="4EBF3782" w14:textId="30F9A984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HSPH1</w:t>
            </w:r>
          </w:p>
        </w:tc>
        <w:tc>
          <w:tcPr>
            <w:tcW w:w="1134" w:type="dxa"/>
          </w:tcPr>
          <w:p w14:paraId="18C1631A" w14:textId="6E81B77F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MAP2K4</w:t>
            </w:r>
          </w:p>
        </w:tc>
        <w:tc>
          <w:tcPr>
            <w:tcW w:w="1275" w:type="dxa"/>
          </w:tcPr>
          <w:p w14:paraId="4E038D00" w14:textId="7140A1DC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NOTCH2</w:t>
            </w:r>
          </w:p>
        </w:tc>
        <w:tc>
          <w:tcPr>
            <w:tcW w:w="1276" w:type="dxa"/>
          </w:tcPr>
          <w:p w14:paraId="79450772" w14:textId="2B65B251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PTEN</w:t>
            </w:r>
          </w:p>
        </w:tc>
        <w:tc>
          <w:tcPr>
            <w:tcW w:w="1276" w:type="dxa"/>
          </w:tcPr>
          <w:p w14:paraId="683BA76F" w14:textId="23A24493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TNFRSF14</w:t>
            </w:r>
          </w:p>
        </w:tc>
      </w:tr>
      <w:tr w:rsidR="00CB62C7" w:rsidRPr="006B0014" w14:paraId="394CA547" w14:textId="77777777" w:rsidTr="00F37DBA">
        <w:tc>
          <w:tcPr>
            <w:tcW w:w="1101" w:type="dxa"/>
          </w:tcPr>
          <w:p w14:paraId="5129B2B8" w14:textId="7E6EFF1B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AKT2</w:t>
            </w:r>
          </w:p>
        </w:tc>
        <w:tc>
          <w:tcPr>
            <w:tcW w:w="1134" w:type="dxa"/>
          </w:tcPr>
          <w:p w14:paraId="47BA24EB" w14:textId="17363447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CBL</w:t>
            </w:r>
          </w:p>
        </w:tc>
        <w:tc>
          <w:tcPr>
            <w:tcW w:w="1096" w:type="dxa"/>
          </w:tcPr>
          <w:p w14:paraId="4B2730AC" w14:textId="1F2E2492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DDR2</w:t>
            </w:r>
          </w:p>
        </w:tc>
        <w:tc>
          <w:tcPr>
            <w:tcW w:w="1172" w:type="dxa"/>
          </w:tcPr>
          <w:p w14:paraId="39832681" w14:textId="12D29CAD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FGFR2</w:t>
            </w:r>
          </w:p>
        </w:tc>
        <w:tc>
          <w:tcPr>
            <w:tcW w:w="1134" w:type="dxa"/>
          </w:tcPr>
          <w:p w14:paraId="7768EB8A" w14:textId="74E90B6F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IDH1</w:t>
            </w:r>
          </w:p>
        </w:tc>
        <w:tc>
          <w:tcPr>
            <w:tcW w:w="1134" w:type="dxa"/>
          </w:tcPr>
          <w:p w14:paraId="0F2114AE" w14:textId="3769BCEE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MAP3K1</w:t>
            </w:r>
          </w:p>
        </w:tc>
        <w:tc>
          <w:tcPr>
            <w:tcW w:w="1275" w:type="dxa"/>
          </w:tcPr>
          <w:p w14:paraId="03232152" w14:textId="578E56C7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NPM1</w:t>
            </w:r>
          </w:p>
        </w:tc>
        <w:tc>
          <w:tcPr>
            <w:tcW w:w="1276" w:type="dxa"/>
          </w:tcPr>
          <w:p w14:paraId="75C1EC8D" w14:textId="2C35EA2E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PTPN11</w:t>
            </w:r>
          </w:p>
        </w:tc>
        <w:tc>
          <w:tcPr>
            <w:tcW w:w="1276" w:type="dxa"/>
          </w:tcPr>
          <w:p w14:paraId="2B9CCC0C" w14:textId="232D8535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TP53</w:t>
            </w:r>
          </w:p>
        </w:tc>
      </w:tr>
      <w:tr w:rsidR="00CB62C7" w:rsidRPr="006B0014" w14:paraId="61512662" w14:textId="77777777" w:rsidTr="00F37DBA">
        <w:tc>
          <w:tcPr>
            <w:tcW w:w="1101" w:type="dxa"/>
          </w:tcPr>
          <w:p w14:paraId="4C6D621E" w14:textId="033D9A69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ALK</w:t>
            </w:r>
          </w:p>
        </w:tc>
        <w:tc>
          <w:tcPr>
            <w:tcW w:w="1134" w:type="dxa"/>
          </w:tcPr>
          <w:p w14:paraId="1B5A0420" w14:textId="4131311E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CBLB</w:t>
            </w:r>
          </w:p>
        </w:tc>
        <w:tc>
          <w:tcPr>
            <w:tcW w:w="1096" w:type="dxa"/>
          </w:tcPr>
          <w:p w14:paraId="675CF054" w14:textId="483DB973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DICER1</w:t>
            </w:r>
          </w:p>
        </w:tc>
        <w:tc>
          <w:tcPr>
            <w:tcW w:w="1172" w:type="dxa"/>
          </w:tcPr>
          <w:p w14:paraId="737CA2E6" w14:textId="664C2920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FGFR3</w:t>
            </w:r>
          </w:p>
        </w:tc>
        <w:tc>
          <w:tcPr>
            <w:tcW w:w="1134" w:type="dxa"/>
          </w:tcPr>
          <w:p w14:paraId="0F825056" w14:textId="2B68A367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IDH2</w:t>
            </w:r>
          </w:p>
        </w:tc>
        <w:tc>
          <w:tcPr>
            <w:tcW w:w="1134" w:type="dxa"/>
          </w:tcPr>
          <w:p w14:paraId="1550B39C" w14:textId="13DD94DB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MAP4K3</w:t>
            </w:r>
          </w:p>
        </w:tc>
        <w:tc>
          <w:tcPr>
            <w:tcW w:w="1275" w:type="dxa"/>
          </w:tcPr>
          <w:p w14:paraId="54071C45" w14:textId="0AA3F2D4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NR3C1</w:t>
            </w:r>
          </w:p>
        </w:tc>
        <w:tc>
          <w:tcPr>
            <w:tcW w:w="1276" w:type="dxa"/>
          </w:tcPr>
          <w:p w14:paraId="2FD4708A" w14:textId="509982A6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RAC1</w:t>
            </w:r>
          </w:p>
        </w:tc>
        <w:tc>
          <w:tcPr>
            <w:tcW w:w="1276" w:type="dxa"/>
          </w:tcPr>
          <w:p w14:paraId="03EE2013" w14:textId="245C18DF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TSC1</w:t>
            </w:r>
          </w:p>
        </w:tc>
      </w:tr>
      <w:tr w:rsidR="00CB62C7" w:rsidRPr="006B0014" w14:paraId="372F43EA" w14:textId="77777777" w:rsidTr="00F37DBA">
        <w:tc>
          <w:tcPr>
            <w:tcW w:w="1101" w:type="dxa"/>
          </w:tcPr>
          <w:p w14:paraId="013A6143" w14:textId="6D595B53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AMER1</w:t>
            </w:r>
          </w:p>
        </w:tc>
        <w:tc>
          <w:tcPr>
            <w:tcW w:w="1134" w:type="dxa"/>
          </w:tcPr>
          <w:p w14:paraId="37B1EAC8" w14:textId="392AFCCE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CD79A</w:t>
            </w:r>
          </w:p>
        </w:tc>
        <w:tc>
          <w:tcPr>
            <w:tcW w:w="1096" w:type="dxa"/>
          </w:tcPr>
          <w:p w14:paraId="3F88D146" w14:textId="03004467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DNMT3A</w:t>
            </w:r>
          </w:p>
        </w:tc>
        <w:tc>
          <w:tcPr>
            <w:tcW w:w="1172" w:type="dxa"/>
          </w:tcPr>
          <w:p w14:paraId="7ED14ED5" w14:textId="5EDD2E75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FH</w:t>
            </w:r>
          </w:p>
        </w:tc>
        <w:tc>
          <w:tcPr>
            <w:tcW w:w="1134" w:type="dxa"/>
          </w:tcPr>
          <w:p w14:paraId="3ECA2A81" w14:textId="6851667B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IKZF1</w:t>
            </w:r>
          </w:p>
        </w:tc>
        <w:tc>
          <w:tcPr>
            <w:tcW w:w="1134" w:type="dxa"/>
          </w:tcPr>
          <w:p w14:paraId="6CCD6AB5" w14:textId="4AEA26C1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MDM2</w:t>
            </w:r>
          </w:p>
        </w:tc>
        <w:tc>
          <w:tcPr>
            <w:tcW w:w="1275" w:type="dxa"/>
          </w:tcPr>
          <w:p w14:paraId="1F838569" w14:textId="4EA75D05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NRAS</w:t>
            </w:r>
          </w:p>
        </w:tc>
        <w:tc>
          <w:tcPr>
            <w:tcW w:w="1276" w:type="dxa"/>
          </w:tcPr>
          <w:p w14:paraId="13A1D71A" w14:textId="5C58AAB3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RB1</w:t>
            </w:r>
          </w:p>
        </w:tc>
        <w:tc>
          <w:tcPr>
            <w:tcW w:w="1276" w:type="dxa"/>
          </w:tcPr>
          <w:p w14:paraId="42C5BEA3" w14:textId="7C32FBF3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TSC2</w:t>
            </w:r>
          </w:p>
        </w:tc>
      </w:tr>
      <w:tr w:rsidR="00CB62C7" w:rsidRPr="006B0014" w14:paraId="416C07D0" w14:textId="77777777" w:rsidTr="00F37DBA">
        <w:tc>
          <w:tcPr>
            <w:tcW w:w="1101" w:type="dxa"/>
          </w:tcPr>
          <w:p w14:paraId="2B4D338A" w14:textId="18116D4D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APC</w:t>
            </w:r>
          </w:p>
        </w:tc>
        <w:tc>
          <w:tcPr>
            <w:tcW w:w="1134" w:type="dxa"/>
          </w:tcPr>
          <w:p w14:paraId="4BBEEC34" w14:textId="4636A37E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CD79B</w:t>
            </w:r>
          </w:p>
        </w:tc>
        <w:tc>
          <w:tcPr>
            <w:tcW w:w="1096" w:type="dxa"/>
          </w:tcPr>
          <w:p w14:paraId="76787422" w14:textId="3C4CCBCE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ECT2L</w:t>
            </w:r>
          </w:p>
        </w:tc>
        <w:tc>
          <w:tcPr>
            <w:tcW w:w="1172" w:type="dxa"/>
          </w:tcPr>
          <w:p w14:paraId="060C361D" w14:textId="72AFD722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FLCN</w:t>
            </w:r>
          </w:p>
        </w:tc>
        <w:tc>
          <w:tcPr>
            <w:tcW w:w="1134" w:type="dxa"/>
          </w:tcPr>
          <w:p w14:paraId="1D84B075" w14:textId="15D56224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IL6ST</w:t>
            </w:r>
          </w:p>
        </w:tc>
        <w:tc>
          <w:tcPr>
            <w:tcW w:w="1134" w:type="dxa"/>
          </w:tcPr>
          <w:p w14:paraId="06723BA5" w14:textId="70AD7EE6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MED12</w:t>
            </w:r>
          </w:p>
        </w:tc>
        <w:tc>
          <w:tcPr>
            <w:tcW w:w="1275" w:type="dxa"/>
          </w:tcPr>
          <w:p w14:paraId="6766D2D3" w14:textId="05A876E4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PALB2</w:t>
            </w:r>
          </w:p>
        </w:tc>
        <w:tc>
          <w:tcPr>
            <w:tcW w:w="1276" w:type="dxa"/>
          </w:tcPr>
          <w:p w14:paraId="6EB2D718" w14:textId="6F2AE9CF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RET</w:t>
            </w:r>
          </w:p>
        </w:tc>
        <w:tc>
          <w:tcPr>
            <w:tcW w:w="1276" w:type="dxa"/>
          </w:tcPr>
          <w:p w14:paraId="5DF2A9E1" w14:textId="4AF88A6B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TSHR</w:t>
            </w:r>
          </w:p>
        </w:tc>
      </w:tr>
      <w:tr w:rsidR="00CB62C7" w:rsidRPr="006B0014" w14:paraId="1C4DF0E6" w14:textId="77777777" w:rsidTr="00F37DBA">
        <w:tc>
          <w:tcPr>
            <w:tcW w:w="1101" w:type="dxa"/>
          </w:tcPr>
          <w:p w14:paraId="68747FB1" w14:textId="6F9AEDF9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AR</w:t>
            </w:r>
          </w:p>
        </w:tc>
        <w:tc>
          <w:tcPr>
            <w:tcW w:w="1134" w:type="dxa"/>
          </w:tcPr>
          <w:p w14:paraId="58538DEE" w14:textId="69FDBC88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CDC73</w:t>
            </w:r>
          </w:p>
        </w:tc>
        <w:tc>
          <w:tcPr>
            <w:tcW w:w="1096" w:type="dxa"/>
          </w:tcPr>
          <w:p w14:paraId="1878BB21" w14:textId="69337401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EGFR</w:t>
            </w:r>
          </w:p>
        </w:tc>
        <w:tc>
          <w:tcPr>
            <w:tcW w:w="1172" w:type="dxa"/>
          </w:tcPr>
          <w:p w14:paraId="6AAFA865" w14:textId="792A9C01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FLT3</w:t>
            </w:r>
          </w:p>
        </w:tc>
        <w:tc>
          <w:tcPr>
            <w:tcW w:w="1134" w:type="dxa"/>
          </w:tcPr>
          <w:p w14:paraId="6FDC0880" w14:textId="3622B04F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IL7R</w:t>
            </w:r>
          </w:p>
        </w:tc>
        <w:tc>
          <w:tcPr>
            <w:tcW w:w="1134" w:type="dxa"/>
          </w:tcPr>
          <w:p w14:paraId="673F0039" w14:textId="31DC6F7B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MEN1</w:t>
            </w:r>
          </w:p>
        </w:tc>
        <w:tc>
          <w:tcPr>
            <w:tcW w:w="1275" w:type="dxa"/>
          </w:tcPr>
          <w:p w14:paraId="76F86FEF" w14:textId="2AE5B5C9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PAX5</w:t>
            </w:r>
          </w:p>
        </w:tc>
        <w:tc>
          <w:tcPr>
            <w:tcW w:w="1276" w:type="dxa"/>
          </w:tcPr>
          <w:p w14:paraId="33EB0CE0" w14:textId="7897B5EB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ROS1</w:t>
            </w:r>
          </w:p>
        </w:tc>
        <w:tc>
          <w:tcPr>
            <w:tcW w:w="1276" w:type="dxa"/>
          </w:tcPr>
          <w:p w14:paraId="5B59BA53" w14:textId="3BE30F80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U2AF1</w:t>
            </w:r>
          </w:p>
        </w:tc>
      </w:tr>
      <w:tr w:rsidR="00CB62C7" w:rsidRPr="006B0014" w14:paraId="4A2AA0BB" w14:textId="77777777" w:rsidTr="00F37DBA">
        <w:tc>
          <w:tcPr>
            <w:tcW w:w="1101" w:type="dxa"/>
          </w:tcPr>
          <w:p w14:paraId="751F6CDC" w14:textId="25A862D8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ARID1A</w:t>
            </w:r>
          </w:p>
        </w:tc>
        <w:tc>
          <w:tcPr>
            <w:tcW w:w="1134" w:type="dxa"/>
          </w:tcPr>
          <w:p w14:paraId="51A034CC" w14:textId="626C2614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CDH1</w:t>
            </w:r>
          </w:p>
        </w:tc>
        <w:tc>
          <w:tcPr>
            <w:tcW w:w="1096" w:type="dxa"/>
          </w:tcPr>
          <w:p w14:paraId="0A166023" w14:textId="75F636DB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EP300</w:t>
            </w:r>
          </w:p>
        </w:tc>
        <w:tc>
          <w:tcPr>
            <w:tcW w:w="1172" w:type="dxa"/>
          </w:tcPr>
          <w:p w14:paraId="1772D305" w14:textId="35BEF0DA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FOXA1</w:t>
            </w:r>
          </w:p>
        </w:tc>
        <w:tc>
          <w:tcPr>
            <w:tcW w:w="1134" w:type="dxa"/>
          </w:tcPr>
          <w:p w14:paraId="2B16120D" w14:textId="6BD28723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INPP4B</w:t>
            </w:r>
          </w:p>
        </w:tc>
        <w:tc>
          <w:tcPr>
            <w:tcW w:w="1134" w:type="dxa"/>
          </w:tcPr>
          <w:p w14:paraId="08BF4F26" w14:textId="3A42DB1B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MET</w:t>
            </w:r>
          </w:p>
        </w:tc>
        <w:tc>
          <w:tcPr>
            <w:tcW w:w="1275" w:type="dxa"/>
          </w:tcPr>
          <w:p w14:paraId="2E4C10CA" w14:textId="6521977B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PBRM1</w:t>
            </w:r>
          </w:p>
        </w:tc>
        <w:tc>
          <w:tcPr>
            <w:tcW w:w="1276" w:type="dxa"/>
          </w:tcPr>
          <w:p w14:paraId="372CE0C3" w14:textId="0CECEEF4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SDHB</w:t>
            </w:r>
          </w:p>
        </w:tc>
        <w:tc>
          <w:tcPr>
            <w:tcW w:w="1276" w:type="dxa"/>
          </w:tcPr>
          <w:p w14:paraId="4FB76857" w14:textId="10D6792B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VHL</w:t>
            </w:r>
          </w:p>
        </w:tc>
      </w:tr>
      <w:tr w:rsidR="00CB62C7" w:rsidRPr="006B0014" w14:paraId="3382F216" w14:textId="77777777" w:rsidTr="00F37DBA">
        <w:tc>
          <w:tcPr>
            <w:tcW w:w="1101" w:type="dxa"/>
          </w:tcPr>
          <w:p w14:paraId="6064F894" w14:textId="47E4B5D6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ARID2</w:t>
            </w:r>
          </w:p>
        </w:tc>
        <w:tc>
          <w:tcPr>
            <w:tcW w:w="1134" w:type="dxa"/>
          </w:tcPr>
          <w:p w14:paraId="1CA12D05" w14:textId="7A2E6F2E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CDK12</w:t>
            </w:r>
          </w:p>
        </w:tc>
        <w:tc>
          <w:tcPr>
            <w:tcW w:w="1096" w:type="dxa"/>
          </w:tcPr>
          <w:p w14:paraId="6E48D7D4" w14:textId="01A3705D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EPCAM</w:t>
            </w:r>
          </w:p>
        </w:tc>
        <w:tc>
          <w:tcPr>
            <w:tcW w:w="1172" w:type="dxa"/>
          </w:tcPr>
          <w:p w14:paraId="7B8CD700" w14:textId="1513DAD6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FUBP1</w:t>
            </w:r>
          </w:p>
        </w:tc>
        <w:tc>
          <w:tcPr>
            <w:tcW w:w="1134" w:type="dxa"/>
          </w:tcPr>
          <w:p w14:paraId="652105EC" w14:textId="06972BA6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INPP5D</w:t>
            </w:r>
          </w:p>
        </w:tc>
        <w:tc>
          <w:tcPr>
            <w:tcW w:w="1134" w:type="dxa"/>
          </w:tcPr>
          <w:p w14:paraId="3EED105E" w14:textId="25188F6C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MLH1</w:t>
            </w:r>
          </w:p>
        </w:tc>
        <w:tc>
          <w:tcPr>
            <w:tcW w:w="1275" w:type="dxa"/>
          </w:tcPr>
          <w:p w14:paraId="2799B3A0" w14:textId="54BD3B46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PDGFRA</w:t>
            </w:r>
          </w:p>
        </w:tc>
        <w:tc>
          <w:tcPr>
            <w:tcW w:w="1276" w:type="dxa"/>
          </w:tcPr>
          <w:p w14:paraId="4E8CD3EC" w14:textId="56F84146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SETD2</w:t>
            </w:r>
          </w:p>
        </w:tc>
        <w:tc>
          <w:tcPr>
            <w:tcW w:w="1276" w:type="dxa"/>
          </w:tcPr>
          <w:p w14:paraId="0BAAD390" w14:textId="0EF32E08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WT1</w:t>
            </w:r>
          </w:p>
        </w:tc>
      </w:tr>
      <w:tr w:rsidR="00CB62C7" w:rsidRPr="006B0014" w14:paraId="06AEC889" w14:textId="77777777" w:rsidTr="00F37DBA">
        <w:tc>
          <w:tcPr>
            <w:tcW w:w="1101" w:type="dxa"/>
          </w:tcPr>
          <w:p w14:paraId="418E075D" w14:textId="2C20A384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ASXL1</w:t>
            </w:r>
          </w:p>
        </w:tc>
        <w:tc>
          <w:tcPr>
            <w:tcW w:w="1134" w:type="dxa"/>
          </w:tcPr>
          <w:p w14:paraId="00BD5EAB" w14:textId="1B467CCC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CDK4</w:t>
            </w:r>
          </w:p>
        </w:tc>
        <w:tc>
          <w:tcPr>
            <w:tcW w:w="1096" w:type="dxa"/>
          </w:tcPr>
          <w:p w14:paraId="7BE57E77" w14:textId="761A5C8D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ERBB2</w:t>
            </w:r>
          </w:p>
        </w:tc>
        <w:tc>
          <w:tcPr>
            <w:tcW w:w="1172" w:type="dxa"/>
          </w:tcPr>
          <w:p w14:paraId="2E318BDA" w14:textId="59BBCF7D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GATA1</w:t>
            </w:r>
          </w:p>
        </w:tc>
        <w:tc>
          <w:tcPr>
            <w:tcW w:w="1134" w:type="dxa"/>
          </w:tcPr>
          <w:p w14:paraId="3DCEE983" w14:textId="7072425D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JAK1</w:t>
            </w:r>
          </w:p>
        </w:tc>
        <w:tc>
          <w:tcPr>
            <w:tcW w:w="1134" w:type="dxa"/>
          </w:tcPr>
          <w:p w14:paraId="45E10CB9" w14:textId="28B0E39C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MSH2</w:t>
            </w:r>
          </w:p>
        </w:tc>
        <w:tc>
          <w:tcPr>
            <w:tcW w:w="1275" w:type="dxa"/>
          </w:tcPr>
          <w:p w14:paraId="65B1EFA5" w14:textId="7A97D45A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PHF6</w:t>
            </w:r>
          </w:p>
        </w:tc>
        <w:tc>
          <w:tcPr>
            <w:tcW w:w="1276" w:type="dxa"/>
          </w:tcPr>
          <w:p w14:paraId="76436FFE" w14:textId="2E5D93B5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SF3B1</w:t>
            </w:r>
          </w:p>
        </w:tc>
        <w:tc>
          <w:tcPr>
            <w:tcW w:w="1276" w:type="dxa"/>
          </w:tcPr>
          <w:p w14:paraId="142C686D" w14:textId="2239A05B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XPC</w:t>
            </w:r>
          </w:p>
        </w:tc>
      </w:tr>
      <w:tr w:rsidR="00CB62C7" w:rsidRPr="006B0014" w14:paraId="1FE6F660" w14:textId="77777777" w:rsidTr="00F37DBA">
        <w:tc>
          <w:tcPr>
            <w:tcW w:w="1101" w:type="dxa"/>
          </w:tcPr>
          <w:p w14:paraId="7A4FE650" w14:textId="7B2DD172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ATM</w:t>
            </w:r>
          </w:p>
        </w:tc>
        <w:tc>
          <w:tcPr>
            <w:tcW w:w="1134" w:type="dxa"/>
          </w:tcPr>
          <w:p w14:paraId="66439441" w14:textId="07DBEE02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CDKN1B</w:t>
            </w:r>
          </w:p>
        </w:tc>
        <w:tc>
          <w:tcPr>
            <w:tcW w:w="1096" w:type="dxa"/>
          </w:tcPr>
          <w:p w14:paraId="499B71EE" w14:textId="6C5D72F9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ERBB3</w:t>
            </w:r>
          </w:p>
        </w:tc>
        <w:tc>
          <w:tcPr>
            <w:tcW w:w="1172" w:type="dxa"/>
          </w:tcPr>
          <w:p w14:paraId="6B6E9C03" w14:textId="49E46321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GATA2</w:t>
            </w:r>
          </w:p>
        </w:tc>
        <w:tc>
          <w:tcPr>
            <w:tcW w:w="1134" w:type="dxa"/>
          </w:tcPr>
          <w:p w14:paraId="0D641628" w14:textId="6A68D96D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JAK2</w:t>
            </w:r>
          </w:p>
        </w:tc>
        <w:tc>
          <w:tcPr>
            <w:tcW w:w="1134" w:type="dxa"/>
          </w:tcPr>
          <w:p w14:paraId="53B2A1C5" w14:textId="18E1C78B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MSH6</w:t>
            </w:r>
          </w:p>
        </w:tc>
        <w:tc>
          <w:tcPr>
            <w:tcW w:w="1275" w:type="dxa"/>
          </w:tcPr>
          <w:p w14:paraId="06F4E6F9" w14:textId="2DBA7E6D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PHLPP1</w:t>
            </w:r>
          </w:p>
        </w:tc>
        <w:tc>
          <w:tcPr>
            <w:tcW w:w="1276" w:type="dxa"/>
          </w:tcPr>
          <w:p w14:paraId="7C4DA137" w14:textId="6E0AC612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SLC7A8</w:t>
            </w:r>
          </w:p>
        </w:tc>
        <w:tc>
          <w:tcPr>
            <w:tcW w:w="1276" w:type="dxa"/>
          </w:tcPr>
          <w:p w14:paraId="492EB51D" w14:textId="17C9866C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ZNF2</w:t>
            </w:r>
          </w:p>
        </w:tc>
      </w:tr>
      <w:tr w:rsidR="00CB62C7" w:rsidRPr="006B0014" w14:paraId="3776D262" w14:textId="77777777" w:rsidTr="00F37DBA">
        <w:tc>
          <w:tcPr>
            <w:tcW w:w="1101" w:type="dxa"/>
          </w:tcPr>
          <w:p w14:paraId="7A86765F" w14:textId="27C90218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ATRX</w:t>
            </w:r>
          </w:p>
        </w:tc>
        <w:tc>
          <w:tcPr>
            <w:tcW w:w="1134" w:type="dxa"/>
          </w:tcPr>
          <w:p w14:paraId="13780EE1" w14:textId="4CC6F619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CDKN2A</w:t>
            </w:r>
          </w:p>
        </w:tc>
        <w:tc>
          <w:tcPr>
            <w:tcW w:w="1096" w:type="dxa"/>
          </w:tcPr>
          <w:p w14:paraId="7FDF84A8" w14:textId="5810B976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ERBB4</w:t>
            </w:r>
          </w:p>
        </w:tc>
        <w:tc>
          <w:tcPr>
            <w:tcW w:w="1172" w:type="dxa"/>
          </w:tcPr>
          <w:p w14:paraId="3CF126B4" w14:textId="3D60E956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GATA3</w:t>
            </w:r>
          </w:p>
        </w:tc>
        <w:tc>
          <w:tcPr>
            <w:tcW w:w="1134" w:type="dxa"/>
          </w:tcPr>
          <w:p w14:paraId="0A66A308" w14:textId="536A1D50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JAK3</w:t>
            </w:r>
          </w:p>
        </w:tc>
        <w:tc>
          <w:tcPr>
            <w:tcW w:w="1134" w:type="dxa"/>
          </w:tcPr>
          <w:p w14:paraId="1E892301" w14:textId="2888884D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MTOR</w:t>
            </w:r>
          </w:p>
        </w:tc>
        <w:tc>
          <w:tcPr>
            <w:tcW w:w="1275" w:type="dxa"/>
          </w:tcPr>
          <w:p w14:paraId="0E10A094" w14:textId="6690EDA4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PIK3CA</w:t>
            </w:r>
          </w:p>
        </w:tc>
        <w:tc>
          <w:tcPr>
            <w:tcW w:w="1276" w:type="dxa"/>
          </w:tcPr>
          <w:p w14:paraId="2EECFE9F" w14:textId="7BD77168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SMAD4</w:t>
            </w:r>
          </w:p>
        </w:tc>
        <w:tc>
          <w:tcPr>
            <w:tcW w:w="1276" w:type="dxa"/>
          </w:tcPr>
          <w:p w14:paraId="54F0DDB9" w14:textId="29369C07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ZRSR2</w:t>
            </w:r>
          </w:p>
        </w:tc>
      </w:tr>
      <w:tr w:rsidR="00CB62C7" w:rsidRPr="006B0014" w14:paraId="6497D61E" w14:textId="77777777" w:rsidTr="00F37DBA">
        <w:tc>
          <w:tcPr>
            <w:tcW w:w="1101" w:type="dxa"/>
          </w:tcPr>
          <w:p w14:paraId="6471BAB6" w14:textId="656219F9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BAP1</w:t>
            </w:r>
          </w:p>
        </w:tc>
        <w:tc>
          <w:tcPr>
            <w:tcW w:w="1134" w:type="dxa"/>
          </w:tcPr>
          <w:p w14:paraId="7A14D266" w14:textId="1DE09BD5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CHD1</w:t>
            </w:r>
          </w:p>
        </w:tc>
        <w:tc>
          <w:tcPr>
            <w:tcW w:w="1096" w:type="dxa"/>
          </w:tcPr>
          <w:p w14:paraId="0BD87DAE" w14:textId="14A7B937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ERCC5</w:t>
            </w:r>
          </w:p>
        </w:tc>
        <w:tc>
          <w:tcPr>
            <w:tcW w:w="1172" w:type="dxa"/>
          </w:tcPr>
          <w:p w14:paraId="0B5A41F9" w14:textId="796F496E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GNA11</w:t>
            </w:r>
          </w:p>
        </w:tc>
        <w:tc>
          <w:tcPr>
            <w:tcW w:w="1134" w:type="dxa"/>
          </w:tcPr>
          <w:p w14:paraId="20A1A50E" w14:textId="28F3636D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KDM6A</w:t>
            </w:r>
          </w:p>
        </w:tc>
        <w:tc>
          <w:tcPr>
            <w:tcW w:w="1134" w:type="dxa"/>
          </w:tcPr>
          <w:p w14:paraId="7445DB61" w14:textId="6934C578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MUTYH</w:t>
            </w:r>
          </w:p>
        </w:tc>
        <w:tc>
          <w:tcPr>
            <w:tcW w:w="1275" w:type="dxa"/>
          </w:tcPr>
          <w:p w14:paraId="36FE1B83" w14:textId="60F9A8CF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PIK3CB</w:t>
            </w:r>
          </w:p>
        </w:tc>
        <w:tc>
          <w:tcPr>
            <w:tcW w:w="1276" w:type="dxa"/>
          </w:tcPr>
          <w:p w14:paraId="4D72536B" w14:textId="4908B4BE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SMARCA4</w:t>
            </w:r>
          </w:p>
        </w:tc>
        <w:tc>
          <w:tcPr>
            <w:tcW w:w="1276" w:type="dxa"/>
          </w:tcPr>
          <w:p w14:paraId="35F7201D" w14:textId="77777777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</w:p>
        </w:tc>
      </w:tr>
      <w:tr w:rsidR="00CB62C7" w:rsidRPr="006B0014" w14:paraId="3507596D" w14:textId="77777777" w:rsidTr="00F37DBA">
        <w:tc>
          <w:tcPr>
            <w:tcW w:w="1101" w:type="dxa"/>
          </w:tcPr>
          <w:p w14:paraId="2FFE3815" w14:textId="7F8B5BB1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BCL6</w:t>
            </w:r>
          </w:p>
        </w:tc>
        <w:tc>
          <w:tcPr>
            <w:tcW w:w="1134" w:type="dxa"/>
          </w:tcPr>
          <w:p w14:paraId="46BA48C8" w14:textId="1E5E2C92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CHEK2</w:t>
            </w:r>
          </w:p>
        </w:tc>
        <w:tc>
          <w:tcPr>
            <w:tcW w:w="1096" w:type="dxa"/>
          </w:tcPr>
          <w:p w14:paraId="7387019C" w14:textId="01792230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ESR1</w:t>
            </w:r>
          </w:p>
        </w:tc>
        <w:tc>
          <w:tcPr>
            <w:tcW w:w="1172" w:type="dxa"/>
          </w:tcPr>
          <w:p w14:paraId="1D55BF86" w14:textId="4A9962C7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GNAQ</w:t>
            </w:r>
          </w:p>
        </w:tc>
        <w:tc>
          <w:tcPr>
            <w:tcW w:w="1134" w:type="dxa"/>
          </w:tcPr>
          <w:p w14:paraId="7DA14946" w14:textId="1C3A0C84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KDR</w:t>
            </w:r>
          </w:p>
        </w:tc>
        <w:tc>
          <w:tcPr>
            <w:tcW w:w="1134" w:type="dxa"/>
          </w:tcPr>
          <w:p w14:paraId="2F84FB37" w14:textId="79DE88D8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MYC</w:t>
            </w:r>
          </w:p>
        </w:tc>
        <w:tc>
          <w:tcPr>
            <w:tcW w:w="1275" w:type="dxa"/>
          </w:tcPr>
          <w:p w14:paraId="1BA63F54" w14:textId="64CDED2E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PIK3CD</w:t>
            </w:r>
          </w:p>
        </w:tc>
        <w:tc>
          <w:tcPr>
            <w:tcW w:w="1276" w:type="dxa"/>
          </w:tcPr>
          <w:p w14:paraId="53D844E5" w14:textId="463603A0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SMARCB1</w:t>
            </w:r>
          </w:p>
        </w:tc>
        <w:tc>
          <w:tcPr>
            <w:tcW w:w="1276" w:type="dxa"/>
          </w:tcPr>
          <w:p w14:paraId="2AD7D4B1" w14:textId="77777777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</w:p>
        </w:tc>
      </w:tr>
      <w:tr w:rsidR="00CB62C7" w:rsidRPr="006B0014" w14:paraId="40FE07E0" w14:textId="77777777" w:rsidTr="00F37DBA">
        <w:tc>
          <w:tcPr>
            <w:tcW w:w="1101" w:type="dxa"/>
          </w:tcPr>
          <w:p w14:paraId="75FE7D3E" w14:textId="20498745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BCOR</w:t>
            </w:r>
          </w:p>
        </w:tc>
        <w:tc>
          <w:tcPr>
            <w:tcW w:w="1134" w:type="dxa"/>
          </w:tcPr>
          <w:p w14:paraId="3F179AC6" w14:textId="1B5170B9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CIC</w:t>
            </w:r>
          </w:p>
        </w:tc>
        <w:tc>
          <w:tcPr>
            <w:tcW w:w="1096" w:type="dxa"/>
          </w:tcPr>
          <w:p w14:paraId="07998376" w14:textId="1F214F8D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EZH2</w:t>
            </w:r>
          </w:p>
        </w:tc>
        <w:tc>
          <w:tcPr>
            <w:tcW w:w="1172" w:type="dxa"/>
          </w:tcPr>
          <w:p w14:paraId="2754FE11" w14:textId="02B73C85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GNAS</w:t>
            </w:r>
          </w:p>
        </w:tc>
        <w:tc>
          <w:tcPr>
            <w:tcW w:w="1134" w:type="dxa"/>
          </w:tcPr>
          <w:p w14:paraId="02A38E7F" w14:textId="79FED51A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KIT</w:t>
            </w:r>
          </w:p>
        </w:tc>
        <w:tc>
          <w:tcPr>
            <w:tcW w:w="1134" w:type="dxa"/>
          </w:tcPr>
          <w:p w14:paraId="579E5A14" w14:textId="7FBFBDBA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MYD88</w:t>
            </w:r>
          </w:p>
        </w:tc>
        <w:tc>
          <w:tcPr>
            <w:tcW w:w="1275" w:type="dxa"/>
          </w:tcPr>
          <w:p w14:paraId="70F29718" w14:textId="4B10F1B3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PIK3R1</w:t>
            </w:r>
          </w:p>
        </w:tc>
        <w:tc>
          <w:tcPr>
            <w:tcW w:w="1276" w:type="dxa"/>
          </w:tcPr>
          <w:p w14:paraId="259B5ECB" w14:textId="3389BD75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SMO</w:t>
            </w:r>
          </w:p>
        </w:tc>
        <w:tc>
          <w:tcPr>
            <w:tcW w:w="1276" w:type="dxa"/>
          </w:tcPr>
          <w:p w14:paraId="54905AF3" w14:textId="77777777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</w:p>
        </w:tc>
      </w:tr>
      <w:tr w:rsidR="00CB62C7" w:rsidRPr="006B0014" w14:paraId="09EA3730" w14:textId="77777777" w:rsidTr="00F37DBA">
        <w:tc>
          <w:tcPr>
            <w:tcW w:w="1101" w:type="dxa"/>
          </w:tcPr>
          <w:p w14:paraId="6C80EFEB" w14:textId="3FD7202F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BRAF</w:t>
            </w:r>
          </w:p>
        </w:tc>
        <w:tc>
          <w:tcPr>
            <w:tcW w:w="1134" w:type="dxa"/>
          </w:tcPr>
          <w:p w14:paraId="2980F884" w14:textId="7B12CD0D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CREBBP</w:t>
            </w:r>
          </w:p>
        </w:tc>
        <w:tc>
          <w:tcPr>
            <w:tcW w:w="1096" w:type="dxa"/>
          </w:tcPr>
          <w:p w14:paraId="53CABA64" w14:textId="5BF58BF8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FAM46C</w:t>
            </w:r>
          </w:p>
        </w:tc>
        <w:tc>
          <w:tcPr>
            <w:tcW w:w="1172" w:type="dxa"/>
          </w:tcPr>
          <w:p w14:paraId="235D7163" w14:textId="66130517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GPC3</w:t>
            </w:r>
          </w:p>
        </w:tc>
        <w:tc>
          <w:tcPr>
            <w:tcW w:w="1134" w:type="dxa"/>
          </w:tcPr>
          <w:p w14:paraId="52D39B63" w14:textId="40424CA4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KLF6</w:t>
            </w:r>
          </w:p>
        </w:tc>
        <w:tc>
          <w:tcPr>
            <w:tcW w:w="1134" w:type="dxa"/>
          </w:tcPr>
          <w:p w14:paraId="1AFCF631" w14:textId="215973E4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NF1</w:t>
            </w:r>
          </w:p>
        </w:tc>
        <w:tc>
          <w:tcPr>
            <w:tcW w:w="1275" w:type="dxa"/>
          </w:tcPr>
          <w:p w14:paraId="757D6561" w14:textId="641540C2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PIK3R2</w:t>
            </w:r>
          </w:p>
        </w:tc>
        <w:tc>
          <w:tcPr>
            <w:tcW w:w="1276" w:type="dxa"/>
          </w:tcPr>
          <w:p w14:paraId="66A72130" w14:textId="5ADEE1D0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SPOP</w:t>
            </w:r>
          </w:p>
        </w:tc>
        <w:tc>
          <w:tcPr>
            <w:tcW w:w="1276" w:type="dxa"/>
          </w:tcPr>
          <w:p w14:paraId="34B11E75" w14:textId="77777777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</w:p>
        </w:tc>
      </w:tr>
      <w:tr w:rsidR="00CB62C7" w:rsidRPr="006B0014" w14:paraId="1BB7E087" w14:textId="77777777" w:rsidTr="00F37DBA">
        <w:tc>
          <w:tcPr>
            <w:tcW w:w="1101" w:type="dxa"/>
          </w:tcPr>
          <w:p w14:paraId="7953E741" w14:textId="3AFA74CE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BRCA1</w:t>
            </w:r>
          </w:p>
        </w:tc>
        <w:tc>
          <w:tcPr>
            <w:tcW w:w="1134" w:type="dxa"/>
          </w:tcPr>
          <w:p w14:paraId="22DB9902" w14:textId="64571022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CRLF2</w:t>
            </w:r>
          </w:p>
        </w:tc>
        <w:tc>
          <w:tcPr>
            <w:tcW w:w="1096" w:type="dxa"/>
          </w:tcPr>
          <w:p w14:paraId="5D89A6E2" w14:textId="760793D3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FANCA</w:t>
            </w:r>
          </w:p>
        </w:tc>
        <w:tc>
          <w:tcPr>
            <w:tcW w:w="1172" w:type="dxa"/>
          </w:tcPr>
          <w:p w14:paraId="04D41F0C" w14:textId="46D4A036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GRIN2A</w:t>
            </w:r>
          </w:p>
        </w:tc>
        <w:tc>
          <w:tcPr>
            <w:tcW w:w="1134" w:type="dxa"/>
          </w:tcPr>
          <w:p w14:paraId="58B7B4E6" w14:textId="4A8315B4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KMT2D</w:t>
            </w:r>
          </w:p>
        </w:tc>
        <w:tc>
          <w:tcPr>
            <w:tcW w:w="1134" w:type="dxa"/>
          </w:tcPr>
          <w:p w14:paraId="1AA3B579" w14:textId="311C2F90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NF2</w:t>
            </w:r>
          </w:p>
        </w:tc>
        <w:tc>
          <w:tcPr>
            <w:tcW w:w="1275" w:type="dxa"/>
          </w:tcPr>
          <w:p w14:paraId="1575953D" w14:textId="1E623F6D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PMS2</w:t>
            </w:r>
          </w:p>
        </w:tc>
        <w:tc>
          <w:tcPr>
            <w:tcW w:w="1276" w:type="dxa"/>
          </w:tcPr>
          <w:p w14:paraId="5AEAF410" w14:textId="09C80E72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SRC</w:t>
            </w:r>
          </w:p>
        </w:tc>
        <w:tc>
          <w:tcPr>
            <w:tcW w:w="1276" w:type="dxa"/>
          </w:tcPr>
          <w:p w14:paraId="02A1FEC8" w14:textId="77777777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</w:p>
        </w:tc>
      </w:tr>
      <w:tr w:rsidR="00CB62C7" w:rsidRPr="006B0014" w14:paraId="69852D59" w14:textId="77777777" w:rsidTr="00F37DBA">
        <w:tc>
          <w:tcPr>
            <w:tcW w:w="1101" w:type="dxa"/>
          </w:tcPr>
          <w:p w14:paraId="782D526A" w14:textId="355FD27C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BRCA2</w:t>
            </w:r>
          </w:p>
        </w:tc>
        <w:tc>
          <w:tcPr>
            <w:tcW w:w="1134" w:type="dxa"/>
          </w:tcPr>
          <w:p w14:paraId="7DBFA643" w14:textId="216CC1E4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CSF1R</w:t>
            </w:r>
          </w:p>
        </w:tc>
        <w:tc>
          <w:tcPr>
            <w:tcW w:w="1096" w:type="dxa"/>
          </w:tcPr>
          <w:p w14:paraId="3C5A5EFD" w14:textId="1BBF0F60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FANCD2</w:t>
            </w:r>
          </w:p>
        </w:tc>
        <w:tc>
          <w:tcPr>
            <w:tcW w:w="1172" w:type="dxa"/>
          </w:tcPr>
          <w:p w14:paraId="71FAD31E" w14:textId="6358201B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H3F3A</w:t>
            </w:r>
          </w:p>
        </w:tc>
        <w:tc>
          <w:tcPr>
            <w:tcW w:w="1134" w:type="dxa"/>
          </w:tcPr>
          <w:p w14:paraId="3E82237B" w14:textId="21E48A56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KRAS</w:t>
            </w:r>
          </w:p>
        </w:tc>
        <w:tc>
          <w:tcPr>
            <w:tcW w:w="1134" w:type="dxa"/>
          </w:tcPr>
          <w:p w14:paraId="2197E9A5" w14:textId="5522BF92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NFE2L2</w:t>
            </w:r>
          </w:p>
        </w:tc>
        <w:tc>
          <w:tcPr>
            <w:tcW w:w="1275" w:type="dxa"/>
          </w:tcPr>
          <w:p w14:paraId="5BEB2F1D" w14:textId="3A27F01F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PPP2R1A</w:t>
            </w:r>
          </w:p>
        </w:tc>
        <w:tc>
          <w:tcPr>
            <w:tcW w:w="1276" w:type="dxa"/>
          </w:tcPr>
          <w:p w14:paraId="687B5302" w14:textId="132B938C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STK11</w:t>
            </w:r>
          </w:p>
        </w:tc>
        <w:tc>
          <w:tcPr>
            <w:tcW w:w="1276" w:type="dxa"/>
          </w:tcPr>
          <w:p w14:paraId="5E2C6E02" w14:textId="77777777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</w:p>
        </w:tc>
      </w:tr>
      <w:tr w:rsidR="00CB62C7" w:rsidRPr="006B0014" w14:paraId="685F86AF" w14:textId="77777777" w:rsidTr="00F37DBA">
        <w:tc>
          <w:tcPr>
            <w:tcW w:w="1101" w:type="dxa"/>
          </w:tcPr>
          <w:p w14:paraId="35299B61" w14:textId="381ABC1C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BRIP1</w:t>
            </w:r>
          </w:p>
        </w:tc>
        <w:tc>
          <w:tcPr>
            <w:tcW w:w="1134" w:type="dxa"/>
          </w:tcPr>
          <w:p w14:paraId="183AAF3C" w14:textId="640EA8C0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CTNNB1</w:t>
            </w:r>
          </w:p>
        </w:tc>
        <w:tc>
          <w:tcPr>
            <w:tcW w:w="1096" w:type="dxa"/>
          </w:tcPr>
          <w:p w14:paraId="1E613FDB" w14:textId="0BBD83F6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FANCE</w:t>
            </w:r>
          </w:p>
        </w:tc>
        <w:tc>
          <w:tcPr>
            <w:tcW w:w="1172" w:type="dxa"/>
          </w:tcPr>
          <w:p w14:paraId="13DB6ABC" w14:textId="23E6ABC3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HIST1H3B</w:t>
            </w:r>
          </w:p>
        </w:tc>
        <w:tc>
          <w:tcPr>
            <w:tcW w:w="1134" w:type="dxa"/>
          </w:tcPr>
          <w:p w14:paraId="639A6E49" w14:textId="579BC6F4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KTM2C (MLL3)</w:t>
            </w:r>
          </w:p>
        </w:tc>
        <w:tc>
          <w:tcPr>
            <w:tcW w:w="1134" w:type="dxa"/>
          </w:tcPr>
          <w:p w14:paraId="3685C501" w14:textId="6C27FD06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NFKBIA</w:t>
            </w:r>
          </w:p>
        </w:tc>
        <w:tc>
          <w:tcPr>
            <w:tcW w:w="1275" w:type="dxa"/>
          </w:tcPr>
          <w:p w14:paraId="44E39313" w14:textId="29339F98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PRDM1</w:t>
            </w:r>
          </w:p>
        </w:tc>
        <w:tc>
          <w:tcPr>
            <w:tcW w:w="1276" w:type="dxa"/>
          </w:tcPr>
          <w:p w14:paraId="698E2654" w14:textId="64B51D22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SUFU</w:t>
            </w:r>
          </w:p>
        </w:tc>
        <w:tc>
          <w:tcPr>
            <w:tcW w:w="1276" w:type="dxa"/>
          </w:tcPr>
          <w:p w14:paraId="0D6149F9" w14:textId="77777777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</w:p>
        </w:tc>
      </w:tr>
      <w:tr w:rsidR="00CB62C7" w:rsidRPr="006B0014" w14:paraId="6CFD33E1" w14:textId="77777777" w:rsidTr="00F37DBA">
        <w:tc>
          <w:tcPr>
            <w:tcW w:w="1101" w:type="dxa"/>
          </w:tcPr>
          <w:p w14:paraId="33BECE60" w14:textId="74AF4893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BTK</w:t>
            </w:r>
          </w:p>
        </w:tc>
        <w:tc>
          <w:tcPr>
            <w:tcW w:w="1134" w:type="dxa"/>
          </w:tcPr>
          <w:p w14:paraId="3A001ACF" w14:textId="03801768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CYLD</w:t>
            </w:r>
          </w:p>
        </w:tc>
        <w:tc>
          <w:tcPr>
            <w:tcW w:w="1096" w:type="dxa"/>
          </w:tcPr>
          <w:p w14:paraId="31113A30" w14:textId="007C1CAF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FAS</w:t>
            </w:r>
          </w:p>
        </w:tc>
        <w:tc>
          <w:tcPr>
            <w:tcW w:w="1172" w:type="dxa"/>
          </w:tcPr>
          <w:p w14:paraId="7CF205BF" w14:textId="34650E69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HNF1A</w:t>
            </w:r>
          </w:p>
        </w:tc>
        <w:tc>
          <w:tcPr>
            <w:tcW w:w="1134" w:type="dxa"/>
          </w:tcPr>
          <w:p w14:paraId="6BD36712" w14:textId="58030491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MAP2K1</w:t>
            </w:r>
          </w:p>
        </w:tc>
        <w:tc>
          <w:tcPr>
            <w:tcW w:w="1134" w:type="dxa"/>
          </w:tcPr>
          <w:p w14:paraId="282612F4" w14:textId="06D31DB9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NKX3-1</w:t>
            </w:r>
          </w:p>
        </w:tc>
        <w:tc>
          <w:tcPr>
            <w:tcW w:w="1275" w:type="dxa"/>
          </w:tcPr>
          <w:p w14:paraId="57B1E664" w14:textId="3C7E44E3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PRKAR1A</w:t>
            </w:r>
          </w:p>
        </w:tc>
        <w:tc>
          <w:tcPr>
            <w:tcW w:w="1276" w:type="dxa"/>
          </w:tcPr>
          <w:p w14:paraId="5EE07CAB" w14:textId="53259AEB" w:rsidR="009D2ABF" w:rsidRPr="006B0014" w:rsidRDefault="00CB62C7" w:rsidP="00CB62C7">
            <w:pPr>
              <w:spacing w:before="240" w:line="240" w:lineRule="auto"/>
              <w:rPr>
                <w:sz w:val="20"/>
                <w:szCs w:val="20"/>
              </w:rPr>
            </w:pPr>
            <w:r w:rsidRPr="006B0014">
              <w:rPr>
                <w:sz w:val="20"/>
                <w:szCs w:val="20"/>
              </w:rPr>
              <w:t>TERT</w:t>
            </w:r>
          </w:p>
        </w:tc>
        <w:tc>
          <w:tcPr>
            <w:tcW w:w="1276" w:type="dxa"/>
          </w:tcPr>
          <w:p w14:paraId="651B8D00" w14:textId="77777777" w:rsidR="009D2ABF" w:rsidRPr="006B0014" w:rsidRDefault="009D2ABF" w:rsidP="00CB62C7">
            <w:pPr>
              <w:spacing w:before="240" w:line="240" w:lineRule="auto"/>
              <w:rPr>
                <w:sz w:val="20"/>
                <w:szCs w:val="20"/>
              </w:rPr>
            </w:pPr>
          </w:p>
        </w:tc>
      </w:tr>
    </w:tbl>
    <w:p w14:paraId="48BEDBDF" w14:textId="77777777" w:rsidR="009D2ABF" w:rsidRPr="006B0014" w:rsidRDefault="009D2ABF" w:rsidP="009D2ABF"/>
    <w:p w14:paraId="6EE6F071" w14:textId="77777777" w:rsidR="0006139F" w:rsidRPr="006B0014" w:rsidRDefault="0006139F" w:rsidP="0006139F"/>
    <w:p w14:paraId="3881058E" w14:textId="77777777" w:rsidR="009D2ABF" w:rsidRPr="006B0014" w:rsidRDefault="009D2ABF">
      <w:pPr>
        <w:spacing w:line="240" w:lineRule="auto"/>
        <w:rPr>
          <w:rFonts w:eastAsiaTheme="majorEastAsia" w:cstheme="majorBidi"/>
          <w:b/>
          <w:sz w:val="24"/>
          <w:szCs w:val="24"/>
        </w:rPr>
      </w:pPr>
      <w:r w:rsidRPr="006B0014">
        <w:br w:type="page"/>
      </w:r>
    </w:p>
    <w:p w14:paraId="7F11BB1B" w14:textId="77777777" w:rsidR="004E55EB" w:rsidRPr="006B0014" w:rsidRDefault="004E55EB" w:rsidP="00F64093">
      <w:pPr>
        <w:ind w:left="91"/>
        <w:rPr>
          <w:rFonts w:cs="Arial"/>
        </w:rPr>
        <w:sectPr w:rsidR="004E55EB" w:rsidRPr="006B0014" w:rsidSect="0030006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266EEA" w14:textId="346A5A0B" w:rsidR="008D14F0" w:rsidRPr="008F4815" w:rsidRDefault="008D14F0" w:rsidP="008D14F0">
      <w:pPr>
        <w:pStyle w:val="Heading3"/>
      </w:pPr>
      <w:r w:rsidRPr="00074C46">
        <w:lastRenderedPageBreak/>
        <w:t>Supplementary Table 3: Summary of AEs occurring in &gt;20% of all patients, treatment-related AEs and SAEs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19"/>
        <w:gridCol w:w="1774"/>
        <w:gridCol w:w="1991"/>
        <w:gridCol w:w="1312"/>
        <w:gridCol w:w="1312"/>
        <w:gridCol w:w="1333"/>
        <w:gridCol w:w="1387"/>
        <w:gridCol w:w="1332"/>
      </w:tblGrid>
      <w:tr w:rsidR="008D14F0" w:rsidRPr="008F4815" w14:paraId="569680ED" w14:textId="77777777" w:rsidTr="00AF0A17"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9DAC7" w14:textId="77777777" w:rsidR="008D14F0" w:rsidRPr="008F4815" w:rsidRDefault="008D14F0" w:rsidP="00AF0A17">
            <w:pPr>
              <w:spacing w:line="360" w:lineRule="auto"/>
              <w:rPr>
                <w:rFonts w:cs="Arial"/>
                <w:b/>
              </w:rPr>
            </w:pPr>
            <w:r w:rsidRPr="008F4815">
              <w:rPr>
                <w:rFonts w:cs="Arial"/>
                <w:b/>
              </w:rPr>
              <w:t>Preferred term, n (%)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CAE0FB" w14:textId="190D2417" w:rsidR="008D14F0" w:rsidRPr="008F4815" w:rsidRDefault="008D14F0">
            <w:pPr>
              <w:spacing w:line="360" w:lineRule="auto"/>
              <w:jc w:val="center"/>
              <w:rPr>
                <w:rFonts w:cs="Arial"/>
                <w:b/>
              </w:rPr>
            </w:pPr>
            <w:r w:rsidRPr="008F4815">
              <w:rPr>
                <w:rFonts w:cs="Arial"/>
                <w:b/>
              </w:rPr>
              <w:t>Dose</w:t>
            </w:r>
            <w:r w:rsidR="00D45D12">
              <w:rPr>
                <w:rFonts w:cs="Arial"/>
                <w:b/>
              </w:rPr>
              <w:t>-</w:t>
            </w:r>
            <w:r w:rsidRPr="008F4815">
              <w:rPr>
                <w:rFonts w:cs="Arial"/>
                <w:b/>
              </w:rPr>
              <w:t>selection cohort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5CB1D" w14:textId="282E3989" w:rsidR="008D14F0" w:rsidRPr="008F4815" w:rsidRDefault="008D14F0">
            <w:pPr>
              <w:spacing w:line="360" w:lineRule="auto"/>
              <w:jc w:val="center"/>
              <w:rPr>
                <w:rFonts w:cs="Arial"/>
                <w:b/>
              </w:rPr>
            </w:pPr>
            <w:r w:rsidRPr="008F4815">
              <w:rPr>
                <w:rFonts w:cs="Arial"/>
                <w:b/>
              </w:rPr>
              <w:t>Dose</w:t>
            </w:r>
            <w:r w:rsidR="00D45D12">
              <w:rPr>
                <w:rFonts w:cs="Arial"/>
                <w:b/>
              </w:rPr>
              <w:t>-</w:t>
            </w:r>
            <w:r w:rsidRPr="008F4815">
              <w:rPr>
                <w:rFonts w:cs="Arial"/>
                <w:b/>
              </w:rPr>
              <w:t>escalation cohort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DC76A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F4815">
              <w:rPr>
                <w:rFonts w:cs="Arial"/>
                <w:b/>
              </w:rPr>
              <w:t>PD cohort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0809F8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F4815">
              <w:rPr>
                <w:rFonts w:cs="Arial"/>
                <w:b/>
              </w:rPr>
              <w:t>Expansion cohort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34E7B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F4815">
              <w:rPr>
                <w:rFonts w:cs="Arial"/>
                <w:b/>
              </w:rPr>
              <w:t>Total</w:t>
            </w:r>
          </w:p>
        </w:tc>
      </w:tr>
      <w:tr w:rsidR="008D14F0" w:rsidRPr="008F4815" w14:paraId="55ED2746" w14:textId="77777777" w:rsidTr="00AF0A17"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CDF6F" w14:textId="77777777" w:rsidR="008D14F0" w:rsidRPr="008F4815" w:rsidRDefault="008D14F0" w:rsidP="00AF0A17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748F46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F4815">
              <w:rPr>
                <w:rFonts w:cs="Arial"/>
                <w:b/>
              </w:rPr>
              <w:t>25 mg</w:t>
            </w:r>
          </w:p>
          <w:p w14:paraId="0CA94421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F4815">
              <w:rPr>
                <w:rFonts w:cs="Arial"/>
                <w:b/>
              </w:rPr>
              <w:t>n=3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75558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F4815">
              <w:rPr>
                <w:rFonts w:cs="Arial"/>
                <w:b/>
              </w:rPr>
              <w:t>25–350 mg</w:t>
            </w:r>
          </w:p>
          <w:p w14:paraId="3281E304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F4815">
              <w:rPr>
                <w:rFonts w:cs="Arial"/>
                <w:b/>
              </w:rPr>
              <w:t>n=23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EEE652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F4815">
              <w:rPr>
                <w:rFonts w:cs="Arial"/>
                <w:b/>
              </w:rPr>
              <w:t>400 mg</w:t>
            </w:r>
          </w:p>
          <w:p w14:paraId="5706B7C5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F4815">
              <w:rPr>
                <w:rFonts w:cs="Arial"/>
                <w:b/>
              </w:rPr>
              <w:t>n=6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4F48E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F4815">
              <w:rPr>
                <w:rFonts w:cs="Arial"/>
                <w:b/>
              </w:rPr>
              <w:t>500 mg</w:t>
            </w:r>
          </w:p>
          <w:p w14:paraId="19E6CC52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F4815">
              <w:rPr>
                <w:rFonts w:cs="Arial"/>
                <w:b/>
              </w:rPr>
              <w:t>n=4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92C5F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F4815">
              <w:rPr>
                <w:rFonts w:cs="Arial"/>
                <w:b/>
              </w:rPr>
              <w:t>50–350 mg</w:t>
            </w:r>
          </w:p>
          <w:p w14:paraId="1A681666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F4815">
              <w:rPr>
                <w:rFonts w:cs="Arial"/>
                <w:b/>
              </w:rPr>
              <w:t>n=17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301163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F4815">
              <w:rPr>
                <w:rFonts w:cs="Arial"/>
                <w:b/>
              </w:rPr>
              <w:t>400 mg</w:t>
            </w:r>
          </w:p>
          <w:p w14:paraId="1D17BDA3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F4815">
              <w:rPr>
                <w:rFonts w:cs="Arial"/>
                <w:b/>
              </w:rPr>
              <w:t>n=12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2D24F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  <w:b/>
              </w:rPr>
            </w:pPr>
          </w:p>
          <w:p w14:paraId="5CDAEE19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F4815">
              <w:rPr>
                <w:rFonts w:cs="Arial"/>
                <w:b/>
              </w:rPr>
              <w:t>(N=65)</w:t>
            </w:r>
          </w:p>
        </w:tc>
      </w:tr>
      <w:tr w:rsidR="008D14F0" w:rsidRPr="008F4815" w14:paraId="27762834" w14:textId="77777777" w:rsidTr="00AF0A17"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087B61" w14:textId="1061F292" w:rsidR="008D14F0" w:rsidRPr="008F4815" w:rsidRDefault="008D14F0">
            <w:pPr>
              <w:spacing w:line="360" w:lineRule="auto"/>
              <w:rPr>
                <w:rFonts w:cs="Arial"/>
                <w:b/>
              </w:rPr>
            </w:pPr>
            <w:r w:rsidRPr="008F4815">
              <w:rPr>
                <w:rFonts w:cs="Arial"/>
                <w:b/>
              </w:rPr>
              <w:t xml:space="preserve">Any AE (any </w:t>
            </w:r>
            <w:r w:rsidR="00493FE7">
              <w:rPr>
                <w:rFonts w:cs="Arial"/>
                <w:b/>
              </w:rPr>
              <w:t>g</w:t>
            </w:r>
            <w:r w:rsidR="00493FE7" w:rsidRPr="008F4815">
              <w:rPr>
                <w:rFonts w:cs="Arial"/>
                <w:b/>
              </w:rPr>
              <w:t>rade</w:t>
            </w:r>
            <w:r w:rsidRPr="008F4815">
              <w:rPr>
                <w:rFonts w:cs="Arial"/>
                <w:b/>
              </w:rPr>
              <w:t>)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1EEA4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3 (100)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CB81C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23 (100)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8FDC4C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6 (100)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30614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4 (100)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0D2F7E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17 (100)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E3C2ED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12 (100)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B9C2E2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65 (100)</w:t>
            </w:r>
          </w:p>
        </w:tc>
      </w:tr>
      <w:tr w:rsidR="008D14F0" w:rsidRPr="008F4815" w14:paraId="290DB9B4" w14:textId="77777777" w:rsidTr="00AF0A17"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7AF10D08" w14:textId="77777777" w:rsidR="008D14F0" w:rsidRPr="008F4815" w:rsidRDefault="008D14F0" w:rsidP="00AF0A17">
            <w:pPr>
              <w:spacing w:line="360" w:lineRule="auto"/>
              <w:rPr>
                <w:rFonts w:cs="Arial"/>
              </w:rPr>
            </w:pPr>
            <w:r w:rsidRPr="008F4815">
              <w:rPr>
                <w:rFonts w:cs="Arial"/>
              </w:rPr>
              <w:t xml:space="preserve">   Diarrhea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0C8DEA50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1 (33)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14:paraId="3B62C306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11 (48)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6E08D5A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1 (17)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F9B9D2B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1 (25)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FE974E8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9 (53)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A36AC8B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Pr="008F4815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67</w:t>
            </w:r>
            <w:r w:rsidRPr="008F4815">
              <w:rPr>
                <w:rFonts w:cs="Arial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E86162D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31</w:t>
            </w:r>
            <w:r w:rsidRPr="008F4815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48</w:t>
            </w:r>
            <w:r w:rsidRPr="008F4815">
              <w:rPr>
                <w:rFonts w:cs="Arial"/>
              </w:rPr>
              <w:t>)</w:t>
            </w:r>
          </w:p>
        </w:tc>
      </w:tr>
      <w:tr w:rsidR="008D14F0" w:rsidRPr="008F4815" w14:paraId="1052A942" w14:textId="77777777" w:rsidTr="00AF0A17"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0E9A03E3" w14:textId="77777777" w:rsidR="008D14F0" w:rsidRPr="008F4815" w:rsidRDefault="008D14F0" w:rsidP="00AF0A17">
            <w:pPr>
              <w:spacing w:line="360" w:lineRule="auto"/>
              <w:rPr>
                <w:rFonts w:cs="Arial"/>
              </w:rPr>
            </w:pPr>
            <w:r w:rsidRPr="008F4815">
              <w:rPr>
                <w:rFonts w:cs="Arial"/>
              </w:rPr>
              <w:t xml:space="preserve">   Nausea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4593D89B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2 (67)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14:paraId="53E9948A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9 (39)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2F450FE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2 (33)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1D3F877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2 (50)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BEFBF0E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7 (41)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7813D0D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5 (42)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40FE1B5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27 (41)</w:t>
            </w:r>
          </w:p>
        </w:tc>
      </w:tr>
      <w:tr w:rsidR="008D14F0" w:rsidRPr="008F4815" w14:paraId="769F9045" w14:textId="77777777" w:rsidTr="00AF0A17"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4E340DE9" w14:textId="77777777" w:rsidR="008D14F0" w:rsidRPr="008F4815" w:rsidRDefault="008D14F0" w:rsidP="00AF0A17">
            <w:pPr>
              <w:spacing w:line="360" w:lineRule="auto"/>
              <w:rPr>
                <w:rFonts w:cs="Arial"/>
              </w:rPr>
            </w:pPr>
            <w:r w:rsidRPr="008F4815">
              <w:rPr>
                <w:rFonts w:cs="Arial"/>
              </w:rPr>
              <w:t xml:space="preserve">   Vomiting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3E0681AE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1 (33)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14:paraId="1AA9C87B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9 (39)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E7CC91B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1 (17)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43C1A61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1 (25)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0CCC198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6 (35)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A2BD390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2 (17)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E601201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20 (31)</w:t>
            </w:r>
          </w:p>
        </w:tc>
      </w:tr>
      <w:tr w:rsidR="008D14F0" w:rsidRPr="008F4815" w14:paraId="22EB0F80" w14:textId="77777777" w:rsidTr="00AF0A17"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626E9416" w14:textId="77777777" w:rsidR="008D14F0" w:rsidRPr="008F4815" w:rsidRDefault="008D14F0" w:rsidP="00AF0A17">
            <w:pPr>
              <w:spacing w:line="360" w:lineRule="auto"/>
              <w:rPr>
                <w:rFonts w:cs="Arial"/>
              </w:rPr>
            </w:pPr>
            <w:r w:rsidRPr="008F4815">
              <w:rPr>
                <w:rFonts w:cs="Arial"/>
              </w:rPr>
              <w:t xml:space="preserve">   Fatigue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4733F4EC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1 (33)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14:paraId="2F47CEE9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8 (35)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0D99DED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1 (17)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78C92C5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3 (75)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6E76B35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2 (12)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7088959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2 (17)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8A04E8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1</w:t>
            </w:r>
            <w:r>
              <w:rPr>
                <w:rFonts w:cs="Arial"/>
              </w:rPr>
              <w:t>7</w:t>
            </w:r>
            <w:r w:rsidRPr="008F4815">
              <w:rPr>
                <w:rFonts w:cs="Arial"/>
              </w:rPr>
              <w:t xml:space="preserve"> (2</w:t>
            </w:r>
            <w:r>
              <w:rPr>
                <w:rFonts w:cs="Arial"/>
              </w:rPr>
              <w:t>6</w:t>
            </w:r>
            <w:r w:rsidRPr="008F4815">
              <w:rPr>
                <w:rFonts w:cs="Arial"/>
              </w:rPr>
              <w:t>)</w:t>
            </w:r>
          </w:p>
        </w:tc>
      </w:tr>
      <w:tr w:rsidR="008D14F0" w:rsidRPr="008F4815" w14:paraId="2C30A12D" w14:textId="77777777" w:rsidTr="00AF0A17"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2EBE6576" w14:textId="77777777" w:rsidR="008D14F0" w:rsidRPr="008F4815" w:rsidRDefault="008D14F0" w:rsidP="00AF0A17">
            <w:pPr>
              <w:spacing w:line="360" w:lineRule="auto"/>
              <w:rPr>
                <w:rFonts w:cs="Arial"/>
              </w:rPr>
            </w:pPr>
            <w:r w:rsidRPr="008F4815">
              <w:rPr>
                <w:rFonts w:cs="Arial"/>
              </w:rPr>
              <w:t xml:space="preserve">   Anemia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5947300A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0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14:paraId="1B0AD71D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7 (30)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9EB2118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C6159FB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DC5B7DE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5 (29)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52B96A5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3 (25)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43EE6FE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15 (23)</w:t>
            </w:r>
          </w:p>
        </w:tc>
      </w:tr>
      <w:tr w:rsidR="008D14F0" w:rsidRPr="008F4815" w14:paraId="17F7CD29" w14:textId="77777777" w:rsidTr="00AF0A17"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60A3FB69" w14:textId="77777777" w:rsidR="008D14F0" w:rsidRPr="008F4815" w:rsidRDefault="008D14F0" w:rsidP="00AF0A17">
            <w:pPr>
              <w:spacing w:line="360" w:lineRule="auto"/>
              <w:rPr>
                <w:rFonts w:cs="Arial"/>
              </w:rPr>
            </w:pPr>
            <w:r w:rsidRPr="008F4815">
              <w:rPr>
                <w:rFonts w:cs="Arial"/>
              </w:rPr>
              <w:t xml:space="preserve">   Abdominal pain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0DF0D09A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2 (67)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14:paraId="6A7F552C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7 (30)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1F35FCA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1 (17)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0AE83F3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1 (25)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208EAA1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3 (18)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B1DE4CD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1 (8)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4DF5CCB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15 (23)</w:t>
            </w:r>
          </w:p>
        </w:tc>
      </w:tr>
      <w:tr w:rsidR="008D14F0" w:rsidRPr="008F4815" w14:paraId="415BF12F" w14:textId="77777777" w:rsidTr="00AF0A17"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18866993" w14:textId="77777777" w:rsidR="008D14F0" w:rsidRPr="008F4815" w:rsidRDefault="008D14F0" w:rsidP="00AF0A17">
            <w:pPr>
              <w:spacing w:line="360" w:lineRule="auto"/>
              <w:rPr>
                <w:rFonts w:cs="Arial"/>
              </w:rPr>
            </w:pPr>
            <w:r w:rsidRPr="008F4815">
              <w:rPr>
                <w:rFonts w:cs="Arial"/>
              </w:rPr>
              <w:t xml:space="preserve">   Decreased appetite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778CF169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0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14:paraId="75162E25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4 (17)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EF53BF2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1 (17)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109B284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1 (25)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C1258AD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6 (35)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6E0E62C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3 (25)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CEB139A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15 (23)</w:t>
            </w:r>
          </w:p>
        </w:tc>
      </w:tr>
      <w:tr w:rsidR="008D14F0" w:rsidRPr="008F4815" w14:paraId="31174B01" w14:textId="77777777" w:rsidTr="00AF0A17"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7F4063AC" w14:textId="77777777" w:rsidR="008D14F0" w:rsidRPr="008F4815" w:rsidRDefault="008D14F0" w:rsidP="00AF0A17">
            <w:pPr>
              <w:spacing w:line="360" w:lineRule="auto"/>
              <w:rPr>
                <w:rFonts w:cs="Arial"/>
              </w:rPr>
            </w:pPr>
            <w:r w:rsidRPr="008F4815">
              <w:rPr>
                <w:rFonts w:cs="Arial"/>
              </w:rPr>
              <w:t xml:space="preserve">   Headache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643CC840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1 (33)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14:paraId="0ADB2861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6 (26)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4A8BEA6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8A69CA1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AD39A6B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2 (12)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2D7AAC0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4 (33)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6BE6436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13 (20)</w:t>
            </w:r>
          </w:p>
        </w:tc>
      </w:tr>
      <w:tr w:rsidR="008D14F0" w:rsidRPr="008F4815" w14:paraId="7608D1FB" w14:textId="77777777" w:rsidTr="00AF0A17"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65A5219B" w14:textId="77777777" w:rsidR="008D14F0" w:rsidRPr="008F4815" w:rsidRDefault="008D14F0" w:rsidP="00AF0A17">
            <w:pPr>
              <w:spacing w:line="360" w:lineRule="auto"/>
              <w:rPr>
                <w:rFonts w:cs="Arial"/>
                <w:b/>
              </w:rPr>
            </w:pPr>
            <w:r w:rsidRPr="008F4815">
              <w:rPr>
                <w:rFonts w:cs="Arial"/>
                <w:b/>
              </w:rPr>
              <w:t>Treatment-related AEs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0B0712A6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3 (100)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14:paraId="29632DE4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22 (96)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CE45786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5 (83)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EFE8566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4 (100)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5506C1A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15 (88)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FF750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 xml:space="preserve">11 </w:t>
            </w:r>
            <w:r w:rsidRPr="008F4815" w:rsidDel="000B68E9">
              <w:rPr>
                <w:rFonts w:cs="Arial"/>
              </w:rPr>
              <w:t xml:space="preserve"> </w:t>
            </w:r>
            <w:r w:rsidRPr="008F4815">
              <w:rPr>
                <w:rFonts w:cs="Arial"/>
              </w:rPr>
              <w:t>(92)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BCF980C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60 (92)</w:t>
            </w:r>
          </w:p>
        </w:tc>
      </w:tr>
      <w:tr w:rsidR="008D14F0" w:rsidRPr="008F4815" w14:paraId="112ABDF2" w14:textId="77777777" w:rsidTr="00AF0A17"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4B6C9147" w14:textId="77777777" w:rsidR="008D14F0" w:rsidRPr="008F4815" w:rsidRDefault="008D14F0" w:rsidP="00AF0A17">
            <w:pPr>
              <w:spacing w:line="360" w:lineRule="auto"/>
              <w:rPr>
                <w:rFonts w:cs="Arial"/>
                <w:b/>
              </w:rPr>
            </w:pPr>
            <w:r w:rsidRPr="008F4815">
              <w:rPr>
                <w:rFonts w:cs="Arial"/>
                <w:b/>
              </w:rPr>
              <w:t>Any SAE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1F0E3DD1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1 (33)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14:paraId="0066396C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7 (30)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CB58414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A98D4AD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1 (25)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423B7CF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9 (53)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94F3434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6 (50)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E92649D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24 (37)</w:t>
            </w:r>
          </w:p>
        </w:tc>
      </w:tr>
      <w:tr w:rsidR="008D14F0" w:rsidRPr="008F4815" w14:paraId="4B19C9C1" w14:textId="77777777" w:rsidTr="00AF0A17"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59766" w14:textId="77777777" w:rsidR="008D14F0" w:rsidRPr="008F4815" w:rsidRDefault="008D14F0" w:rsidP="00AF0A17">
            <w:pPr>
              <w:spacing w:line="360" w:lineRule="auto"/>
              <w:rPr>
                <w:rFonts w:cs="Arial"/>
                <w:b/>
              </w:rPr>
            </w:pPr>
            <w:r w:rsidRPr="008F4815">
              <w:rPr>
                <w:rFonts w:cs="Arial"/>
                <w:b/>
              </w:rPr>
              <w:t>Fatal SAEs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DFD85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3AC83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DE53A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F8810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384D0" w14:textId="77777777" w:rsidR="008D14F0" w:rsidRPr="008F4815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AEAFA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1 (8)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55EFC" w14:textId="77777777" w:rsidR="008D14F0" w:rsidRPr="00A82697" w:rsidRDefault="008D14F0" w:rsidP="00AF0A17">
            <w:pPr>
              <w:spacing w:line="360" w:lineRule="auto"/>
              <w:jc w:val="center"/>
              <w:rPr>
                <w:rFonts w:cs="Arial"/>
              </w:rPr>
            </w:pPr>
            <w:r w:rsidRPr="008F4815">
              <w:rPr>
                <w:rFonts w:cs="Arial"/>
              </w:rPr>
              <w:t>1 (2)</w:t>
            </w:r>
          </w:p>
        </w:tc>
      </w:tr>
    </w:tbl>
    <w:p w14:paraId="375DD3A5" w14:textId="77777777" w:rsidR="008D14F0" w:rsidRPr="008F4815" w:rsidRDefault="008D14F0" w:rsidP="008D14F0">
      <w:pPr>
        <w:spacing w:line="360" w:lineRule="auto"/>
        <w:rPr>
          <w:rFonts w:cs="Arial"/>
        </w:rPr>
      </w:pPr>
      <w:r w:rsidRPr="008F4815">
        <w:rPr>
          <w:rFonts w:cs="Arial"/>
        </w:rPr>
        <w:t>AE, adverse event; PD, pharmacodynamics; SAE, serious AE</w:t>
      </w:r>
      <w:r>
        <w:rPr>
          <w:rFonts w:cs="Arial"/>
        </w:rPr>
        <w:t>.</w:t>
      </w:r>
    </w:p>
    <w:p w14:paraId="660FFC2C" w14:textId="0E4A7574" w:rsidR="00DE0889" w:rsidRPr="006B0014" w:rsidRDefault="00DE0889" w:rsidP="00DE0889">
      <w:pPr>
        <w:pStyle w:val="Heading3"/>
      </w:pPr>
      <w:r w:rsidRPr="006B0014">
        <w:lastRenderedPageBreak/>
        <w:t xml:space="preserve">Supplementary Table </w:t>
      </w:r>
      <w:r w:rsidR="008D14F0" w:rsidRPr="00074C46">
        <w:t>4</w:t>
      </w:r>
      <w:r w:rsidR="008D14F0">
        <w:t>:</w:t>
      </w:r>
      <w:r w:rsidRPr="006B0014">
        <w:t xml:space="preserve"> P</w:t>
      </w:r>
      <w:r w:rsidR="005F11F0">
        <w:t>K</w:t>
      </w:r>
      <w:r w:rsidRPr="006B0014">
        <w:t xml:space="preserve"> parameters following single dose oral dosing of GSK2636771 (PK population)</w:t>
      </w:r>
    </w:p>
    <w:tbl>
      <w:tblPr>
        <w:tblStyle w:val="TableGrid"/>
        <w:tblW w:w="14168" w:type="dxa"/>
        <w:tblInd w:w="-567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47"/>
        <w:gridCol w:w="1460"/>
        <w:gridCol w:w="1368"/>
        <w:gridCol w:w="1525"/>
        <w:gridCol w:w="1586"/>
        <w:gridCol w:w="1525"/>
        <w:gridCol w:w="1403"/>
        <w:gridCol w:w="1586"/>
      </w:tblGrid>
      <w:tr w:rsidR="00DE0889" w:rsidRPr="006B0014" w14:paraId="0AA2388F" w14:textId="77777777" w:rsidTr="00F37DBA">
        <w:trPr>
          <w:trHeight w:val="1025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A0997" w14:textId="77777777" w:rsidR="00DE0889" w:rsidRPr="006B0014" w:rsidRDefault="00DE0889" w:rsidP="009758F4">
            <w:pPr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Parameter term, n (%)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EA505" w14:textId="18A38E8D" w:rsidR="00DE0889" w:rsidRPr="006B0014" w:rsidRDefault="00DE0889">
            <w:pPr>
              <w:spacing w:line="360" w:lineRule="auto"/>
              <w:jc w:val="center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Dose</w:t>
            </w:r>
            <w:r w:rsidR="00493FE7">
              <w:rPr>
                <w:rFonts w:cs="Arial"/>
                <w:b/>
              </w:rPr>
              <w:t>-</w:t>
            </w:r>
            <w:r w:rsidRPr="006B0014">
              <w:rPr>
                <w:rFonts w:cs="Arial"/>
                <w:b/>
              </w:rPr>
              <w:t>selection cohort</w:t>
            </w:r>
          </w:p>
        </w:tc>
        <w:tc>
          <w:tcPr>
            <w:tcW w:w="104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ED8F60" w14:textId="77777777" w:rsidR="00DE0889" w:rsidRPr="006B0014" w:rsidRDefault="00DE0889" w:rsidP="009758F4">
            <w:pPr>
              <w:jc w:val="center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Dose-escalation cohort</w:t>
            </w:r>
          </w:p>
        </w:tc>
      </w:tr>
      <w:tr w:rsidR="00DE0889" w:rsidRPr="006B0014" w14:paraId="5C5F2571" w14:textId="77777777" w:rsidTr="00F37DBA">
        <w:trPr>
          <w:trHeight w:val="1008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6081E5" w14:textId="77777777" w:rsidR="00DE0889" w:rsidRPr="006B0014" w:rsidRDefault="00DE0889" w:rsidP="009758F4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3EDA7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25 mg</w:t>
            </w:r>
          </w:p>
          <w:p w14:paraId="2DA11A1A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n=3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7329CB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25 mg</w:t>
            </w:r>
          </w:p>
          <w:p w14:paraId="15171C20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n=6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EC720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50 mg</w:t>
            </w:r>
          </w:p>
          <w:p w14:paraId="1049E5C1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n=4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FC964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100 mg</w:t>
            </w:r>
          </w:p>
          <w:p w14:paraId="58DE0EF1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n=3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01914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200 mg</w:t>
            </w:r>
          </w:p>
          <w:p w14:paraId="6AFEF2D3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n=3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B66B55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350 mg</w:t>
            </w:r>
          </w:p>
          <w:p w14:paraId="5E407E42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n=7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3896C5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400 mg</w:t>
            </w:r>
          </w:p>
          <w:p w14:paraId="74FCF9E0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n=6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AFF63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500 mg</w:t>
            </w:r>
          </w:p>
          <w:p w14:paraId="48F439ED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n=4</w:t>
            </w:r>
          </w:p>
        </w:tc>
      </w:tr>
      <w:tr w:rsidR="00DE0889" w:rsidRPr="006B0014" w14:paraId="4893B329" w14:textId="77777777" w:rsidTr="00F37DBA">
        <w:trPr>
          <w:trHeight w:val="755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2C52EA" w14:textId="77777777" w:rsidR="00DE0889" w:rsidRPr="006B0014" w:rsidRDefault="00DE0889" w:rsidP="009758F4">
            <w:pPr>
              <w:spacing w:line="360" w:lineRule="auto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C</w:t>
            </w:r>
            <w:r w:rsidRPr="006B0014">
              <w:rPr>
                <w:rFonts w:cs="Arial"/>
                <w:b/>
                <w:vertAlign w:val="subscript"/>
              </w:rPr>
              <w:t>max</w:t>
            </w:r>
            <w:r w:rsidRPr="006B0014">
              <w:rPr>
                <w:rFonts w:cs="Arial"/>
                <w:b/>
              </w:rPr>
              <w:t>, ng/mL*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5C64E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n=3</w:t>
            </w:r>
          </w:p>
          <w:p w14:paraId="75457C5E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1105 (50)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120C8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n=6</w:t>
            </w:r>
          </w:p>
          <w:p w14:paraId="5D134B3B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844 (24)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A0793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n=4</w:t>
            </w:r>
          </w:p>
          <w:p w14:paraId="754176E1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1594 (28)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7A85D4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n=3</w:t>
            </w:r>
          </w:p>
          <w:p w14:paraId="566D0C07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2368 (41)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7345AE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n=3</w:t>
            </w:r>
          </w:p>
          <w:p w14:paraId="5144F595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6312 (15)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E3902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n=7</w:t>
            </w:r>
          </w:p>
          <w:p w14:paraId="342DE070" w14:textId="77777777" w:rsidR="00DE0889" w:rsidRPr="006B0014" w:rsidRDefault="00DE0889" w:rsidP="009758F4">
            <w:pPr>
              <w:tabs>
                <w:tab w:val="center" w:pos="654"/>
              </w:tabs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8060 (33)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7F2F1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n=6</w:t>
            </w:r>
          </w:p>
          <w:p w14:paraId="4EFFE19D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5493 (57)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F2A9D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n=4</w:t>
            </w:r>
          </w:p>
          <w:p w14:paraId="2E929610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7221 (35)</w:t>
            </w:r>
          </w:p>
        </w:tc>
      </w:tr>
      <w:tr w:rsidR="00DE0889" w:rsidRPr="006B0014" w14:paraId="40BA724B" w14:textId="77777777" w:rsidTr="00F37DBA">
        <w:trPr>
          <w:trHeight w:val="100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D1372" w14:textId="77777777" w:rsidR="00DE0889" w:rsidRPr="006B0014" w:rsidRDefault="00DE0889" w:rsidP="009758F4">
            <w:pPr>
              <w:spacing w:line="360" w:lineRule="auto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T</w:t>
            </w:r>
            <w:r w:rsidRPr="006B0014">
              <w:rPr>
                <w:rFonts w:cs="Arial"/>
                <w:b/>
                <w:vertAlign w:val="subscript"/>
              </w:rPr>
              <w:t>max</w:t>
            </w:r>
            <w:r w:rsidRPr="006B0014">
              <w:rPr>
                <w:rFonts w:cs="Arial"/>
                <w:b/>
              </w:rPr>
              <w:t>, h, median (range)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58EFD74D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n=3</w:t>
            </w:r>
          </w:p>
          <w:p w14:paraId="04238B7B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 xml:space="preserve">4.00 </w:t>
            </w:r>
            <w:r w:rsidRPr="006B0014">
              <w:rPr>
                <w:rFonts w:cs="Arial"/>
              </w:rPr>
              <w:br/>
              <w:t>(3.00, 6.00)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2AA8D60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n=6</w:t>
            </w:r>
          </w:p>
          <w:p w14:paraId="43FE95B5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4.04</w:t>
            </w:r>
          </w:p>
          <w:p w14:paraId="18C227EF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(1.03, 6.00)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B82B3DE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n=4</w:t>
            </w:r>
          </w:p>
          <w:p w14:paraId="103B46C2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4.00</w:t>
            </w:r>
          </w:p>
          <w:p w14:paraId="4D1644BC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(2.08, 6.17)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A57CC57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n=3</w:t>
            </w:r>
          </w:p>
          <w:p w14:paraId="454722F6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4.00</w:t>
            </w:r>
          </w:p>
          <w:p w14:paraId="55150CC9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(3.00, 8.00)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2398578F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n=3</w:t>
            </w:r>
          </w:p>
          <w:p w14:paraId="2663C8F1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3.97</w:t>
            </w:r>
          </w:p>
          <w:p w14:paraId="5D207DAC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(3.02, 6.00)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42820B32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n=7</w:t>
            </w:r>
          </w:p>
          <w:p w14:paraId="11F46398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4.20</w:t>
            </w:r>
          </w:p>
          <w:p w14:paraId="679D7D4E" w14:textId="66F24F03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(4.00, 7.97)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1FDD174B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n=6</w:t>
            </w:r>
          </w:p>
          <w:p w14:paraId="7FD358AE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3.03</w:t>
            </w:r>
          </w:p>
          <w:p w14:paraId="69FE1381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(2.00, 6.10)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533F2549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n=4</w:t>
            </w:r>
          </w:p>
          <w:p w14:paraId="3886512A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5.08</w:t>
            </w:r>
          </w:p>
          <w:p w14:paraId="13E48477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(3.00, 10.1)</w:t>
            </w:r>
          </w:p>
        </w:tc>
      </w:tr>
      <w:tr w:rsidR="00DE0889" w:rsidRPr="006B0014" w14:paraId="36824699" w14:textId="77777777" w:rsidTr="00F37DBA">
        <w:trPr>
          <w:trHeight w:val="1008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F6F67" w14:textId="77777777" w:rsidR="00DE0889" w:rsidRPr="006B0014" w:rsidRDefault="00DE0889" w:rsidP="009758F4">
            <w:pPr>
              <w:spacing w:line="360" w:lineRule="auto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AUC</w:t>
            </w:r>
            <w:r w:rsidRPr="006B0014">
              <w:rPr>
                <w:rFonts w:cs="Arial"/>
                <w:b/>
                <w:vertAlign w:val="subscript"/>
              </w:rPr>
              <w:t>(0–24)</w:t>
            </w:r>
            <w:r w:rsidRPr="006B0014">
              <w:rPr>
                <w:rFonts w:cs="Arial"/>
                <w:b/>
              </w:rPr>
              <w:t>, h·ng/mL*</w:t>
            </w:r>
          </w:p>
          <w:p w14:paraId="0A219930" w14:textId="77777777" w:rsidR="00DE0889" w:rsidRPr="006B0014" w:rsidRDefault="00DE0889" w:rsidP="009758F4">
            <w:pPr>
              <w:spacing w:line="360" w:lineRule="auto"/>
              <w:rPr>
                <w:rFonts w:cs="Arial"/>
                <w:b/>
              </w:rPr>
            </w:pPr>
          </w:p>
          <w:p w14:paraId="45FE86F3" w14:textId="77777777" w:rsidR="00DE0889" w:rsidRPr="006B0014" w:rsidRDefault="00DE0889" w:rsidP="009758F4">
            <w:pPr>
              <w:spacing w:line="360" w:lineRule="auto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AUC</w:t>
            </w:r>
            <w:r w:rsidRPr="006B0014">
              <w:rPr>
                <w:rFonts w:cs="Arial"/>
                <w:b/>
                <w:vertAlign w:val="subscript"/>
              </w:rPr>
              <w:t>(0–∞)</w:t>
            </w:r>
            <w:r w:rsidRPr="006B0014">
              <w:rPr>
                <w:rFonts w:cs="Arial"/>
                <w:b/>
              </w:rPr>
              <w:t>, h·ng/mL</w:t>
            </w:r>
          </w:p>
          <w:p w14:paraId="508C012D" w14:textId="77777777" w:rsidR="00DE0889" w:rsidRPr="006B0014" w:rsidRDefault="00DE0889" w:rsidP="009758F4">
            <w:pPr>
              <w:spacing w:line="360" w:lineRule="auto"/>
              <w:rPr>
                <w:rFonts w:cs="Arial"/>
                <w:b/>
              </w:rPr>
            </w:pPr>
          </w:p>
          <w:p w14:paraId="26160094" w14:textId="77777777" w:rsidR="00DE0889" w:rsidRPr="006B0014" w:rsidRDefault="00DE0889" w:rsidP="009758F4">
            <w:pPr>
              <w:spacing w:line="360" w:lineRule="auto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t½, h</w:t>
            </w:r>
            <w:r w:rsidRPr="006B0014">
              <w:rPr>
                <w:rFonts w:cs="Arial"/>
                <w:b/>
                <w:vertAlign w:val="superscript"/>
              </w:rPr>
              <w:t>*</w:t>
            </w:r>
          </w:p>
          <w:p w14:paraId="3520F074" w14:textId="77777777" w:rsidR="00DE0889" w:rsidRPr="006B0014" w:rsidRDefault="00DE0889" w:rsidP="009758F4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55EF1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n=3</w:t>
            </w:r>
          </w:p>
          <w:p w14:paraId="0808245D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15729 (68)</w:t>
            </w:r>
          </w:p>
          <w:p w14:paraId="3B67AAF9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n=3</w:t>
            </w:r>
          </w:p>
          <w:p w14:paraId="1316EC39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25327 (79)</w:t>
            </w:r>
          </w:p>
          <w:p w14:paraId="71711168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n=3</w:t>
            </w:r>
          </w:p>
          <w:p w14:paraId="19B5C6A8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17.7 (16)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2E8E1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n=6</w:t>
            </w:r>
          </w:p>
          <w:p w14:paraId="37FCF560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11430 (38)</w:t>
            </w:r>
          </w:p>
          <w:p w14:paraId="7E5E449B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n=6</w:t>
            </w:r>
          </w:p>
          <w:p w14:paraId="017ADB42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19726 (51)</w:t>
            </w:r>
          </w:p>
          <w:p w14:paraId="613A2AA6" w14:textId="5988AEAB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</w:t>
            </w:r>
            <w:r w:rsidR="00533EAA" w:rsidRPr="00074C46">
              <w:rPr>
                <w:rFonts w:cs="Arial"/>
              </w:rPr>
              <w:t>6</w:t>
            </w:r>
          </w:p>
          <w:p w14:paraId="0F82FA93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19.0 (20)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3974B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n=4</w:t>
            </w:r>
          </w:p>
          <w:p w14:paraId="065FF370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22019 (23)</w:t>
            </w:r>
          </w:p>
          <w:p w14:paraId="2A0AC556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n=4</w:t>
            </w:r>
          </w:p>
          <w:p w14:paraId="7A41502D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38792 (21)</w:t>
            </w:r>
          </w:p>
          <w:p w14:paraId="36ADC9AE" w14:textId="6BA1B38E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</w:t>
            </w:r>
            <w:r w:rsidR="00533EAA" w:rsidRPr="00074C46">
              <w:rPr>
                <w:rFonts w:cs="Arial"/>
              </w:rPr>
              <w:t>4</w:t>
            </w:r>
          </w:p>
          <w:p w14:paraId="441EF173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19.8 (11)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1AF6D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n=3</w:t>
            </w:r>
          </w:p>
          <w:p w14:paraId="1153E2F5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22763 (49)</w:t>
            </w:r>
          </w:p>
          <w:p w14:paraId="5A369C4E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n=3</w:t>
            </w:r>
          </w:p>
          <w:p w14:paraId="7C174B3A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31833 (69)</w:t>
            </w:r>
          </w:p>
          <w:p w14:paraId="24ADE9AE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n=3</w:t>
            </w:r>
          </w:p>
          <w:p w14:paraId="3EEA8A8F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15.0 (63)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25B54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n=3</w:t>
            </w:r>
          </w:p>
          <w:p w14:paraId="0F067505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84137 (26)</w:t>
            </w:r>
          </w:p>
          <w:p w14:paraId="05C3E995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n=2</w:t>
            </w:r>
          </w:p>
          <w:p w14:paraId="47E4A569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128472 (6)</w:t>
            </w:r>
          </w:p>
          <w:p w14:paraId="29AA9466" w14:textId="78CE1189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n=2</w:t>
            </w:r>
          </w:p>
          <w:p w14:paraId="100BCC13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18.0 (8)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09F2A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n=7</w:t>
            </w:r>
          </w:p>
          <w:p w14:paraId="4006D2D1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116138 (37)</w:t>
            </w:r>
          </w:p>
          <w:p w14:paraId="60D27D7B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n=6</w:t>
            </w:r>
          </w:p>
          <w:p w14:paraId="0624C48F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236041 (48)</w:t>
            </w:r>
          </w:p>
          <w:p w14:paraId="4B955281" w14:textId="1483A0BF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n=6</w:t>
            </w:r>
          </w:p>
          <w:p w14:paraId="3A8AED50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21.1 (15)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EF6B7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n=6</w:t>
            </w:r>
          </w:p>
          <w:p w14:paraId="7F0BD6D1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67051 (38)</w:t>
            </w:r>
          </w:p>
          <w:p w14:paraId="043D1860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n=2</w:t>
            </w:r>
          </w:p>
          <w:p w14:paraId="36DCC583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161874 (15)</w:t>
            </w:r>
          </w:p>
          <w:p w14:paraId="4E91F3A1" w14:textId="18BA6920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n=2</w:t>
            </w:r>
          </w:p>
          <w:p w14:paraId="503C3470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23.2 (27)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49B6F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n=4</w:t>
            </w:r>
          </w:p>
          <w:p w14:paraId="1BBBB6A3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108483 (44)</w:t>
            </w:r>
          </w:p>
          <w:p w14:paraId="0B5A3F5E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n=3</w:t>
            </w:r>
          </w:p>
          <w:p w14:paraId="203DBCD0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190798 (62)</w:t>
            </w:r>
          </w:p>
          <w:p w14:paraId="7B812BDC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n=3</w:t>
            </w:r>
          </w:p>
          <w:p w14:paraId="257C8EE2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23.0 (8)</w:t>
            </w:r>
          </w:p>
        </w:tc>
      </w:tr>
    </w:tbl>
    <w:p w14:paraId="3EDB34E6" w14:textId="08E084EB" w:rsidR="00DE0889" w:rsidRPr="006B0014" w:rsidRDefault="00DE0889" w:rsidP="00DE0889">
      <w:pPr>
        <w:spacing w:line="360" w:lineRule="auto"/>
        <w:jc w:val="both"/>
        <w:rPr>
          <w:rFonts w:cs="Arial"/>
        </w:rPr>
      </w:pPr>
      <w:r w:rsidRPr="006B0014">
        <w:rPr>
          <w:rFonts w:cs="Arial"/>
        </w:rPr>
        <w:t>*Data presented as geometric mean (CVb%)</w:t>
      </w:r>
      <w:r w:rsidR="00826409">
        <w:rPr>
          <w:rFonts w:cs="Arial"/>
        </w:rPr>
        <w:t>.</w:t>
      </w:r>
      <w:r w:rsidRPr="006B0014">
        <w:rPr>
          <w:rFonts w:cs="Arial"/>
        </w:rPr>
        <w:t xml:space="preserve"> </w:t>
      </w:r>
    </w:p>
    <w:p w14:paraId="7A8922CF" w14:textId="7A6E2DEC" w:rsidR="00DE0889" w:rsidRPr="006B0014" w:rsidRDefault="00DE0889" w:rsidP="00DE0889">
      <w:pPr>
        <w:spacing w:line="360" w:lineRule="auto"/>
        <w:jc w:val="both"/>
        <w:rPr>
          <w:rFonts w:cs="Arial"/>
        </w:rPr>
      </w:pPr>
      <w:r w:rsidRPr="006B0014">
        <w:rPr>
          <w:rFonts w:cs="Arial"/>
        </w:rPr>
        <w:t>AUC</w:t>
      </w:r>
      <w:r w:rsidRPr="006B0014">
        <w:rPr>
          <w:rFonts w:cs="Arial"/>
          <w:vertAlign w:val="subscript"/>
        </w:rPr>
        <w:t>(0–24)</w:t>
      </w:r>
      <w:r w:rsidRPr="006B0014">
        <w:rPr>
          <w:rFonts w:cs="Arial"/>
        </w:rPr>
        <w:t xml:space="preserve">, area under the concentration-time curve from time 0 to 24 hours; </w:t>
      </w:r>
      <w:r w:rsidR="000E0470" w:rsidRPr="006B0014">
        <w:rPr>
          <w:rFonts w:cs="Arial"/>
        </w:rPr>
        <w:t>AUC</w:t>
      </w:r>
      <w:r w:rsidR="000E0470" w:rsidRPr="006B0014">
        <w:rPr>
          <w:rFonts w:cs="Arial"/>
          <w:vertAlign w:val="subscript"/>
        </w:rPr>
        <w:t>(0–∞)</w:t>
      </w:r>
      <w:r w:rsidR="000E0470" w:rsidRPr="006B0014">
        <w:rPr>
          <w:rFonts w:cs="Arial"/>
        </w:rPr>
        <w:t xml:space="preserve">, area under the concentration-time curve from time 0 to infinity; </w:t>
      </w:r>
      <w:r w:rsidRPr="006B0014">
        <w:rPr>
          <w:rFonts w:cs="Arial"/>
        </w:rPr>
        <w:t>C</w:t>
      </w:r>
      <w:r w:rsidRPr="006B0014">
        <w:rPr>
          <w:rFonts w:cs="Arial"/>
          <w:vertAlign w:val="subscript"/>
        </w:rPr>
        <w:t>max</w:t>
      </w:r>
      <w:r w:rsidRPr="006B0014">
        <w:rPr>
          <w:rFonts w:cs="Arial"/>
        </w:rPr>
        <w:t xml:space="preserve">, maximum observed plasma concentration; </w:t>
      </w:r>
      <w:r w:rsidR="008F58F9">
        <w:rPr>
          <w:rFonts w:cs="Arial"/>
        </w:rPr>
        <w:t>CV</w:t>
      </w:r>
      <w:r w:rsidR="006C7DE0">
        <w:rPr>
          <w:rFonts w:cs="Arial"/>
        </w:rPr>
        <w:t>b</w:t>
      </w:r>
      <w:r w:rsidR="008F58F9">
        <w:rPr>
          <w:rFonts w:cs="Arial"/>
        </w:rPr>
        <w:t xml:space="preserve">, coefficient of </w:t>
      </w:r>
      <w:r w:rsidR="006C7DE0">
        <w:rPr>
          <w:rFonts w:cs="Arial"/>
        </w:rPr>
        <w:t xml:space="preserve">biological </w:t>
      </w:r>
      <w:r w:rsidR="008F58F9">
        <w:rPr>
          <w:rFonts w:cs="Arial"/>
        </w:rPr>
        <w:t xml:space="preserve">variation; </w:t>
      </w:r>
      <w:r w:rsidR="00BA29E1">
        <w:rPr>
          <w:rFonts w:cs="Arial"/>
        </w:rPr>
        <w:t xml:space="preserve">PK, pharmacokinetic; </w:t>
      </w:r>
      <w:r w:rsidRPr="006B0014">
        <w:rPr>
          <w:rFonts w:cs="Arial"/>
        </w:rPr>
        <w:t>T</w:t>
      </w:r>
      <w:r w:rsidRPr="006B0014">
        <w:rPr>
          <w:rFonts w:cs="Arial"/>
          <w:vertAlign w:val="subscript"/>
        </w:rPr>
        <w:t>max</w:t>
      </w:r>
      <w:r w:rsidRPr="006B0014">
        <w:rPr>
          <w:rFonts w:cs="Arial"/>
        </w:rPr>
        <w:t>, time to reach</w:t>
      </w:r>
      <w:r w:rsidR="007D6006">
        <w:rPr>
          <w:rFonts w:cs="Arial"/>
        </w:rPr>
        <w:t xml:space="preserve"> </w:t>
      </w:r>
      <w:r w:rsidR="007D6006" w:rsidRPr="006B0014">
        <w:rPr>
          <w:rFonts w:cs="Arial"/>
        </w:rPr>
        <w:t>C</w:t>
      </w:r>
      <w:r w:rsidR="007D6006" w:rsidRPr="006B0014">
        <w:rPr>
          <w:rFonts w:cs="Arial"/>
          <w:vertAlign w:val="subscript"/>
        </w:rPr>
        <w:t>max</w:t>
      </w:r>
      <w:r w:rsidR="007D6006">
        <w:rPr>
          <w:rFonts w:cs="Arial"/>
        </w:rPr>
        <w:t xml:space="preserve">; </w:t>
      </w:r>
      <w:r w:rsidRPr="006B0014">
        <w:rPr>
          <w:rFonts w:cs="Arial"/>
        </w:rPr>
        <w:t>t½, terminal half</w:t>
      </w:r>
      <w:r w:rsidR="007D6006">
        <w:rPr>
          <w:rFonts w:cs="Arial"/>
        </w:rPr>
        <w:t>-</w:t>
      </w:r>
      <w:r w:rsidRPr="006B0014">
        <w:rPr>
          <w:rFonts w:cs="Arial"/>
        </w:rPr>
        <w:t>life</w:t>
      </w:r>
      <w:r w:rsidR="000E0470">
        <w:rPr>
          <w:rFonts w:cs="Arial"/>
        </w:rPr>
        <w:t>.</w:t>
      </w:r>
    </w:p>
    <w:p w14:paraId="7A09556F" w14:textId="77777777" w:rsidR="00DE0889" w:rsidRPr="006B0014" w:rsidRDefault="00DE0889" w:rsidP="00DE0889"/>
    <w:p w14:paraId="531F7570" w14:textId="3196262E" w:rsidR="00DE0889" w:rsidRPr="006B0014" w:rsidRDefault="00915D91" w:rsidP="00DE0889">
      <w:pPr>
        <w:pStyle w:val="Heading3"/>
      </w:pPr>
      <w:r>
        <w:lastRenderedPageBreak/>
        <w:t xml:space="preserve">Supplementary </w:t>
      </w:r>
      <w:r w:rsidR="00DE0889" w:rsidRPr="006B0014">
        <w:t xml:space="preserve">Table </w:t>
      </w:r>
      <w:r w:rsidR="008D14F0" w:rsidRPr="00074C46">
        <w:t>5</w:t>
      </w:r>
      <w:r w:rsidR="008D14F0">
        <w:t>:</w:t>
      </w:r>
      <w:r w:rsidR="00DE0889" w:rsidRPr="006B0014">
        <w:t xml:space="preserve"> P</w:t>
      </w:r>
      <w:r w:rsidR="00BA29E1">
        <w:t>K</w:t>
      </w:r>
      <w:r w:rsidR="00DE0889" w:rsidRPr="006B0014">
        <w:t xml:space="preserve"> parameters following single daily oral dosing of GSK2636771 (PK population) </w:t>
      </w:r>
    </w:p>
    <w:tbl>
      <w:tblPr>
        <w:tblStyle w:val="TableGrid"/>
        <w:tblW w:w="856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1368"/>
        <w:gridCol w:w="1525"/>
        <w:gridCol w:w="1586"/>
        <w:gridCol w:w="1525"/>
        <w:gridCol w:w="49"/>
      </w:tblGrid>
      <w:tr w:rsidR="00DE0889" w:rsidRPr="006B0014" w14:paraId="530CC928" w14:textId="77777777" w:rsidTr="00F37DBA"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93C1A" w14:textId="77777777" w:rsidR="00DE0889" w:rsidRPr="006B0014" w:rsidRDefault="00DE0889" w:rsidP="009758F4">
            <w:pPr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Parameter, n (%)</w:t>
            </w:r>
          </w:p>
        </w:tc>
        <w:tc>
          <w:tcPr>
            <w:tcW w:w="6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B3994C" w14:textId="6B99B644" w:rsidR="00DE0889" w:rsidRPr="006B0014" w:rsidRDefault="00DE0889" w:rsidP="00A22788">
            <w:pPr>
              <w:jc w:val="center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P</w:t>
            </w:r>
            <w:r w:rsidR="00A22788">
              <w:rPr>
                <w:rFonts w:cs="Arial"/>
                <w:b/>
              </w:rPr>
              <w:t>D</w:t>
            </w:r>
            <w:r w:rsidRPr="006B0014">
              <w:rPr>
                <w:rFonts w:cs="Arial"/>
                <w:b/>
              </w:rPr>
              <w:t xml:space="preserve"> cohort</w:t>
            </w:r>
          </w:p>
        </w:tc>
      </w:tr>
      <w:tr w:rsidR="00DE0889" w:rsidRPr="006B0014" w14:paraId="4511A83E" w14:textId="77777777" w:rsidTr="00F37DBA">
        <w:trPr>
          <w:gridAfter w:val="1"/>
          <w:wAfter w:w="49" w:type="dxa"/>
        </w:trPr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8DE77D" w14:textId="77777777" w:rsidR="00DE0889" w:rsidRPr="006B0014" w:rsidRDefault="00DE0889" w:rsidP="009758F4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665B9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50 mg</w:t>
            </w:r>
          </w:p>
          <w:p w14:paraId="39A956B4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n=2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011D5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100 mg</w:t>
            </w:r>
          </w:p>
          <w:p w14:paraId="5668D512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n=4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2F254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200 mg</w:t>
            </w:r>
          </w:p>
          <w:p w14:paraId="67D72B5F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n=5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A7D7D1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350 mg</w:t>
            </w:r>
          </w:p>
          <w:p w14:paraId="760F53E0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n=6</w:t>
            </w:r>
          </w:p>
        </w:tc>
      </w:tr>
      <w:tr w:rsidR="00DE0889" w:rsidRPr="006B0014" w14:paraId="291E7CC1" w14:textId="77777777" w:rsidTr="00F37DBA">
        <w:trPr>
          <w:gridAfter w:val="1"/>
          <w:wAfter w:w="49" w:type="dxa"/>
        </w:trPr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033B4" w14:textId="77777777" w:rsidR="00DE0889" w:rsidRPr="006B0014" w:rsidRDefault="00DE0889" w:rsidP="009758F4">
            <w:pPr>
              <w:spacing w:line="360" w:lineRule="auto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C</w:t>
            </w:r>
            <w:r w:rsidRPr="006B0014">
              <w:rPr>
                <w:rFonts w:cs="Arial"/>
                <w:b/>
                <w:vertAlign w:val="subscript"/>
              </w:rPr>
              <w:t>max</w:t>
            </w:r>
            <w:r w:rsidRPr="006B0014">
              <w:rPr>
                <w:rFonts w:cs="Arial"/>
                <w:b/>
              </w:rPr>
              <w:t>, ng/mL*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7C70C8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n=2</w:t>
            </w:r>
          </w:p>
          <w:p w14:paraId="38FF942E" w14:textId="6B271F9B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1320 (36)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4754A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n=4</w:t>
            </w:r>
          </w:p>
          <w:p w14:paraId="3A7463C9" w14:textId="7935A24D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3038 (28)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4EFF0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n=5</w:t>
            </w:r>
          </w:p>
          <w:p w14:paraId="0A157C78" w14:textId="19A05D82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4007 (61)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54B67F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n=6</w:t>
            </w:r>
          </w:p>
          <w:p w14:paraId="4DEA1B19" w14:textId="26D65CAE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7126 (42)</w:t>
            </w:r>
          </w:p>
        </w:tc>
      </w:tr>
      <w:tr w:rsidR="00DE0889" w:rsidRPr="006B0014" w14:paraId="13FFAEA4" w14:textId="77777777" w:rsidTr="00F37DBA">
        <w:trPr>
          <w:gridAfter w:val="1"/>
          <w:wAfter w:w="49" w:type="dxa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11A4B675" w14:textId="77777777" w:rsidR="00DE0889" w:rsidRPr="006B0014" w:rsidRDefault="00DE0889" w:rsidP="009758F4">
            <w:pPr>
              <w:spacing w:line="360" w:lineRule="auto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T</w:t>
            </w:r>
            <w:r w:rsidRPr="006B0014">
              <w:rPr>
                <w:rFonts w:cs="Arial"/>
                <w:b/>
                <w:vertAlign w:val="subscript"/>
              </w:rPr>
              <w:t>max</w:t>
            </w:r>
            <w:r w:rsidRPr="006B0014">
              <w:rPr>
                <w:rFonts w:cs="Arial"/>
                <w:b/>
              </w:rPr>
              <w:t>, h, median (range)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6F85EC6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n=2</w:t>
            </w:r>
          </w:p>
          <w:p w14:paraId="3158BB94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2.88</w:t>
            </w:r>
          </w:p>
          <w:p w14:paraId="3420FB1A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(2.00, 3.75)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704DE238" w14:textId="08AE4A38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n=4</w:t>
            </w:r>
          </w:p>
          <w:p w14:paraId="76EC6D03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4.04</w:t>
            </w:r>
          </w:p>
          <w:p w14:paraId="671EF0DE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(2.00, 10.1)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290B5A54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n=5</w:t>
            </w:r>
          </w:p>
          <w:p w14:paraId="33950EA6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7.85</w:t>
            </w:r>
          </w:p>
          <w:p w14:paraId="785FD0BD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(3.17, 9.75)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ED7EC15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n=6</w:t>
            </w:r>
          </w:p>
          <w:p w14:paraId="0C889A34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4.01</w:t>
            </w:r>
          </w:p>
          <w:p w14:paraId="6F9075AF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(2.92, 8.00)</w:t>
            </w:r>
          </w:p>
        </w:tc>
      </w:tr>
      <w:tr w:rsidR="00DE0889" w:rsidRPr="006B0014" w14:paraId="731B1D39" w14:textId="77777777" w:rsidTr="00F37DBA">
        <w:trPr>
          <w:gridAfter w:val="1"/>
          <w:wAfter w:w="49" w:type="dxa"/>
        </w:trPr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B8AFD" w14:textId="77777777" w:rsidR="00DE0889" w:rsidRPr="006B0014" w:rsidRDefault="00DE0889" w:rsidP="009758F4">
            <w:pPr>
              <w:spacing w:line="360" w:lineRule="auto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AUC</w:t>
            </w:r>
            <w:r w:rsidRPr="006B0014">
              <w:rPr>
                <w:rFonts w:cs="Arial"/>
                <w:b/>
                <w:vertAlign w:val="subscript"/>
              </w:rPr>
              <w:t>(0–24)</w:t>
            </w:r>
            <w:r w:rsidRPr="006B0014">
              <w:rPr>
                <w:rFonts w:cs="Arial"/>
                <w:b/>
              </w:rPr>
              <w:t>, h·ng/mL*</w:t>
            </w:r>
          </w:p>
          <w:p w14:paraId="4B6FFBB4" w14:textId="77777777" w:rsidR="00DE0889" w:rsidRPr="006B0014" w:rsidRDefault="00DE0889" w:rsidP="009758F4">
            <w:pPr>
              <w:spacing w:line="360" w:lineRule="auto"/>
              <w:rPr>
                <w:rFonts w:cs="Arial"/>
                <w:b/>
              </w:rPr>
            </w:pPr>
          </w:p>
          <w:p w14:paraId="22180288" w14:textId="77777777" w:rsidR="00DE0889" w:rsidRPr="006B0014" w:rsidRDefault="00DE0889" w:rsidP="009758F4">
            <w:pPr>
              <w:spacing w:line="360" w:lineRule="auto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AUC</w:t>
            </w:r>
            <w:r w:rsidRPr="006B0014">
              <w:rPr>
                <w:rFonts w:cs="Arial"/>
                <w:b/>
                <w:vertAlign w:val="subscript"/>
              </w:rPr>
              <w:t>(0–∞)</w:t>
            </w:r>
            <w:r w:rsidRPr="006B0014">
              <w:rPr>
                <w:rFonts w:cs="Arial"/>
                <w:b/>
              </w:rPr>
              <w:t>, h·ng/mL</w:t>
            </w:r>
          </w:p>
          <w:p w14:paraId="0E25E297" w14:textId="77777777" w:rsidR="00DE0889" w:rsidRPr="006B0014" w:rsidRDefault="00DE0889" w:rsidP="009758F4">
            <w:pPr>
              <w:spacing w:line="360" w:lineRule="auto"/>
              <w:rPr>
                <w:rFonts w:cs="Arial"/>
                <w:b/>
              </w:rPr>
            </w:pPr>
          </w:p>
          <w:p w14:paraId="5E7283C2" w14:textId="77777777" w:rsidR="00DE0889" w:rsidRPr="006B0014" w:rsidRDefault="00DE0889" w:rsidP="009758F4">
            <w:pPr>
              <w:spacing w:line="360" w:lineRule="auto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t½, h</w:t>
            </w:r>
            <w:r w:rsidRPr="006B0014">
              <w:rPr>
                <w:rFonts w:cs="Arial"/>
                <w:b/>
                <w:vertAlign w:val="superscript"/>
              </w:rPr>
              <w:t>*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59F90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n=2</w:t>
            </w:r>
          </w:p>
          <w:p w14:paraId="26373B58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18489 (21)</w:t>
            </w:r>
          </w:p>
          <w:p w14:paraId="2FEC6541" w14:textId="2161F301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n=1</w:t>
            </w:r>
          </w:p>
          <w:p w14:paraId="1AF530A1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29391</w:t>
            </w:r>
          </w:p>
          <w:p w14:paraId="4B5744F0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n=1</w:t>
            </w:r>
          </w:p>
          <w:p w14:paraId="6DFC8AB8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13.1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2A564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n=4</w:t>
            </w:r>
          </w:p>
          <w:p w14:paraId="3F6F9A36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38966 (30)</w:t>
            </w:r>
          </w:p>
          <w:p w14:paraId="377BDBE4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n=4</w:t>
            </w:r>
          </w:p>
          <w:p w14:paraId="25AF7E3D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67492 (22)</w:t>
            </w:r>
          </w:p>
          <w:p w14:paraId="588ABDC7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n=4</w:t>
            </w:r>
          </w:p>
          <w:p w14:paraId="5D9F7068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19.8 (42)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81BF3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n=5</w:t>
            </w:r>
          </w:p>
          <w:p w14:paraId="74450EC5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53783 (62)</w:t>
            </w:r>
          </w:p>
          <w:p w14:paraId="18547F13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n=3</w:t>
            </w:r>
          </w:p>
          <w:p w14:paraId="7C9BB7C4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126278 (58)</w:t>
            </w:r>
          </w:p>
          <w:p w14:paraId="7CE5DF6C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n=3</w:t>
            </w:r>
          </w:p>
          <w:p w14:paraId="19B930F1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18.3 (11)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74705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n=6</w:t>
            </w:r>
          </w:p>
          <w:p w14:paraId="768C70DE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103812 (44)</w:t>
            </w:r>
          </w:p>
          <w:p w14:paraId="04D2DDC7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n=5</w:t>
            </w:r>
          </w:p>
          <w:p w14:paraId="2892C8C7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178453 (67)</w:t>
            </w:r>
          </w:p>
          <w:p w14:paraId="222D3796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n=5</w:t>
            </w:r>
          </w:p>
          <w:p w14:paraId="3BBA3F4C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18.7 (36)</w:t>
            </w:r>
          </w:p>
        </w:tc>
      </w:tr>
    </w:tbl>
    <w:p w14:paraId="723D1302" w14:textId="45E84D78" w:rsidR="00DE0889" w:rsidRPr="006B0014" w:rsidRDefault="00DE0889" w:rsidP="00DE0889">
      <w:pPr>
        <w:spacing w:line="360" w:lineRule="auto"/>
        <w:jc w:val="both"/>
        <w:rPr>
          <w:rFonts w:cs="Arial"/>
        </w:rPr>
      </w:pPr>
      <w:r w:rsidRPr="006B0014">
        <w:rPr>
          <w:rFonts w:cs="Arial"/>
        </w:rPr>
        <w:t>*Data presented as geometric mean (CVb%)</w:t>
      </w:r>
      <w:r w:rsidR="00826409">
        <w:rPr>
          <w:rFonts w:cs="Arial"/>
        </w:rPr>
        <w:t>.</w:t>
      </w:r>
    </w:p>
    <w:p w14:paraId="2C0F24F2" w14:textId="073BA1BC" w:rsidR="00DE0889" w:rsidRPr="006B0014" w:rsidRDefault="00DE0889" w:rsidP="00DE0889">
      <w:pPr>
        <w:spacing w:line="360" w:lineRule="auto"/>
        <w:jc w:val="both"/>
        <w:rPr>
          <w:rFonts w:cs="Arial"/>
        </w:rPr>
      </w:pPr>
      <w:r w:rsidRPr="006B0014">
        <w:rPr>
          <w:rFonts w:cs="Arial"/>
        </w:rPr>
        <w:t>AUC</w:t>
      </w:r>
      <w:r w:rsidRPr="006B0014">
        <w:rPr>
          <w:rFonts w:cs="Arial"/>
          <w:vertAlign w:val="subscript"/>
        </w:rPr>
        <w:t>(0–</w:t>
      </w:r>
      <w:r w:rsidR="005F18A0">
        <w:rPr>
          <w:rFonts w:cs="Arial"/>
          <w:vertAlign w:val="subscript"/>
        </w:rPr>
        <w:t>24</w:t>
      </w:r>
      <w:r w:rsidRPr="006B0014">
        <w:rPr>
          <w:rFonts w:cs="Arial"/>
          <w:vertAlign w:val="subscript"/>
        </w:rPr>
        <w:t>)</w:t>
      </w:r>
      <w:r w:rsidRPr="006B0014">
        <w:rPr>
          <w:rFonts w:cs="Arial"/>
        </w:rPr>
        <w:t xml:space="preserve">, area under the concentration-time curve </w:t>
      </w:r>
      <w:r w:rsidR="005F18A0" w:rsidRPr="00074C46">
        <w:rPr>
          <w:rFonts w:cs="Arial"/>
        </w:rPr>
        <w:t>from time 0 to 24 hours</w:t>
      </w:r>
      <w:r w:rsidRPr="006B0014">
        <w:rPr>
          <w:rFonts w:cs="Arial"/>
        </w:rPr>
        <w:t xml:space="preserve">; </w:t>
      </w:r>
      <w:r w:rsidR="00A22788" w:rsidRPr="006B0014">
        <w:rPr>
          <w:rFonts w:cs="Arial"/>
        </w:rPr>
        <w:t>AUC</w:t>
      </w:r>
      <w:r w:rsidR="00A22788" w:rsidRPr="006B0014">
        <w:rPr>
          <w:rFonts w:cs="Arial"/>
          <w:vertAlign w:val="subscript"/>
        </w:rPr>
        <w:t>(0–∞)</w:t>
      </w:r>
      <w:r w:rsidR="00A22788" w:rsidRPr="006B0014">
        <w:rPr>
          <w:rFonts w:cs="Arial"/>
        </w:rPr>
        <w:t xml:space="preserve">, area under the concentration-time curve from time 0 to infinity; </w:t>
      </w:r>
      <w:r w:rsidRPr="006B0014">
        <w:rPr>
          <w:rFonts w:cs="Arial"/>
        </w:rPr>
        <w:t>C</w:t>
      </w:r>
      <w:r w:rsidRPr="006B0014">
        <w:rPr>
          <w:rFonts w:cs="Arial"/>
          <w:vertAlign w:val="subscript"/>
        </w:rPr>
        <w:t>max</w:t>
      </w:r>
      <w:r w:rsidRPr="006B0014">
        <w:rPr>
          <w:rFonts w:cs="Arial"/>
        </w:rPr>
        <w:t xml:space="preserve">, maximum observed plasma concentration; </w:t>
      </w:r>
      <w:r w:rsidR="000E0470">
        <w:rPr>
          <w:rFonts w:cs="Arial"/>
        </w:rPr>
        <w:t>CV</w:t>
      </w:r>
      <w:r w:rsidR="006C7DE0">
        <w:rPr>
          <w:rFonts w:cs="Arial"/>
        </w:rPr>
        <w:t>b</w:t>
      </w:r>
      <w:r w:rsidR="000E0470">
        <w:rPr>
          <w:rFonts w:cs="Arial"/>
        </w:rPr>
        <w:t xml:space="preserve">, coefficient of </w:t>
      </w:r>
      <w:r w:rsidR="006C7DE0">
        <w:rPr>
          <w:rFonts w:cs="Arial"/>
        </w:rPr>
        <w:t xml:space="preserve">biological </w:t>
      </w:r>
      <w:r w:rsidR="000E0470">
        <w:rPr>
          <w:rFonts w:cs="Arial"/>
        </w:rPr>
        <w:t>varia</w:t>
      </w:r>
      <w:r w:rsidR="009017F9">
        <w:rPr>
          <w:rFonts w:cs="Arial"/>
        </w:rPr>
        <w:t>tion</w:t>
      </w:r>
      <w:r w:rsidR="000E0470">
        <w:rPr>
          <w:rFonts w:cs="Arial"/>
        </w:rPr>
        <w:t>; PD, pharmacodynamic;</w:t>
      </w:r>
      <w:r w:rsidR="009017F9">
        <w:rPr>
          <w:rFonts w:cs="Arial"/>
        </w:rPr>
        <w:t xml:space="preserve"> P</w:t>
      </w:r>
      <w:r w:rsidR="000E0470">
        <w:rPr>
          <w:rFonts w:cs="Arial"/>
        </w:rPr>
        <w:t xml:space="preserve">K, pharmacokinetic; </w:t>
      </w:r>
      <w:r w:rsidRPr="006B0014">
        <w:rPr>
          <w:rFonts w:cs="Arial"/>
        </w:rPr>
        <w:t>T</w:t>
      </w:r>
      <w:r w:rsidRPr="006B0014">
        <w:rPr>
          <w:rFonts w:cs="Arial"/>
          <w:vertAlign w:val="subscript"/>
        </w:rPr>
        <w:t>max</w:t>
      </w:r>
      <w:r w:rsidRPr="006B0014">
        <w:rPr>
          <w:rFonts w:cs="Arial"/>
        </w:rPr>
        <w:t>, time to reach C</w:t>
      </w:r>
      <w:r w:rsidRPr="006B0014">
        <w:rPr>
          <w:rFonts w:cs="Arial"/>
          <w:vertAlign w:val="subscript"/>
        </w:rPr>
        <w:t>max;</w:t>
      </w:r>
      <w:r w:rsidR="00A22788">
        <w:rPr>
          <w:rFonts w:cs="Arial"/>
        </w:rPr>
        <w:t>; t</w:t>
      </w:r>
      <w:r w:rsidRPr="006B0014">
        <w:rPr>
          <w:rFonts w:cs="Arial"/>
        </w:rPr>
        <w:t>½, terminal half</w:t>
      </w:r>
      <w:r w:rsidR="007D6006">
        <w:rPr>
          <w:rFonts w:cs="Arial"/>
        </w:rPr>
        <w:t>-</w:t>
      </w:r>
      <w:r w:rsidRPr="006B0014">
        <w:rPr>
          <w:rFonts w:cs="Arial"/>
        </w:rPr>
        <w:t>life</w:t>
      </w:r>
      <w:r w:rsidR="000E0470">
        <w:rPr>
          <w:rFonts w:cs="Arial"/>
        </w:rPr>
        <w:t>.</w:t>
      </w:r>
    </w:p>
    <w:p w14:paraId="16A9C123" w14:textId="77777777" w:rsidR="00DE0889" w:rsidRPr="006B0014" w:rsidRDefault="00DE0889">
      <w:pPr>
        <w:spacing w:line="240" w:lineRule="auto"/>
        <w:rPr>
          <w:rFonts w:eastAsiaTheme="majorEastAsia" w:cstheme="majorBidi"/>
          <w:b/>
          <w:sz w:val="24"/>
          <w:szCs w:val="24"/>
        </w:rPr>
      </w:pPr>
      <w:r w:rsidRPr="006B0014">
        <w:br w:type="page"/>
      </w:r>
    </w:p>
    <w:p w14:paraId="75012630" w14:textId="5E3BD90C" w:rsidR="00DE0889" w:rsidRPr="006B0014" w:rsidRDefault="00915D91" w:rsidP="00DE0889">
      <w:pPr>
        <w:pStyle w:val="Heading3"/>
      </w:pPr>
      <w:r>
        <w:lastRenderedPageBreak/>
        <w:t xml:space="preserve">Supplementary </w:t>
      </w:r>
      <w:r w:rsidR="00DE0889" w:rsidRPr="00074C46">
        <w:t xml:space="preserve">Table </w:t>
      </w:r>
      <w:r w:rsidR="008D14F0" w:rsidRPr="00074C46">
        <w:t>6</w:t>
      </w:r>
      <w:r w:rsidR="008D14F0">
        <w:t>:</w:t>
      </w:r>
      <w:r w:rsidR="00DE0889" w:rsidRPr="006B0014">
        <w:t xml:space="preserve"> P</w:t>
      </w:r>
      <w:r w:rsidR="0000741E">
        <w:t>K</w:t>
      </w:r>
      <w:r w:rsidR="00DE0889" w:rsidRPr="006B0014">
        <w:t xml:space="preserve"> parameters following multiple dose oral dosing of GSK2636771 (PK population)</w:t>
      </w:r>
    </w:p>
    <w:tbl>
      <w:tblPr>
        <w:tblStyle w:val="TableGrid"/>
        <w:tblW w:w="1081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1368"/>
        <w:gridCol w:w="1524"/>
        <w:gridCol w:w="1585"/>
        <w:gridCol w:w="1524"/>
        <w:gridCol w:w="2302"/>
      </w:tblGrid>
      <w:tr w:rsidR="00DE0889" w:rsidRPr="006B0014" w14:paraId="06450100" w14:textId="77777777" w:rsidTr="00F37DBA"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22F513" w14:textId="77777777" w:rsidR="00DE0889" w:rsidRPr="006B0014" w:rsidRDefault="00DE0889" w:rsidP="009758F4">
            <w:pPr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Preferred term, n (%)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20BAA4" w14:textId="55A083F3" w:rsidR="00DE0889" w:rsidRPr="006B0014" w:rsidRDefault="00DE0889">
            <w:pPr>
              <w:jc w:val="center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Dose</w:t>
            </w:r>
            <w:r w:rsidR="00493FE7">
              <w:rPr>
                <w:rFonts w:cs="Arial"/>
                <w:b/>
              </w:rPr>
              <w:t>-</w:t>
            </w:r>
            <w:r w:rsidRPr="006B0014">
              <w:rPr>
                <w:rFonts w:cs="Arial"/>
                <w:b/>
              </w:rPr>
              <w:t>escalation cohort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4C5CD" w14:textId="77777777" w:rsidR="00DE0889" w:rsidRPr="006B0014" w:rsidRDefault="00DE0889" w:rsidP="009758F4">
            <w:pPr>
              <w:jc w:val="center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Expansion cohort</w:t>
            </w:r>
          </w:p>
        </w:tc>
      </w:tr>
      <w:tr w:rsidR="00DE0889" w:rsidRPr="006B0014" w14:paraId="2B8CDE67" w14:textId="77777777" w:rsidTr="00F37DBA"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40F58" w14:textId="77777777" w:rsidR="00DE0889" w:rsidRPr="006B0014" w:rsidRDefault="00DE0889" w:rsidP="009758F4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D58F4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50 mg</w:t>
            </w:r>
          </w:p>
          <w:p w14:paraId="111A70C2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n=2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471C2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100 mg</w:t>
            </w:r>
          </w:p>
          <w:p w14:paraId="2E6CEA8E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n=4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F2394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200 mg</w:t>
            </w:r>
          </w:p>
          <w:p w14:paraId="79B49E02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n=5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EAA3D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350 mg</w:t>
            </w:r>
          </w:p>
          <w:p w14:paraId="3075B536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n=6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5A44C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400 mg</w:t>
            </w:r>
          </w:p>
          <w:p w14:paraId="096CBC9F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n=4</w:t>
            </w:r>
          </w:p>
        </w:tc>
      </w:tr>
      <w:tr w:rsidR="00DE0889" w:rsidRPr="006B0014" w14:paraId="5EDD3FC7" w14:textId="77777777" w:rsidTr="00F37DBA"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CE990" w14:textId="77777777" w:rsidR="00DE0889" w:rsidRPr="006B0014" w:rsidRDefault="00DE0889" w:rsidP="009758F4">
            <w:pPr>
              <w:spacing w:line="360" w:lineRule="auto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C</w:t>
            </w:r>
            <w:r w:rsidRPr="006B0014">
              <w:rPr>
                <w:rFonts w:cs="Arial"/>
                <w:b/>
                <w:vertAlign w:val="subscript"/>
              </w:rPr>
              <w:t>max</w:t>
            </w:r>
            <w:r w:rsidRPr="006B0014">
              <w:rPr>
                <w:rFonts w:cs="Arial"/>
                <w:b/>
              </w:rPr>
              <w:t>, ng/mL*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91279" w14:textId="77777777" w:rsidR="00DE0889" w:rsidRPr="006B0014" w:rsidRDefault="00DE0889" w:rsidP="009758F4">
            <w:pPr>
              <w:spacing w:line="360" w:lineRule="auto"/>
              <w:jc w:val="center"/>
            </w:pPr>
            <w:r w:rsidRPr="006B0014">
              <w:t>n=2</w:t>
            </w:r>
          </w:p>
          <w:p w14:paraId="17A6B202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t>2855 (42)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7A88D" w14:textId="77777777" w:rsidR="00DE0889" w:rsidRPr="006B0014" w:rsidRDefault="00DE0889" w:rsidP="009758F4">
            <w:pPr>
              <w:spacing w:line="360" w:lineRule="auto"/>
              <w:jc w:val="center"/>
            </w:pPr>
            <w:r w:rsidRPr="006B0014">
              <w:t xml:space="preserve">n=1 </w:t>
            </w:r>
          </w:p>
          <w:p w14:paraId="4DDA2168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t>5223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07A1C" w14:textId="77777777" w:rsidR="00DE0889" w:rsidRPr="006B0014" w:rsidRDefault="00DE0889" w:rsidP="009758F4">
            <w:pPr>
              <w:spacing w:line="360" w:lineRule="auto"/>
              <w:jc w:val="center"/>
            </w:pPr>
            <w:r w:rsidRPr="006B0014">
              <w:t xml:space="preserve">n=3 </w:t>
            </w:r>
          </w:p>
          <w:p w14:paraId="78994A27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t>9865 (14)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EAD09" w14:textId="77777777" w:rsidR="00DE0889" w:rsidRPr="006B0014" w:rsidRDefault="00DE0889" w:rsidP="009758F4">
            <w:pPr>
              <w:spacing w:line="360" w:lineRule="auto"/>
              <w:jc w:val="center"/>
            </w:pPr>
            <w:r w:rsidRPr="006B0014">
              <w:t>n=4</w:t>
            </w:r>
          </w:p>
          <w:p w14:paraId="4D00F747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t>15753 (12)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B43CC" w14:textId="77777777" w:rsidR="00DE0889" w:rsidRPr="006B0014" w:rsidRDefault="00DE0889" w:rsidP="009758F4">
            <w:pPr>
              <w:spacing w:line="360" w:lineRule="auto"/>
              <w:jc w:val="center"/>
            </w:pPr>
            <w:r w:rsidRPr="006B0014">
              <w:t>n=4</w:t>
            </w:r>
          </w:p>
          <w:p w14:paraId="6604BD40" w14:textId="77777777" w:rsidR="00DE0889" w:rsidRPr="006B0014" w:rsidRDefault="00DE0889" w:rsidP="009758F4">
            <w:pPr>
              <w:spacing w:line="360" w:lineRule="auto"/>
              <w:jc w:val="center"/>
            </w:pPr>
            <w:r w:rsidRPr="006B0014">
              <w:t>14075 (27)</w:t>
            </w:r>
          </w:p>
        </w:tc>
      </w:tr>
      <w:tr w:rsidR="00DE0889" w:rsidRPr="006B0014" w14:paraId="3C35F493" w14:textId="77777777" w:rsidTr="00F37DBA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68E494F9" w14:textId="77777777" w:rsidR="00DE0889" w:rsidRPr="006B0014" w:rsidRDefault="00DE0889" w:rsidP="009758F4">
            <w:pPr>
              <w:spacing w:line="360" w:lineRule="auto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T</w:t>
            </w:r>
            <w:r w:rsidRPr="006B0014">
              <w:rPr>
                <w:rFonts w:cs="Arial"/>
                <w:b/>
                <w:vertAlign w:val="subscript"/>
              </w:rPr>
              <w:t>max</w:t>
            </w:r>
            <w:r w:rsidRPr="006B0014">
              <w:rPr>
                <w:rFonts w:cs="Arial"/>
                <w:b/>
              </w:rPr>
              <w:t>, h, median (range)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43412F0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n=2</w:t>
            </w:r>
          </w:p>
          <w:p w14:paraId="7CC74C0A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3.06</w:t>
            </w:r>
          </w:p>
          <w:p w14:paraId="04BD0715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(2.03, 4.08)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62C57663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n=1</w:t>
            </w:r>
          </w:p>
          <w:p w14:paraId="4C5B91ED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8.00</w:t>
            </w:r>
          </w:p>
          <w:p w14:paraId="6FFA0264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(8.00, 8.00)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653AB99A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n=3</w:t>
            </w:r>
          </w:p>
          <w:p w14:paraId="18EF2BC7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4.20</w:t>
            </w:r>
          </w:p>
          <w:p w14:paraId="2A6F3B2D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(4.00, 6.17)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083DE493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n=4</w:t>
            </w:r>
          </w:p>
          <w:p w14:paraId="497689DC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6.02</w:t>
            </w:r>
          </w:p>
          <w:p w14:paraId="63938813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(4.00, 9.83)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14:paraId="2DD821DC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n=4</w:t>
            </w:r>
          </w:p>
          <w:p w14:paraId="5797D069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8.15</w:t>
            </w:r>
          </w:p>
          <w:p w14:paraId="76231DAA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(6.08, 9.92)</w:t>
            </w:r>
          </w:p>
        </w:tc>
      </w:tr>
      <w:tr w:rsidR="00DE0889" w:rsidRPr="006B0014" w14:paraId="4C7B9563" w14:textId="77777777" w:rsidTr="00F37DBA"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481F1" w14:textId="77777777" w:rsidR="00DE0889" w:rsidRPr="006B0014" w:rsidRDefault="00DE0889" w:rsidP="009758F4">
            <w:pPr>
              <w:spacing w:line="360" w:lineRule="auto"/>
              <w:rPr>
                <w:rFonts w:cs="Arial"/>
                <w:b/>
              </w:rPr>
            </w:pPr>
            <w:r w:rsidRPr="006B0014">
              <w:rPr>
                <w:rFonts w:cs="Arial"/>
                <w:b/>
              </w:rPr>
              <w:t>AUC</w:t>
            </w:r>
            <w:r w:rsidRPr="006B0014">
              <w:rPr>
                <w:rFonts w:cs="Arial"/>
                <w:b/>
                <w:vertAlign w:val="subscript"/>
              </w:rPr>
              <w:t>(0–τ)</w:t>
            </w:r>
            <w:r w:rsidRPr="006B0014">
              <w:rPr>
                <w:rFonts w:cs="Arial"/>
                <w:b/>
              </w:rPr>
              <w:t>, h·ng/mL*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9F2E3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n=1</w:t>
            </w:r>
          </w:p>
          <w:p w14:paraId="2357BD84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27050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E3CA1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n=1</w:t>
            </w:r>
          </w:p>
          <w:p w14:paraId="5538D7DC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82572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DF801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n=3</w:t>
            </w:r>
          </w:p>
          <w:p w14:paraId="12DFF31E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123035 (31)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E7495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n=3</w:t>
            </w:r>
          </w:p>
          <w:p w14:paraId="724B3D53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185811 (13)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C7C65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n=2</w:t>
            </w:r>
          </w:p>
          <w:p w14:paraId="01BD0BD5" w14:textId="77777777" w:rsidR="00DE0889" w:rsidRPr="006B0014" w:rsidRDefault="00DE0889" w:rsidP="009758F4">
            <w:pPr>
              <w:spacing w:line="360" w:lineRule="auto"/>
              <w:jc w:val="center"/>
              <w:rPr>
                <w:rFonts w:cs="Arial"/>
              </w:rPr>
            </w:pPr>
            <w:r w:rsidRPr="006B0014">
              <w:rPr>
                <w:rFonts w:cs="Arial"/>
              </w:rPr>
              <w:t>290100 (12)</w:t>
            </w:r>
          </w:p>
        </w:tc>
      </w:tr>
    </w:tbl>
    <w:p w14:paraId="3C1EDAD9" w14:textId="734BF15F" w:rsidR="00DE0889" w:rsidRPr="006B0014" w:rsidRDefault="00DE0889" w:rsidP="00DE0889">
      <w:pPr>
        <w:spacing w:line="360" w:lineRule="auto"/>
        <w:jc w:val="both"/>
        <w:rPr>
          <w:rFonts w:cs="Arial"/>
        </w:rPr>
      </w:pPr>
      <w:r w:rsidRPr="006B0014">
        <w:rPr>
          <w:rFonts w:cs="Arial"/>
        </w:rPr>
        <w:t>*Data presented as geometric mean (CVb%)</w:t>
      </w:r>
      <w:r w:rsidR="00826409">
        <w:rPr>
          <w:rFonts w:cs="Arial"/>
        </w:rPr>
        <w:t>.</w:t>
      </w:r>
    </w:p>
    <w:p w14:paraId="04CC72F1" w14:textId="39028457" w:rsidR="00915D91" w:rsidRDefault="00DE0889" w:rsidP="008D29CE">
      <w:pPr>
        <w:spacing w:line="360" w:lineRule="auto"/>
        <w:rPr>
          <w:rFonts w:cs="Arial"/>
          <w:vertAlign w:val="subscript"/>
        </w:rPr>
      </w:pPr>
      <w:r w:rsidRPr="006B0014">
        <w:rPr>
          <w:rFonts w:cs="Arial"/>
        </w:rPr>
        <w:t>AUC</w:t>
      </w:r>
      <w:r w:rsidRPr="006B0014">
        <w:rPr>
          <w:rFonts w:cs="Arial"/>
          <w:vertAlign w:val="subscript"/>
        </w:rPr>
        <w:t>(0–τ)</w:t>
      </w:r>
      <w:r w:rsidRPr="006B0014">
        <w:rPr>
          <w:rFonts w:cs="Arial"/>
        </w:rPr>
        <w:t>, area under the concentration-time curve over the dosing interval; C</w:t>
      </w:r>
      <w:r w:rsidRPr="006B0014">
        <w:rPr>
          <w:rFonts w:cs="Arial"/>
          <w:vertAlign w:val="subscript"/>
        </w:rPr>
        <w:t>max</w:t>
      </w:r>
      <w:r w:rsidRPr="006B0014">
        <w:rPr>
          <w:rFonts w:cs="Arial"/>
        </w:rPr>
        <w:t xml:space="preserve">, maximum observed plasma concentration; </w:t>
      </w:r>
      <w:r w:rsidR="0000741E">
        <w:rPr>
          <w:rFonts w:cs="Arial"/>
        </w:rPr>
        <w:t>CV</w:t>
      </w:r>
      <w:r w:rsidR="006C7DE0">
        <w:rPr>
          <w:rFonts w:cs="Arial"/>
        </w:rPr>
        <w:t>b</w:t>
      </w:r>
      <w:r w:rsidR="0000741E">
        <w:rPr>
          <w:rFonts w:cs="Arial"/>
        </w:rPr>
        <w:t xml:space="preserve">, coefficient of </w:t>
      </w:r>
      <w:r w:rsidR="006C7DE0">
        <w:rPr>
          <w:rFonts w:cs="Arial"/>
        </w:rPr>
        <w:t xml:space="preserve">biological </w:t>
      </w:r>
      <w:r w:rsidR="0000741E">
        <w:rPr>
          <w:rFonts w:cs="Arial"/>
        </w:rPr>
        <w:t>varia</w:t>
      </w:r>
      <w:r w:rsidR="00C45619">
        <w:rPr>
          <w:rFonts w:cs="Arial"/>
        </w:rPr>
        <w:t>tion</w:t>
      </w:r>
      <w:r w:rsidR="0000741E">
        <w:rPr>
          <w:rFonts w:cs="Arial"/>
        </w:rPr>
        <w:t xml:space="preserve">; PK, pharmacokinetic; </w:t>
      </w:r>
      <w:r w:rsidRPr="006B0014">
        <w:rPr>
          <w:rFonts w:cs="Arial"/>
        </w:rPr>
        <w:t>T</w:t>
      </w:r>
      <w:r w:rsidRPr="006B0014">
        <w:rPr>
          <w:rFonts w:cs="Arial"/>
          <w:vertAlign w:val="subscript"/>
        </w:rPr>
        <w:t>max</w:t>
      </w:r>
      <w:r w:rsidRPr="006B0014">
        <w:rPr>
          <w:rFonts w:cs="Arial"/>
        </w:rPr>
        <w:t>, time to reach C</w:t>
      </w:r>
      <w:r w:rsidR="008D29CE" w:rsidRPr="006B0014">
        <w:rPr>
          <w:rFonts w:cs="Arial"/>
          <w:vertAlign w:val="subscript"/>
        </w:rPr>
        <w:t>ma</w:t>
      </w:r>
      <w:r w:rsidR="0000741E">
        <w:rPr>
          <w:rFonts w:cs="Arial"/>
          <w:vertAlign w:val="subscript"/>
        </w:rPr>
        <w:t>x.</w:t>
      </w:r>
    </w:p>
    <w:p w14:paraId="282079F4" w14:textId="77777777" w:rsidR="00915D91" w:rsidRDefault="00915D91">
      <w:pPr>
        <w:spacing w:line="240" w:lineRule="auto"/>
        <w:rPr>
          <w:rFonts w:cs="Arial"/>
          <w:vertAlign w:val="subscript"/>
        </w:rPr>
      </w:pPr>
      <w:r>
        <w:rPr>
          <w:rFonts w:cs="Arial"/>
          <w:vertAlign w:val="subscript"/>
        </w:rPr>
        <w:br w:type="page"/>
      </w:r>
    </w:p>
    <w:p w14:paraId="64330E9C" w14:textId="74A2734A" w:rsidR="004E55EB" w:rsidRPr="00074C46" w:rsidRDefault="00915D91" w:rsidP="00C13B21">
      <w:pPr>
        <w:spacing w:after="240" w:line="360" w:lineRule="auto"/>
        <w:rPr>
          <w:rFonts w:eastAsiaTheme="majorEastAsia" w:cstheme="majorBidi"/>
          <w:b/>
          <w:sz w:val="24"/>
          <w:szCs w:val="24"/>
        </w:rPr>
      </w:pPr>
      <w:bookmarkStart w:id="0" w:name="_GoBack"/>
      <w:bookmarkEnd w:id="0"/>
      <w:r w:rsidRPr="00074C46">
        <w:rPr>
          <w:rFonts w:eastAsiaTheme="majorEastAsia" w:cstheme="majorBidi"/>
          <w:b/>
          <w:sz w:val="24"/>
          <w:szCs w:val="24"/>
        </w:rPr>
        <w:lastRenderedPageBreak/>
        <w:t>Supplementary Table 7: Next</w:t>
      </w:r>
      <w:r w:rsidR="00460A8D" w:rsidRPr="00074C46">
        <w:rPr>
          <w:rFonts w:eastAsiaTheme="majorEastAsia" w:cstheme="majorBidi"/>
          <w:b/>
          <w:sz w:val="24"/>
          <w:szCs w:val="24"/>
        </w:rPr>
        <w:t>-</w:t>
      </w:r>
      <w:r w:rsidRPr="00074C46">
        <w:rPr>
          <w:rFonts w:eastAsiaTheme="majorEastAsia" w:cstheme="majorBidi"/>
          <w:b/>
          <w:sz w:val="24"/>
          <w:szCs w:val="24"/>
        </w:rPr>
        <w:t>generation sequencing of tumor biopsy samples (see separate Excel file)</w:t>
      </w:r>
    </w:p>
    <w:p w14:paraId="00F342DC" w14:textId="172DC6DC" w:rsidR="00915D91" w:rsidRPr="00074C46" w:rsidRDefault="00915D91" w:rsidP="00C13B21">
      <w:pPr>
        <w:spacing w:after="240" w:line="360" w:lineRule="auto"/>
        <w:rPr>
          <w:rFonts w:eastAsiaTheme="majorEastAsia" w:cstheme="majorBidi"/>
          <w:b/>
          <w:sz w:val="24"/>
          <w:szCs w:val="24"/>
        </w:rPr>
      </w:pPr>
      <w:r w:rsidRPr="00074C46">
        <w:rPr>
          <w:rFonts w:eastAsiaTheme="majorEastAsia" w:cstheme="majorBidi"/>
          <w:b/>
          <w:sz w:val="24"/>
          <w:szCs w:val="24"/>
        </w:rPr>
        <w:t>Supplementary Table 8: Copy number variations for patients with tumor biopsy samples available (see separate Excel file)</w:t>
      </w:r>
    </w:p>
    <w:p w14:paraId="591B5137" w14:textId="44CCDF92" w:rsidR="00915D91" w:rsidRPr="006B0014" w:rsidRDefault="00915D91" w:rsidP="00C13B21">
      <w:pPr>
        <w:spacing w:after="240" w:line="360" w:lineRule="auto"/>
        <w:rPr>
          <w:rFonts w:eastAsiaTheme="majorEastAsia" w:cstheme="majorBidi"/>
          <w:b/>
          <w:sz w:val="24"/>
          <w:szCs w:val="24"/>
        </w:rPr>
      </w:pPr>
      <w:r w:rsidRPr="00074C46">
        <w:rPr>
          <w:rFonts w:eastAsiaTheme="majorEastAsia" w:cstheme="majorBidi"/>
          <w:b/>
          <w:sz w:val="24"/>
          <w:szCs w:val="24"/>
        </w:rPr>
        <w:t xml:space="preserve">Supplementary Table 9: Summary of copy number variations as assessed by </w:t>
      </w:r>
      <w:r w:rsidR="00460A8D" w:rsidRPr="00074C46">
        <w:rPr>
          <w:rFonts w:eastAsiaTheme="majorEastAsia" w:cstheme="majorBidi"/>
          <w:b/>
          <w:sz w:val="24"/>
          <w:szCs w:val="24"/>
        </w:rPr>
        <w:t>polymerase chain reaction</w:t>
      </w:r>
      <w:r w:rsidRPr="00074C46">
        <w:rPr>
          <w:rFonts w:eastAsiaTheme="majorEastAsia" w:cstheme="majorBidi"/>
          <w:b/>
          <w:sz w:val="24"/>
          <w:szCs w:val="24"/>
        </w:rPr>
        <w:t xml:space="preserve"> (see separate Excel file)</w:t>
      </w:r>
    </w:p>
    <w:sectPr w:rsidR="00915D91" w:rsidRPr="006B0014" w:rsidSect="004E55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787"/>
    <w:multiLevelType w:val="hybridMultilevel"/>
    <w:tmpl w:val="9D5C6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7AA4"/>
    <w:multiLevelType w:val="hybridMultilevel"/>
    <w:tmpl w:val="69BCD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73065"/>
    <w:multiLevelType w:val="hybridMultilevel"/>
    <w:tmpl w:val="92C050F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59234FBD"/>
    <w:multiLevelType w:val="hybridMultilevel"/>
    <w:tmpl w:val="8F74E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80CA0"/>
    <w:multiLevelType w:val="hybridMultilevel"/>
    <w:tmpl w:val="36802CB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758D036F"/>
    <w:multiLevelType w:val="hybridMultilevel"/>
    <w:tmpl w:val="C6F09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2C"/>
    <w:rsid w:val="0000004B"/>
    <w:rsid w:val="00000B19"/>
    <w:rsid w:val="0000116A"/>
    <w:rsid w:val="00001F52"/>
    <w:rsid w:val="00002193"/>
    <w:rsid w:val="00002E03"/>
    <w:rsid w:val="000041B8"/>
    <w:rsid w:val="00006BE5"/>
    <w:rsid w:val="0000741E"/>
    <w:rsid w:val="000109B3"/>
    <w:rsid w:val="00013A17"/>
    <w:rsid w:val="0001595D"/>
    <w:rsid w:val="00015AD5"/>
    <w:rsid w:val="000169FA"/>
    <w:rsid w:val="00017693"/>
    <w:rsid w:val="00017A6B"/>
    <w:rsid w:val="00017DD7"/>
    <w:rsid w:val="000203B5"/>
    <w:rsid w:val="00020AD9"/>
    <w:rsid w:val="000219DD"/>
    <w:rsid w:val="000222A3"/>
    <w:rsid w:val="00023805"/>
    <w:rsid w:val="00024A9A"/>
    <w:rsid w:val="00026470"/>
    <w:rsid w:val="0002714D"/>
    <w:rsid w:val="00027463"/>
    <w:rsid w:val="0003008C"/>
    <w:rsid w:val="00030ACD"/>
    <w:rsid w:val="000320D0"/>
    <w:rsid w:val="00032B5E"/>
    <w:rsid w:val="00033B7C"/>
    <w:rsid w:val="00034724"/>
    <w:rsid w:val="000359E0"/>
    <w:rsid w:val="00035DF2"/>
    <w:rsid w:val="00036BE4"/>
    <w:rsid w:val="00037DD2"/>
    <w:rsid w:val="00040B38"/>
    <w:rsid w:val="0004335E"/>
    <w:rsid w:val="00043C28"/>
    <w:rsid w:val="0004410C"/>
    <w:rsid w:val="00046321"/>
    <w:rsid w:val="00046A96"/>
    <w:rsid w:val="000473EB"/>
    <w:rsid w:val="0004774F"/>
    <w:rsid w:val="000479E6"/>
    <w:rsid w:val="0005012E"/>
    <w:rsid w:val="0005086C"/>
    <w:rsid w:val="00052185"/>
    <w:rsid w:val="000537DA"/>
    <w:rsid w:val="00054C6E"/>
    <w:rsid w:val="000603ED"/>
    <w:rsid w:val="0006139F"/>
    <w:rsid w:val="00063CAE"/>
    <w:rsid w:val="00064C37"/>
    <w:rsid w:val="00065497"/>
    <w:rsid w:val="00067EED"/>
    <w:rsid w:val="00070934"/>
    <w:rsid w:val="00071F2A"/>
    <w:rsid w:val="000740CB"/>
    <w:rsid w:val="00074C46"/>
    <w:rsid w:val="000767F5"/>
    <w:rsid w:val="00077381"/>
    <w:rsid w:val="00081439"/>
    <w:rsid w:val="000825AF"/>
    <w:rsid w:val="000828BF"/>
    <w:rsid w:val="00082A13"/>
    <w:rsid w:val="00087984"/>
    <w:rsid w:val="00090AB8"/>
    <w:rsid w:val="00090C48"/>
    <w:rsid w:val="00094BE5"/>
    <w:rsid w:val="00095CFF"/>
    <w:rsid w:val="00097564"/>
    <w:rsid w:val="000A044A"/>
    <w:rsid w:val="000A05DB"/>
    <w:rsid w:val="000A2015"/>
    <w:rsid w:val="000A3AD1"/>
    <w:rsid w:val="000A47BD"/>
    <w:rsid w:val="000A5A07"/>
    <w:rsid w:val="000A5D38"/>
    <w:rsid w:val="000A60B7"/>
    <w:rsid w:val="000A6C3B"/>
    <w:rsid w:val="000A7EA3"/>
    <w:rsid w:val="000B28D0"/>
    <w:rsid w:val="000B397B"/>
    <w:rsid w:val="000B4078"/>
    <w:rsid w:val="000B56BF"/>
    <w:rsid w:val="000C1CD6"/>
    <w:rsid w:val="000C2C34"/>
    <w:rsid w:val="000C492D"/>
    <w:rsid w:val="000C4B52"/>
    <w:rsid w:val="000C4F0F"/>
    <w:rsid w:val="000C50B3"/>
    <w:rsid w:val="000C659A"/>
    <w:rsid w:val="000C6998"/>
    <w:rsid w:val="000C6C09"/>
    <w:rsid w:val="000C7270"/>
    <w:rsid w:val="000D0BD9"/>
    <w:rsid w:val="000D20A4"/>
    <w:rsid w:val="000D2B2C"/>
    <w:rsid w:val="000D32C2"/>
    <w:rsid w:val="000D6089"/>
    <w:rsid w:val="000D6147"/>
    <w:rsid w:val="000E0470"/>
    <w:rsid w:val="000E1616"/>
    <w:rsid w:val="000E2427"/>
    <w:rsid w:val="000E2F5C"/>
    <w:rsid w:val="000E3D84"/>
    <w:rsid w:val="000E597C"/>
    <w:rsid w:val="000E5AA4"/>
    <w:rsid w:val="000E7091"/>
    <w:rsid w:val="000F0170"/>
    <w:rsid w:val="000F20EE"/>
    <w:rsid w:val="000F2E8D"/>
    <w:rsid w:val="000F4BAA"/>
    <w:rsid w:val="000F52D7"/>
    <w:rsid w:val="000F5948"/>
    <w:rsid w:val="000F5DA2"/>
    <w:rsid w:val="000F5F07"/>
    <w:rsid w:val="00100DEB"/>
    <w:rsid w:val="0010224F"/>
    <w:rsid w:val="00102378"/>
    <w:rsid w:val="00102715"/>
    <w:rsid w:val="00103116"/>
    <w:rsid w:val="00103265"/>
    <w:rsid w:val="001046C8"/>
    <w:rsid w:val="0010474E"/>
    <w:rsid w:val="00104A3F"/>
    <w:rsid w:val="00104AE7"/>
    <w:rsid w:val="00106D85"/>
    <w:rsid w:val="001108DE"/>
    <w:rsid w:val="00110C3F"/>
    <w:rsid w:val="00113F3D"/>
    <w:rsid w:val="00116B43"/>
    <w:rsid w:val="001175F6"/>
    <w:rsid w:val="0011770C"/>
    <w:rsid w:val="0012087B"/>
    <w:rsid w:val="00120F9F"/>
    <w:rsid w:val="00121458"/>
    <w:rsid w:val="00121ADC"/>
    <w:rsid w:val="0012303A"/>
    <w:rsid w:val="00124AC3"/>
    <w:rsid w:val="00124F6F"/>
    <w:rsid w:val="001264F9"/>
    <w:rsid w:val="00126B9B"/>
    <w:rsid w:val="00130738"/>
    <w:rsid w:val="00130A23"/>
    <w:rsid w:val="001311D6"/>
    <w:rsid w:val="00131C2B"/>
    <w:rsid w:val="0013293E"/>
    <w:rsid w:val="001346E7"/>
    <w:rsid w:val="001357FF"/>
    <w:rsid w:val="00135895"/>
    <w:rsid w:val="00136594"/>
    <w:rsid w:val="00136FFD"/>
    <w:rsid w:val="001370A6"/>
    <w:rsid w:val="00140D24"/>
    <w:rsid w:val="00141C7A"/>
    <w:rsid w:val="00142F8B"/>
    <w:rsid w:val="00143DE0"/>
    <w:rsid w:val="00145DD3"/>
    <w:rsid w:val="00150B49"/>
    <w:rsid w:val="00152BE8"/>
    <w:rsid w:val="001530CF"/>
    <w:rsid w:val="00153925"/>
    <w:rsid w:val="00155DB8"/>
    <w:rsid w:val="001603EF"/>
    <w:rsid w:val="00161189"/>
    <w:rsid w:val="00162050"/>
    <w:rsid w:val="0016311F"/>
    <w:rsid w:val="00163C4B"/>
    <w:rsid w:val="00164CBC"/>
    <w:rsid w:val="0017004D"/>
    <w:rsid w:val="00171319"/>
    <w:rsid w:val="0017300D"/>
    <w:rsid w:val="0017377B"/>
    <w:rsid w:val="00173997"/>
    <w:rsid w:val="00175120"/>
    <w:rsid w:val="00175421"/>
    <w:rsid w:val="00180762"/>
    <w:rsid w:val="00180DC2"/>
    <w:rsid w:val="00181CCC"/>
    <w:rsid w:val="00182193"/>
    <w:rsid w:val="00182958"/>
    <w:rsid w:val="00182BE1"/>
    <w:rsid w:val="00183470"/>
    <w:rsid w:val="0018358D"/>
    <w:rsid w:val="00183686"/>
    <w:rsid w:val="0018548F"/>
    <w:rsid w:val="001854BA"/>
    <w:rsid w:val="00185812"/>
    <w:rsid w:val="00185E10"/>
    <w:rsid w:val="00187884"/>
    <w:rsid w:val="001878CA"/>
    <w:rsid w:val="00190F6E"/>
    <w:rsid w:val="0019121A"/>
    <w:rsid w:val="001917F6"/>
    <w:rsid w:val="001939C1"/>
    <w:rsid w:val="00194FA9"/>
    <w:rsid w:val="00195024"/>
    <w:rsid w:val="00197AEE"/>
    <w:rsid w:val="001A096E"/>
    <w:rsid w:val="001A0D59"/>
    <w:rsid w:val="001A24F4"/>
    <w:rsid w:val="001A2777"/>
    <w:rsid w:val="001B08D8"/>
    <w:rsid w:val="001B1BF8"/>
    <w:rsid w:val="001B26EE"/>
    <w:rsid w:val="001B3C32"/>
    <w:rsid w:val="001B477F"/>
    <w:rsid w:val="001B6A91"/>
    <w:rsid w:val="001B7D14"/>
    <w:rsid w:val="001C0035"/>
    <w:rsid w:val="001C05ED"/>
    <w:rsid w:val="001C084A"/>
    <w:rsid w:val="001C1A50"/>
    <w:rsid w:val="001C23C2"/>
    <w:rsid w:val="001C2D5F"/>
    <w:rsid w:val="001C441D"/>
    <w:rsid w:val="001C5611"/>
    <w:rsid w:val="001C7255"/>
    <w:rsid w:val="001D20F5"/>
    <w:rsid w:val="001D2E89"/>
    <w:rsid w:val="001D378F"/>
    <w:rsid w:val="001D3D10"/>
    <w:rsid w:val="001D4062"/>
    <w:rsid w:val="001D4FDE"/>
    <w:rsid w:val="001E1700"/>
    <w:rsid w:val="001E204E"/>
    <w:rsid w:val="001E21B5"/>
    <w:rsid w:val="001E4CD4"/>
    <w:rsid w:val="001E4F0D"/>
    <w:rsid w:val="001E6035"/>
    <w:rsid w:val="001F06DA"/>
    <w:rsid w:val="001F141B"/>
    <w:rsid w:val="001F141F"/>
    <w:rsid w:val="001F208B"/>
    <w:rsid w:val="001F2438"/>
    <w:rsid w:val="001F24B4"/>
    <w:rsid w:val="001F5E07"/>
    <w:rsid w:val="001F696B"/>
    <w:rsid w:val="001F6C75"/>
    <w:rsid w:val="001F6D77"/>
    <w:rsid w:val="00201351"/>
    <w:rsid w:val="00201F44"/>
    <w:rsid w:val="00202780"/>
    <w:rsid w:val="00204266"/>
    <w:rsid w:val="00204F7E"/>
    <w:rsid w:val="0020719C"/>
    <w:rsid w:val="002071CD"/>
    <w:rsid w:val="00207440"/>
    <w:rsid w:val="0020745C"/>
    <w:rsid w:val="00210FF3"/>
    <w:rsid w:val="00211DF1"/>
    <w:rsid w:val="00213284"/>
    <w:rsid w:val="00213B39"/>
    <w:rsid w:val="00214473"/>
    <w:rsid w:val="002156B2"/>
    <w:rsid w:val="00216706"/>
    <w:rsid w:val="002178F3"/>
    <w:rsid w:val="00220658"/>
    <w:rsid w:val="00221B00"/>
    <w:rsid w:val="00222440"/>
    <w:rsid w:val="00224F7F"/>
    <w:rsid w:val="00225E48"/>
    <w:rsid w:val="00226789"/>
    <w:rsid w:val="00227C1F"/>
    <w:rsid w:val="002300D6"/>
    <w:rsid w:val="00230F6E"/>
    <w:rsid w:val="002313A1"/>
    <w:rsid w:val="00232475"/>
    <w:rsid w:val="00232590"/>
    <w:rsid w:val="002333C1"/>
    <w:rsid w:val="00236A24"/>
    <w:rsid w:val="002373C7"/>
    <w:rsid w:val="002417BC"/>
    <w:rsid w:val="00242855"/>
    <w:rsid w:val="002433B0"/>
    <w:rsid w:val="00243BFA"/>
    <w:rsid w:val="00243C52"/>
    <w:rsid w:val="002441F5"/>
    <w:rsid w:val="00245B67"/>
    <w:rsid w:val="00245BB0"/>
    <w:rsid w:val="00247536"/>
    <w:rsid w:val="00247D32"/>
    <w:rsid w:val="002503B1"/>
    <w:rsid w:val="00250576"/>
    <w:rsid w:val="002523CF"/>
    <w:rsid w:val="002526B0"/>
    <w:rsid w:val="0025407B"/>
    <w:rsid w:val="00254A1D"/>
    <w:rsid w:val="002559DA"/>
    <w:rsid w:val="00256F65"/>
    <w:rsid w:val="00260E4A"/>
    <w:rsid w:val="00260FA2"/>
    <w:rsid w:val="00261473"/>
    <w:rsid w:val="002623D1"/>
    <w:rsid w:val="002633AF"/>
    <w:rsid w:val="00266115"/>
    <w:rsid w:val="00267102"/>
    <w:rsid w:val="002674A0"/>
    <w:rsid w:val="002678F3"/>
    <w:rsid w:val="002709BC"/>
    <w:rsid w:val="00270C64"/>
    <w:rsid w:val="00270EE3"/>
    <w:rsid w:val="00271078"/>
    <w:rsid w:val="00271141"/>
    <w:rsid w:val="002718FE"/>
    <w:rsid w:val="00271D1C"/>
    <w:rsid w:val="002744D0"/>
    <w:rsid w:val="0027550F"/>
    <w:rsid w:val="00275F0B"/>
    <w:rsid w:val="0027740C"/>
    <w:rsid w:val="00277918"/>
    <w:rsid w:val="002806CE"/>
    <w:rsid w:val="00282904"/>
    <w:rsid w:val="002830F9"/>
    <w:rsid w:val="00284100"/>
    <w:rsid w:val="00284360"/>
    <w:rsid w:val="002848CE"/>
    <w:rsid w:val="00284ACB"/>
    <w:rsid w:val="00284FD6"/>
    <w:rsid w:val="00285121"/>
    <w:rsid w:val="002851C6"/>
    <w:rsid w:val="00285AAE"/>
    <w:rsid w:val="0028673E"/>
    <w:rsid w:val="00287A12"/>
    <w:rsid w:val="00290045"/>
    <w:rsid w:val="00290737"/>
    <w:rsid w:val="0029166F"/>
    <w:rsid w:val="002916E6"/>
    <w:rsid w:val="0029173F"/>
    <w:rsid w:val="00294635"/>
    <w:rsid w:val="002950DC"/>
    <w:rsid w:val="00296A41"/>
    <w:rsid w:val="002A0463"/>
    <w:rsid w:val="002A086D"/>
    <w:rsid w:val="002A0BC5"/>
    <w:rsid w:val="002A2816"/>
    <w:rsid w:val="002A2BA1"/>
    <w:rsid w:val="002A30F6"/>
    <w:rsid w:val="002A37E2"/>
    <w:rsid w:val="002A405A"/>
    <w:rsid w:val="002A6073"/>
    <w:rsid w:val="002A688E"/>
    <w:rsid w:val="002A727C"/>
    <w:rsid w:val="002B0923"/>
    <w:rsid w:val="002B1612"/>
    <w:rsid w:val="002B1D7C"/>
    <w:rsid w:val="002B3E12"/>
    <w:rsid w:val="002B5CD7"/>
    <w:rsid w:val="002B7786"/>
    <w:rsid w:val="002B7D9F"/>
    <w:rsid w:val="002C0922"/>
    <w:rsid w:val="002C1DAC"/>
    <w:rsid w:val="002C210D"/>
    <w:rsid w:val="002C2A30"/>
    <w:rsid w:val="002C46BD"/>
    <w:rsid w:val="002C50BC"/>
    <w:rsid w:val="002C5A43"/>
    <w:rsid w:val="002C60AC"/>
    <w:rsid w:val="002C74E0"/>
    <w:rsid w:val="002C79C7"/>
    <w:rsid w:val="002C7BE0"/>
    <w:rsid w:val="002D0142"/>
    <w:rsid w:val="002D04D3"/>
    <w:rsid w:val="002D1077"/>
    <w:rsid w:val="002D12C9"/>
    <w:rsid w:val="002D23D4"/>
    <w:rsid w:val="002D26C5"/>
    <w:rsid w:val="002D4695"/>
    <w:rsid w:val="002D48DE"/>
    <w:rsid w:val="002D59C6"/>
    <w:rsid w:val="002D5F59"/>
    <w:rsid w:val="002D61B0"/>
    <w:rsid w:val="002E46D4"/>
    <w:rsid w:val="002E53B2"/>
    <w:rsid w:val="002E564B"/>
    <w:rsid w:val="002E61B3"/>
    <w:rsid w:val="002F0B04"/>
    <w:rsid w:val="002F1F54"/>
    <w:rsid w:val="002F2FAA"/>
    <w:rsid w:val="002F3A43"/>
    <w:rsid w:val="002F4334"/>
    <w:rsid w:val="002F53E3"/>
    <w:rsid w:val="002F5ABE"/>
    <w:rsid w:val="002F5CA9"/>
    <w:rsid w:val="002F7F76"/>
    <w:rsid w:val="002F7FA2"/>
    <w:rsid w:val="00300061"/>
    <w:rsid w:val="00300638"/>
    <w:rsid w:val="0030066F"/>
    <w:rsid w:val="003008DB"/>
    <w:rsid w:val="00301006"/>
    <w:rsid w:val="00301F86"/>
    <w:rsid w:val="00304582"/>
    <w:rsid w:val="00304820"/>
    <w:rsid w:val="00304B5C"/>
    <w:rsid w:val="003052AB"/>
    <w:rsid w:val="00306FD0"/>
    <w:rsid w:val="00306FD4"/>
    <w:rsid w:val="003075FB"/>
    <w:rsid w:val="0030796A"/>
    <w:rsid w:val="003110F8"/>
    <w:rsid w:val="003116F9"/>
    <w:rsid w:val="0031355A"/>
    <w:rsid w:val="003140C4"/>
    <w:rsid w:val="003144F1"/>
    <w:rsid w:val="00316622"/>
    <w:rsid w:val="00320CE1"/>
    <w:rsid w:val="00320F25"/>
    <w:rsid w:val="003222DF"/>
    <w:rsid w:val="0032710E"/>
    <w:rsid w:val="003276BC"/>
    <w:rsid w:val="003278B9"/>
    <w:rsid w:val="00327FB4"/>
    <w:rsid w:val="00330139"/>
    <w:rsid w:val="00330795"/>
    <w:rsid w:val="00330CF9"/>
    <w:rsid w:val="003315EF"/>
    <w:rsid w:val="003320B5"/>
    <w:rsid w:val="00332154"/>
    <w:rsid w:val="00332FC8"/>
    <w:rsid w:val="00333625"/>
    <w:rsid w:val="00333DED"/>
    <w:rsid w:val="00334824"/>
    <w:rsid w:val="00336226"/>
    <w:rsid w:val="00337285"/>
    <w:rsid w:val="0033773C"/>
    <w:rsid w:val="00340429"/>
    <w:rsid w:val="00340702"/>
    <w:rsid w:val="003436F4"/>
    <w:rsid w:val="00343A69"/>
    <w:rsid w:val="00343B74"/>
    <w:rsid w:val="003463FA"/>
    <w:rsid w:val="0035360F"/>
    <w:rsid w:val="0035456F"/>
    <w:rsid w:val="00354BC0"/>
    <w:rsid w:val="00362CBF"/>
    <w:rsid w:val="00363517"/>
    <w:rsid w:val="003639C9"/>
    <w:rsid w:val="0036638F"/>
    <w:rsid w:val="00367D40"/>
    <w:rsid w:val="00372491"/>
    <w:rsid w:val="0037340E"/>
    <w:rsid w:val="00375750"/>
    <w:rsid w:val="00376752"/>
    <w:rsid w:val="003771AB"/>
    <w:rsid w:val="003779E7"/>
    <w:rsid w:val="00380020"/>
    <w:rsid w:val="00380A3F"/>
    <w:rsid w:val="003835B6"/>
    <w:rsid w:val="0038460F"/>
    <w:rsid w:val="00386DAF"/>
    <w:rsid w:val="003913FA"/>
    <w:rsid w:val="003918B9"/>
    <w:rsid w:val="00391BF1"/>
    <w:rsid w:val="00392D41"/>
    <w:rsid w:val="00394158"/>
    <w:rsid w:val="00394AE1"/>
    <w:rsid w:val="00396A08"/>
    <w:rsid w:val="003973F9"/>
    <w:rsid w:val="003A0A83"/>
    <w:rsid w:val="003A0E81"/>
    <w:rsid w:val="003A1924"/>
    <w:rsid w:val="003A594A"/>
    <w:rsid w:val="003A6628"/>
    <w:rsid w:val="003A6D6A"/>
    <w:rsid w:val="003A7E0D"/>
    <w:rsid w:val="003B11F2"/>
    <w:rsid w:val="003B25B5"/>
    <w:rsid w:val="003B2B0C"/>
    <w:rsid w:val="003B2BCD"/>
    <w:rsid w:val="003B3A8B"/>
    <w:rsid w:val="003B4BB0"/>
    <w:rsid w:val="003B52CC"/>
    <w:rsid w:val="003B52F6"/>
    <w:rsid w:val="003B61EE"/>
    <w:rsid w:val="003B6A74"/>
    <w:rsid w:val="003C1229"/>
    <w:rsid w:val="003C1E82"/>
    <w:rsid w:val="003C2582"/>
    <w:rsid w:val="003C2B08"/>
    <w:rsid w:val="003C2E80"/>
    <w:rsid w:val="003C462A"/>
    <w:rsid w:val="003C4643"/>
    <w:rsid w:val="003C4D51"/>
    <w:rsid w:val="003C6877"/>
    <w:rsid w:val="003D2E7F"/>
    <w:rsid w:val="003D34C7"/>
    <w:rsid w:val="003D3FF2"/>
    <w:rsid w:val="003D4010"/>
    <w:rsid w:val="003D594A"/>
    <w:rsid w:val="003D64BF"/>
    <w:rsid w:val="003D6FE2"/>
    <w:rsid w:val="003E0FFD"/>
    <w:rsid w:val="003E1628"/>
    <w:rsid w:val="003E370B"/>
    <w:rsid w:val="003E4B71"/>
    <w:rsid w:val="003E7183"/>
    <w:rsid w:val="003E7814"/>
    <w:rsid w:val="003F01BD"/>
    <w:rsid w:val="003F025C"/>
    <w:rsid w:val="003F180A"/>
    <w:rsid w:val="003F1963"/>
    <w:rsid w:val="003F2F0E"/>
    <w:rsid w:val="003F507A"/>
    <w:rsid w:val="003F62CB"/>
    <w:rsid w:val="0040006D"/>
    <w:rsid w:val="00401E1E"/>
    <w:rsid w:val="00406768"/>
    <w:rsid w:val="0040732F"/>
    <w:rsid w:val="004104F0"/>
    <w:rsid w:val="0041068B"/>
    <w:rsid w:val="004117DC"/>
    <w:rsid w:val="00412FA5"/>
    <w:rsid w:val="00414DA5"/>
    <w:rsid w:val="00416AB2"/>
    <w:rsid w:val="00416C77"/>
    <w:rsid w:val="00421295"/>
    <w:rsid w:val="0042401C"/>
    <w:rsid w:val="00424834"/>
    <w:rsid w:val="00425C8D"/>
    <w:rsid w:val="00430395"/>
    <w:rsid w:val="004336C1"/>
    <w:rsid w:val="00433E5C"/>
    <w:rsid w:val="00434094"/>
    <w:rsid w:val="0043445A"/>
    <w:rsid w:val="00434636"/>
    <w:rsid w:val="00435950"/>
    <w:rsid w:val="004359D9"/>
    <w:rsid w:val="004359F5"/>
    <w:rsid w:val="00435A3D"/>
    <w:rsid w:val="00435D01"/>
    <w:rsid w:val="00435D7C"/>
    <w:rsid w:val="00437366"/>
    <w:rsid w:val="00437FB1"/>
    <w:rsid w:val="00442A3F"/>
    <w:rsid w:val="00444171"/>
    <w:rsid w:val="00444F61"/>
    <w:rsid w:val="004463D0"/>
    <w:rsid w:val="00447713"/>
    <w:rsid w:val="00447723"/>
    <w:rsid w:val="004514F1"/>
    <w:rsid w:val="00452B57"/>
    <w:rsid w:val="0045447E"/>
    <w:rsid w:val="004550A9"/>
    <w:rsid w:val="004562E0"/>
    <w:rsid w:val="00456EAC"/>
    <w:rsid w:val="00460298"/>
    <w:rsid w:val="00460A8D"/>
    <w:rsid w:val="00460D35"/>
    <w:rsid w:val="004611C4"/>
    <w:rsid w:val="0046434A"/>
    <w:rsid w:val="00464D4A"/>
    <w:rsid w:val="0046720F"/>
    <w:rsid w:val="004672A6"/>
    <w:rsid w:val="00467517"/>
    <w:rsid w:val="00467B82"/>
    <w:rsid w:val="004711D3"/>
    <w:rsid w:val="0047195E"/>
    <w:rsid w:val="00472D2A"/>
    <w:rsid w:val="00472D58"/>
    <w:rsid w:val="00473395"/>
    <w:rsid w:val="00476CE1"/>
    <w:rsid w:val="00477A81"/>
    <w:rsid w:val="0048467B"/>
    <w:rsid w:val="0048726C"/>
    <w:rsid w:val="004878C3"/>
    <w:rsid w:val="00491299"/>
    <w:rsid w:val="00491C7E"/>
    <w:rsid w:val="00493EBB"/>
    <w:rsid w:val="00493FE7"/>
    <w:rsid w:val="00494960"/>
    <w:rsid w:val="004951A7"/>
    <w:rsid w:val="004967FE"/>
    <w:rsid w:val="00497B95"/>
    <w:rsid w:val="004A27A2"/>
    <w:rsid w:val="004A78B7"/>
    <w:rsid w:val="004B0C82"/>
    <w:rsid w:val="004B1E89"/>
    <w:rsid w:val="004B2A32"/>
    <w:rsid w:val="004B749D"/>
    <w:rsid w:val="004B7B19"/>
    <w:rsid w:val="004C06F9"/>
    <w:rsid w:val="004C1F77"/>
    <w:rsid w:val="004C229C"/>
    <w:rsid w:val="004C393F"/>
    <w:rsid w:val="004C4D07"/>
    <w:rsid w:val="004C50A9"/>
    <w:rsid w:val="004C5285"/>
    <w:rsid w:val="004C61E0"/>
    <w:rsid w:val="004C6C71"/>
    <w:rsid w:val="004C7B43"/>
    <w:rsid w:val="004D0C7E"/>
    <w:rsid w:val="004D375E"/>
    <w:rsid w:val="004D3A45"/>
    <w:rsid w:val="004D4629"/>
    <w:rsid w:val="004D571B"/>
    <w:rsid w:val="004D5BC7"/>
    <w:rsid w:val="004D71C6"/>
    <w:rsid w:val="004D7BB9"/>
    <w:rsid w:val="004E0104"/>
    <w:rsid w:val="004E0D07"/>
    <w:rsid w:val="004E3111"/>
    <w:rsid w:val="004E3990"/>
    <w:rsid w:val="004E417D"/>
    <w:rsid w:val="004E50AA"/>
    <w:rsid w:val="004E55EB"/>
    <w:rsid w:val="004E6248"/>
    <w:rsid w:val="004E63FF"/>
    <w:rsid w:val="004E7474"/>
    <w:rsid w:val="004E76A2"/>
    <w:rsid w:val="004F0D8A"/>
    <w:rsid w:val="004F2238"/>
    <w:rsid w:val="004F22A3"/>
    <w:rsid w:val="004F4C54"/>
    <w:rsid w:val="004F527E"/>
    <w:rsid w:val="004F60DE"/>
    <w:rsid w:val="004F6EA2"/>
    <w:rsid w:val="004F7088"/>
    <w:rsid w:val="00501B4E"/>
    <w:rsid w:val="00501DE3"/>
    <w:rsid w:val="0050203B"/>
    <w:rsid w:val="005030CE"/>
    <w:rsid w:val="00504E6C"/>
    <w:rsid w:val="00505739"/>
    <w:rsid w:val="0051054D"/>
    <w:rsid w:val="00510AA0"/>
    <w:rsid w:val="005144A4"/>
    <w:rsid w:val="0051539D"/>
    <w:rsid w:val="00517678"/>
    <w:rsid w:val="005222AA"/>
    <w:rsid w:val="0052363F"/>
    <w:rsid w:val="005249C6"/>
    <w:rsid w:val="00525559"/>
    <w:rsid w:val="005258DF"/>
    <w:rsid w:val="005274DA"/>
    <w:rsid w:val="00527ECF"/>
    <w:rsid w:val="0053022C"/>
    <w:rsid w:val="00530B5F"/>
    <w:rsid w:val="005320E7"/>
    <w:rsid w:val="005321F1"/>
    <w:rsid w:val="00532436"/>
    <w:rsid w:val="0053328C"/>
    <w:rsid w:val="00533EAA"/>
    <w:rsid w:val="00534D6A"/>
    <w:rsid w:val="0053568C"/>
    <w:rsid w:val="00535B2C"/>
    <w:rsid w:val="00535E36"/>
    <w:rsid w:val="00536C3F"/>
    <w:rsid w:val="005402B6"/>
    <w:rsid w:val="0054104A"/>
    <w:rsid w:val="00541FB1"/>
    <w:rsid w:val="0054355D"/>
    <w:rsid w:val="00543D19"/>
    <w:rsid w:val="005458F5"/>
    <w:rsid w:val="00546983"/>
    <w:rsid w:val="005471A2"/>
    <w:rsid w:val="0055068A"/>
    <w:rsid w:val="005507F4"/>
    <w:rsid w:val="00552383"/>
    <w:rsid w:val="005536BA"/>
    <w:rsid w:val="005542E4"/>
    <w:rsid w:val="00554BE7"/>
    <w:rsid w:val="00555489"/>
    <w:rsid w:val="005563A6"/>
    <w:rsid w:val="00556843"/>
    <w:rsid w:val="00557B0F"/>
    <w:rsid w:val="00560852"/>
    <w:rsid w:val="0056241C"/>
    <w:rsid w:val="00562DC9"/>
    <w:rsid w:val="00562E70"/>
    <w:rsid w:val="005632CC"/>
    <w:rsid w:val="0056378E"/>
    <w:rsid w:val="00563A1D"/>
    <w:rsid w:val="005645F2"/>
    <w:rsid w:val="005650EA"/>
    <w:rsid w:val="005658A4"/>
    <w:rsid w:val="0056626D"/>
    <w:rsid w:val="0056705C"/>
    <w:rsid w:val="005676EC"/>
    <w:rsid w:val="00570DFE"/>
    <w:rsid w:val="005713FC"/>
    <w:rsid w:val="00571A4B"/>
    <w:rsid w:val="005740B2"/>
    <w:rsid w:val="00576C30"/>
    <w:rsid w:val="00576FA9"/>
    <w:rsid w:val="00577C55"/>
    <w:rsid w:val="00577E74"/>
    <w:rsid w:val="00580B6E"/>
    <w:rsid w:val="00581C62"/>
    <w:rsid w:val="00582DD1"/>
    <w:rsid w:val="00582EF5"/>
    <w:rsid w:val="00583497"/>
    <w:rsid w:val="0058362D"/>
    <w:rsid w:val="00583834"/>
    <w:rsid w:val="0058471B"/>
    <w:rsid w:val="00586460"/>
    <w:rsid w:val="00587BEF"/>
    <w:rsid w:val="00591196"/>
    <w:rsid w:val="005938BB"/>
    <w:rsid w:val="0059425D"/>
    <w:rsid w:val="00594FD1"/>
    <w:rsid w:val="00596BB9"/>
    <w:rsid w:val="005A20D7"/>
    <w:rsid w:val="005A3525"/>
    <w:rsid w:val="005A3F4F"/>
    <w:rsid w:val="005A4277"/>
    <w:rsid w:val="005A58C2"/>
    <w:rsid w:val="005A6E29"/>
    <w:rsid w:val="005B03E3"/>
    <w:rsid w:val="005B045C"/>
    <w:rsid w:val="005B07A0"/>
    <w:rsid w:val="005B07CC"/>
    <w:rsid w:val="005B10AD"/>
    <w:rsid w:val="005B1740"/>
    <w:rsid w:val="005B31BB"/>
    <w:rsid w:val="005B3860"/>
    <w:rsid w:val="005B6CE1"/>
    <w:rsid w:val="005C0A49"/>
    <w:rsid w:val="005C1656"/>
    <w:rsid w:val="005C51DA"/>
    <w:rsid w:val="005C5512"/>
    <w:rsid w:val="005C5674"/>
    <w:rsid w:val="005C571C"/>
    <w:rsid w:val="005C5F33"/>
    <w:rsid w:val="005C640B"/>
    <w:rsid w:val="005D21E8"/>
    <w:rsid w:val="005D4B81"/>
    <w:rsid w:val="005D4D10"/>
    <w:rsid w:val="005D5AFF"/>
    <w:rsid w:val="005D5E18"/>
    <w:rsid w:val="005D623A"/>
    <w:rsid w:val="005D62AB"/>
    <w:rsid w:val="005D65E3"/>
    <w:rsid w:val="005D6B2E"/>
    <w:rsid w:val="005D6D4F"/>
    <w:rsid w:val="005D77A3"/>
    <w:rsid w:val="005E0F22"/>
    <w:rsid w:val="005E0FB6"/>
    <w:rsid w:val="005E28B4"/>
    <w:rsid w:val="005E37EC"/>
    <w:rsid w:val="005E3C84"/>
    <w:rsid w:val="005E3FDC"/>
    <w:rsid w:val="005E4AEB"/>
    <w:rsid w:val="005E4E6B"/>
    <w:rsid w:val="005E4F9F"/>
    <w:rsid w:val="005E515F"/>
    <w:rsid w:val="005E7252"/>
    <w:rsid w:val="005F00E3"/>
    <w:rsid w:val="005F107F"/>
    <w:rsid w:val="005F11E4"/>
    <w:rsid w:val="005F11F0"/>
    <w:rsid w:val="005F18A0"/>
    <w:rsid w:val="005F1FC2"/>
    <w:rsid w:val="005F245A"/>
    <w:rsid w:val="005F2C87"/>
    <w:rsid w:val="005F3E78"/>
    <w:rsid w:val="005F4346"/>
    <w:rsid w:val="005F4F96"/>
    <w:rsid w:val="005F6200"/>
    <w:rsid w:val="005F7F00"/>
    <w:rsid w:val="006008DA"/>
    <w:rsid w:val="006011D6"/>
    <w:rsid w:val="0060146F"/>
    <w:rsid w:val="00602BB6"/>
    <w:rsid w:val="00604090"/>
    <w:rsid w:val="00604D1C"/>
    <w:rsid w:val="00606061"/>
    <w:rsid w:val="00607A41"/>
    <w:rsid w:val="00610A52"/>
    <w:rsid w:val="0061149B"/>
    <w:rsid w:val="0061482E"/>
    <w:rsid w:val="00615AD4"/>
    <w:rsid w:val="00616113"/>
    <w:rsid w:val="00616C9F"/>
    <w:rsid w:val="00617EB8"/>
    <w:rsid w:val="0062294D"/>
    <w:rsid w:val="00623B31"/>
    <w:rsid w:val="00624245"/>
    <w:rsid w:val="006255EB"/>
    <w:rsid w:val="00626D58"/>
    <w:rsid w:val="006275FD"/>
    <w:rsid w:val="00627B5F"/>
    <w:rsid w:val="0063119E"/>
    <w:rsid w:val="00632EB7"/>
    <w:rsid w:val="00633EF8"/>
    <w:rsid w:val="0063425C"/>
    <w:rsid w:val="006343B9"/>
    <w:rsid w:val="00635127"/>
    <w:rsid w:val="006353E3"/>
    <w:rsid w:val="0063585C"/>
    <w:rsid w:val="00637E48"/>
    <w:rsid w:val="006405EE"/>
    <w:rsid w:val="00641EE9"/>
    <w:rsid w:val="00642D55"/>
    <w:rsid w:val="00643B5C"/>
    <w:rsid w:val="006477AC"/>
    <w:rsid w:val="00647A61"/>
    <w:rsid w:val="00650F3E"/>
    <w:rsid w:val="00650F53"/>
    <w:rsid w:val="00652FBA"/>
    <w:rsid w:val="00655290"/>
    <w:rsid w:val="00655980"/>
    <w:rsid w:val="006569C0"/>
    <w:rsid w:val="00657046"/>
    <w:rsid w:val="00657BB1"/>
    <w:rsid w:val="00660B3C"/>
    <w:rsid w:val="00661B78"/>
    <w:rsid w:val="00663661"/>
    <w:rsid w:val="00664A79"/>
    <w:rsid w:val="00666BC6"/>
    <w:rsid w:val="00667BAA"/>
    <w:rsid w:val="00671BC6"/>
    <w:rsid w:val="00672D6C"/>
    <w:rsid w:val="00673265"/>
    <w:rsid w:val="00674F44"/>
    <w:rsid w:val="00675E3A"/>
    <w:rsid w:val="00676F38"/>
    <w:rsid w:val="00677189"/>
    <w:rsid w:val="006776AB"/>
    <w:rsid w:val="00681D57"/>
    <w:rsid w:val="00681E95"/>
    <w:rsid w:val="00681FBA"/>
    <w:rsid w:val="0068254A"/>
    <w:rsid w:val="00682DA1"/>
    <w:rsid w:val="006837F3"/>
    <w:rsid w:val="00683E87"/>
    <w:rsid w:val="00685453"/>
    <w:rsid w:val="006865DE"/>
    <w:rsid w:val="00686A72"/>
    <w:rsid w:val="006876BD"/>
    <w:rsid w:val="0069018F"/>
    <w:rsid w:val="00690F10"/>
    <w:rsid w:val="006913AE"/>
    <w:rsid w:val="006926A9"/>
    <w:rsid w:val="00693E0C"/>
    <w:rsid w:val="0069550B"/>
    <w:rsid w:val="00697AC1"/>
    <w:rsid w:val="006A0429"/>
    <w:rsid w:val="006A04C4"/>
    <w:rsid w:val="006A3772"/>
    <w:rsid w:val="006A573D"/>
    <w:rsid w:val="006A61FA"/>
    <w:rsid w:val="006B0014"/>
    <w:rsid w:val="006B06F1"/>
    <w:rsid w:val="006B14C4"/>
    <w:rsid w:val="006B1BCA"/>
    <w:rsid w:val="006B2144"/>
    <w:rsid w:val="006B26AD"/>
    <w:rsid w:val="006B31AF"/>
    <w:rsid w:val="006B37F6"/>
    <w:rsid w:val="006B3FA0"/>
    <w:rsid w:val="006B4CB6"/>
    <w:rsid w:val="006B5C3F"/>
    <w:rsid w:val="006C00CC"/>
    <w:rsid w:val="006C0E24"/>
    <w:rsid w:val="006C154A"/>
    <w:rsid w:val="006C1D16"/>
    <w:rsid w:val="006C1F18"/>
    <w:rsid w:val="006C34A0"/>
    <w:rsid w:val="006C5C8D"/>
    <w:rsid w:val="006C7DE0"/>
    <w:rsid w:val="006D0D10"/>
    <w:rsid w:val="006D1315"/>
    <w:rsid w:val="006D1EA9"/>
    <w:rsid w:val="006D24F3"/>
    <w:rsid w:val="006D25E1"/>
    <w:rsid w:val="006D5793"/>
    <w:rsid w:val="006E0547"/>
    <w:rsid w:val="006E0A76"/>
    <w:rsid w:val="006E117E"/>
    <w:rsid w:val="006E1D2A"/>
    <w:rsid w:val="006E3B68"/>
    <w:rsid w:val="006E5168"/>
    <w:rsid w:val="006E66EE"/>
    <w:rsid w:val="006E7B8C"/>
    <w:rsid w:val="006F1A4A"/>
    <w:rsid w:val="006F1D7A"/>
    <w:rsid w:val="006F1DDD"/>
    <w:rsid w:val="006F2CA4"/>
    <w:rsid w:val="006F43D5"/>
    <w:rsid w:val="006F4D82"/>
    <w:rsid w:val="007004A6"/>
    <w:rsid w:val="00700650"/>
    <w:rsid w:val="007018F8"/>
    <w:rsid w:val="00703776"/>
    <w:rsid w:val="00703C59"/>
    <w:rsid w:val="00704155"/>
    <w:rsid w:val="0070430F"/>
    <w:rsid w:val="00704A64"/>
    <w:rsid w:val="00705AB5"/>
    <w:rsid w:val="007061A0"/>
    <w:rsid w:val="00707D16"/>
    <w:rsid w:val="00710129"/>
    <w:rsid w:val="00710366"/>
    <w:rsid w:val="00710CE9"/>
    <w:rsid w:val="007111C7"/>
    <w:rsid w:val="007122D9"/>
    <w:rsid w:val="00712558"/>
    <w:rsid w:val="0071365C"/>
    <w:rsid w:val="007145CD"/>
    <w:rsid w:val="00715113"/>
    <w:rsid w:val="00715D4B"/>
    <w:rsid w:val="00715D85"/>
    <w:rsid w:val="00717E4F"/>
    <w:rsid w:val="007203A2"/>
    <w:rsid w:val="0072069F"/>
    <w:rsid w:val="00723031"/>
    <w:rsid w:val="007233A7"/>
    <w:rsid w:val="00724652"/>
    <w:rsid w:val="00725302"/>
    <w:rsid w:val="007258B4"/>
    <w:rsid w:val="00725C3F"/>
    <w:rsid w:val="00726414"/>
    <w:rsid w:val="00727BEC"/>
    <w:rsid w:val="00731051"/>
    <w:rsid w:val="00731710"/>
    <w:rsid w:val="0073237F"/>
    <w:rsid w:val="00732DC8"/>
    <w:rsid w:val="007366A2"/>
    <w:rsid w:val="007372A9"/>
    <w:rsid w:val="00740AC5"/>
    <w:rsid w:val="00742242"/>
    <w:rsid w:val="0074414D"/>
    <w:rsid w:val="007442AD"/>
    <w:rsid w:val="007459F5"/>
    <w:rsid w:val="00746CEE"/>
    <w:rsid w:val="007506C2"/>
    <w:rsid w:val="00751E9F"/>
    <w:rsid w:val="00754E4A"/>
    <w:rsid w:val="00755978"/>
    <w:rsid w:val="00764BC9"/>
    <w:rsid w:val="007678EA"/>
    <w:rsid w:val="00767B9C"/>
    <w:rsid w:val="007702E4"/>
    <w:rsid w:val="00770867"/>
    <w:rsid w:val="00770A47"/>
    <w:rsid w:val="00771678"/>
    <w:rsid w:val="00772CA1"/>
    <w:rsid w:val="007743AF"/>
    <w:rsid w:val="00774633"/>
    <w:rsid w:val="00775C13"/>
    <w:rsid w:val="00776854"/>
    <w:rsid w:val="007774C7"/>
    <w:rsid w:val="0077783F"/>
    <w:rsid w:val="00781F4E"/>
    <w:rsid w:val="00782EDA"/>
    <w:rsid w:val="007832A7"/>
    <w:rsid w:val="00784B3F"/>
    <w:rsid w:val="007856BC"/>
    <w:rsid w:val="007903F9"/>
    <w:rsid w:val="007919AF"/>
    <w:rsid w:val="00791B81"/>
    <w:rsid w:val="00792656"/>
    <w:rsid w:val="00793E1F"/>
    <w:rsid w:val="007948ED"/>
    <w:rsid w:val="007A07DE"/>
    <w:rsid w:val="007A0FDA"/>
    <w:rsid w:val="007A12EA"/>
    <w:rsid w:val="007A203D"/>
    <w:rsid w:val="007A2C46"/>
    <w:rsid w:val="007A33EB"/>
    <w:rsid w:val="007A340A"/>
    <w:rsid w:val="007A39F6"/>
    <w:rsid w:val="007A3FB8"/>
    <w:rsid w:val="007A6653"/>
    <w:rsid w:val="007A7281"/>
    <w:rsid w:val="007A7501"/>
    <w:rsid w:val="007B020A"/>
    <w:rsid w:val="007B47E2"/>
    <w:rsid w:val="007B5003"/>
    <w:rsid w:val="007B5493"/>
    <w:rsid w:val="007B5CED"/>
    <w:rsid w:val="007B6B3D"/>
    <w:rsid w:val="007B764D"/>
    <w:rsid w:val="007C09FB"/>
    <w:rsid w:val="007C2422"/>
    <w:rsid w:val="007C24A5"/>
    <w:rsid w:val="007C4725"/>
    <w:rsid w:val="007D08F4"/>
    <w:rsid w:val="007D0C2E"/>
    <w:rsid w:val="007D2F56"/>
    <w:rsid w:val="007D5167"/>
    <w:rsid w:val="007D56CB"/>
    <w:rsid w:val="007D5F70"/>
    <w:rsid w:val="007D6006"/>
    <w:rsid w:val="007D67B1"/>
    <w:rsid w:val="007D6B9C"/>
    <w:rsid w:val="007E2AAF"/>
    <w:rsid w:val="007E35D7"/>
    <w:rsid w:val="007E493F"/>
    <w:rsid w:val="007E4A39"/>
    <w:rsid w:val="007E51CE"/>
    <w:rsid w:val="007E54A9"/>
    <w:rsid w:val="007E586F"/>
    <w:rsid w:val="007E5BB6"/>
    <w:rsid w:val="007E688D"/>
    <w:rsid w:val="007F017B"/>
    <w:rsid w:val="007F0B14"/>
    <w:rsid w:val="007F2C70"/>
    <w:rsid w:val="007F32A4"/>
    <w:rsid w:val="007F3373"/>
    <w:rsid w:val="007F3515"/>
    <w:rsid w:val="007F380B"/>
    <w:rsid w:val="007F3E08"/>
    <w:rsid w:val="007F477D"/>
    <w:rsid w:val="007F50BC"/>
    <w:rsid w:val="007F5C80"/>
    <w:rsid w:val="0080299C"/>
    <w:rsid w:val="0080333A"/>
    <w:rsid w:val="0080378E"/>
    <w:rsid w:val="00803F89"/>
    <w:rsid w:val="008043BC"/>
    <w:rsid w:val="008049D5"/>
    <w:rsid w:val="0080616B"/>
    <w:rsid w:val="00810E97"/>
    <w:rsid w:val="008112CF"/>
    <w:rsid w:val="008133A3"/>
    <w:rsid w:val="00813590"/>
    <w:rsid w:val="00813610"/>
    <w:rsid w:val="00814FDF"/>
    <w:rsid w:val="00815A36"/>
    <w:rsid w:val="00816160"/>
    <w:rsid w:val="008171CA"/>
    <w:rsid w:val="00820333"/>
    <w:rsid w:val="008203FD"/>
    <w:rsid w:val="00822834"/>
    <w:rsid w:val="00822C4F"/>
    <w:rsid w:val="00823DB2"/>
    <w:rsid w:val="008254E0"/>
    <w:rsid w:val="00826409"/>
    <w:rsid w:val="00827EC3"/>
    <w:rsid w:val="0083115F"/>
    <w:rsid w:val="00837271"/>
    <w:rsid w:val="008408A4"/>
    <w:rsid w:val="00840B9D"/>
    <w:rsid w:val="00841308"/>
    <w:rsid w:val="00845B06"/>
    <w:rsid w:val="00846212"/>
    <w:rsid w:val="0084664B"/>
    <w:rsid w:val="0084698A"/>
    <w:rsid w:val="00846D3D"/>
    <w:rsid w:val="00847A37"/>
    <w:rsid w:val="008516F3"/>
    <w:rsid w:val="00852093"/>
    <w:rsid w:val="00852817"/>
    <w:rsid w:val="00853316"/>
    <w:rsid w:val="00853CA2"/>
    <w:rsid w:val="008544E6"/>
    <w:rsid w:val="0085659A"/>
    <w:rsid w:val="008565B6"/>
    <w:rsid w:val="00864045"/>
    <w:rsid w:val="008640E5"/>
    <w:rsid w:val="00866A02"/>
    <w:rsid w:val="00866E9B"/>
    <w:rsid w:val="00867E86"/>
    <w:rsid w:val="00873C98"/>
    <w:rsid w:val="0087612C"/>
    <w:rsid w:val="008761EC"/>
    <w:rsid w:val="0088046E"/>
    <w:rsid w:val="00880911"/>
    <w:rsid w:val="008827DA"/>
    <w:rsid w:val="00882AA8"/>
    <w:rsid w:val="00883EE2"/>
    <w:rsid w:val="00884DD6"/>
    <w:rsid w:val="0088779A"/>
    <w:rsid w:val="008908E3"/>
    <w:rsid w:val="0089136B"/>
    <w:rsid w:val="0089513F"/>
    <w:rsid w:val="008965D7"/>
    <w:rsid w:val="00897604"/>
    <w:rsid w:val="00897BF5"/>
    <w:rsid w:val="008A222E"/>
    <w:rsid w:val="008A2C09"/>
    <w:rsid w:val="008A517F"/>
    <w:rsid w:val="008A65CA"/>
    <w:rsid w:val="008A6AA6"/>
    <w:rsid w:val="008A6FB0"/>
    <w:rsid w:val="008A7E26"/>
    <w:rsid w:val="008B0295"/>
    <w:rsid w:val="008B1884"/>
    <w:rsid w:val="008B3BAC"/>
    <w:rsid w:val="008B43FB"/>
    <w:rsid w:val="008B4C2A"/>
    <w:rsid w:val="008B5BB2"/>
    <w:rsid w:val="008B7444"/>
    <w:rsid w:val="008B7F55"/>
    <w:rsid w:val="008C236F"/>
    <w:rsid w:val="008C385F"/>
    <w:rsid w:val="008C6140"/>
    <w:rsid w:val="008C6368"/>
    <w:rsid w:val="008C6D48"/>
    <w:rsid w:val="008C6DEC"/>
    <w:rsid w:val="008C7512"/>
    <w:rsid w:val="008D14F0"/>
    <w:rsid w:val="008D1ABA"/>
    <w:rsid w:val="008D1D9A"/>
    <w:rsid w:val="008D29CE"/>
    <w:rsid w:val="008D3021"/>
    <w:rsid w:val="008D4B8B"/>
    <w:rsid w:val="008D651C"/>
    <w:rsid w:val="008D6921"/>
    <w:rsid w:val="008E09C0"/>
    <w:rsid w:val="008E0A63"/>
    <w:rsid w:val="008E2A4B"/>
    <w:rsid w:val="008E2E40"/>
    <w:rsid w:val="008E3A42"/>
    <w:rsid w:val="008E4B24"/>
    <w:rsid w:val="008E6190"/>
    <w:rsid w:val="008E7D3C"/>
    <w:rsid w:val="008F07C7"/>
    <w:rsid w:val="008F142E"/>
    <w:rsid w:val="008F1A61"/>
    <w:rsid w:val="008F24E5"/>
    <w:rsid w:val="008F40A1"/>
    <w:rsid w:val="008F58F9"/>
    <w:rsid w:val="008F6B38"/>
    <w:rsid w:val="008F71FA"/>
    <w:rsid w:val="009017F9"/>
    <w:rsid w:val="00901925"/>
    <w:rsid w:val="00901E14"/>
    <w:rsid w:val="00904118"/>
    <w:rsid w:val="00905506"/>
    <w:rsid w:val="00905F21"/>
    <w:rsid w:val="00906F17"/>
    <w:rsid w:val="00910345"/>
    <w:rsid w:val="009104A2"/>
    <w:rsid w:val="00910CC6"/>
    <w:rsid w:val="009137D9"/>
    <w:rsid w:val="00914FCC"/>
    <w:rsid w:val="00915D91"/>
    <w:rsid w:val="009167EF"/>
    <w:rsid w:val="00916A84"/>
    <w:rsid w:val="00916AC9"/>
    <w:rsid w:val="00916FCE"/>
    <w:rsid w:val="009174D1"/>
    <w:rsid w:val="00917A70"/>
    <w:rsid w:val="009201EE"/>
    <w:rsid w:val="00920CFA"/>
    <w:rsid w:val="0092273E"/>
    <w:rsid w:val="00924775"/>
    <w:rsid w:val="00924CC6"/>
    <w:rsid w:val="0092640D"/>
    <w:rsid w:val="0092767A"/>
    <w:rsid w:val="009306A1"/>
    <w:rsid w:val="00931047"/>
    <w:rsid w:val="0093244F"/>
    <w:rsid w:val="009330E9"/>
    <w:rsid w:val="00933265"/>
    <w:rsid w:val="009357D4"/>
    <w:rsid w:val="009357ED"/>
    <w:rsid w:val="00935D44"/>
    <w:rsid w:val="00936389"/>
    <w:rsid w:val="00936682"/>
    <w:rsid w:val="009367DF"/>
    <w:rsid w:val="009367E7"/>
    <w:rsid w:val="00937063"/>
    <w:rsid w:val="00940AA0"/>
    <w:rsid w:val="009423C6"/>
    <w:rsid w:val="009424CA"/>
    <w:rsid w:val="00943708"/>
    <w:rsid w:val="009454B1"/>
    <w:rsid w:val="009457CC"/>
    <w:rsid w:val="009466CA"/>
    <w:rsid w:val="00953084"/>
    <w:rsid w:val="009537E3"/>
    <w:rsid w:val="00954B6B"/>
    <w:rsid w:val="009562E1"/>
    <w:rsid w:val="0095664C"/>
    <w:rsid w:val="00960C6D"/>
    <w:rsid w:val="0096157C"/>
    <w:rsid w:val="0096238D"/>
    <w:rsid w:val="00962EBC"/>
    <w:rsid w:val="009652CF"/>
    <w:rsid w:val="00965317"/>
    <w:rsid w:val="00965658"/>
    <w:rsid w:val="009671A0"/>
    <w:rsid w:val="00967EC4"/>
    <w:rsid w:val="0097020C"/>
    <w:rsid w:val="009726E1"/>
    <w:rsid w:val="00972D37"/>
    <w:rsid w:val="00973277"/>
    <w:rsid w:val="009745A1"/>
    <w:rsid w:val="00974ACE"/>
    <w:rsid w:val="00975833"/>
    <w:rsid w:val="009758F4"/>
    <w:rsid w:val="00976029"/>
    <w:rsid w:val="009769B7"/>
    <w:rsid w:val="009803EA"/>
    <w:rsid w:val="0098355A"/>
    <w:rsid w:val="00985CD9"/>
    <w:rsid w:val="0098643A"/>
    <w:rsid w:val="00986986"/>
    <w:rsid w:val="00986B04"/>
    <w:rsid w:val="00986D7E"/>
    <w:rsid w:val="00986F47"/>
    <w:rsid w:val="00990801"/>
    <w:rsid w:val="0099307D"/>
    <w:rsid w:val="00995C0C"/>
    <w:rsid w:val="0099694D"/>
    <w:rsid w:val="009A1764"/>
    <w:rsid w:val="009A1F13"/>
    <w:rsid w:val="009A2476"/>
    <w:rsid w:val="009A3301"/>
    <w:rsid w:val="009A5616"/>
    <w:rsid w:val="009A7276"/>
    <w:rsid w:val="009B0D9C"/>
    <w:rsid w:val="009B1328"/>
    <w:rsid w:val="009B2197"/>
    <w:rsid w:val="009B261D"/>
    <w:rsid w:val="009B275B"/>
    <w:rsid w:val="009B3744"/>
    <w:rsid w:val="009B3921"/>
    <w:rsid w:val="009B3E48"/>
    <w:rsid w:val="009B4A70"/>
    <w:rsid w:val="009B65FC"/>
    <w:rsid w:val="009C0D71"/>
    <w:rsid w:val="009C1F39"/>
    <w:rsid w:val="009C27A7"/>
    <w:rsid w:val="009C2A72"/>
    <w:rsid w:val="009C336D"/>
    <w:rsid w:val="009C3C90"/>
    <w:rsid w:val="009C3DD2"/>
    <w:rsid w:val="009C6941"/>
    <w:rsid w:val="009C7733"/>
    <w:rsid w:val="009C7CCC"/>
    <w:rsid w:val="009D2ABF"/>
    <w:rsid w:val="009D33E3"/>
    <w:rsid w:val="009D3560"/>
    <w:rsid w:val="009D3AF7"/>
    <w:rsid w:val="009D5265"/>
    <w:rsid w:val="009D619F"/>
    <w:rsid w:val="009D6998"/>
    <w:rsid w:val="009D7238"/>
    <w:rsid w:val="009D7883"/>
    <w:rsid w:val="009D799E"/>
    <w:rsid w:val="009E06DD"/>
    <w:rsid w:val="009E0A3F"/>
    <w:rsid w:val="009E0F9A"/>
    <w:rsid w:val="009E32D1"/>
    <w:rsid w:val="009E3F58"/>
    <w:rsid w:val="009E7A11"/>
    <w:rsid w:val="009F07A2"/>
    <w:rsid w:val="009F0FF4"/>
    <w:rsid w:val="009F1426"/>
    <w:rsid w:val="009F1AFE"/>
    <w:rsid w:val="009F2B63"/>
    <w:rsid w:val="009F41A2"/>
    <w:rsid w:val="009F6B69"/>
    <w:rsid w:val="00A02068"/>
    <w:rsid w:val="00A0260D"/>
    <w:rsid w:val="00A0309C"/>
    <w:rsid w:val="00A03D47"/>
    <w:rsid w:val="00A071D9"/>
    <w:rsid w:val="00A07B5C"/>
    <w:rsid w:val="00A10C6F"/>
    <w:rsid w:val="00A11029"/>
    <w:rsid w:val="00A112C5"/>
    <w:rsid w:val="00A12284"/>
    <w:rsid w:val="00A130E6"/>
    <w:rsid w:val="00A1314C"/>
    <w:rsid w:val="00A141F3"/>
    <w:rsid w:val="00A1515B"/>
    <w:rsid w:val="00A20DAE"/>
    <w:rsid w:val="00A21AA0"/>
    <w:rsid w:val="00A21B02"/>
    <w:rsid w:val="00A22788"/>
    <w:rsid w:val="00A24B36"/>
    <w:rsid w:val="00A24E4F"/>
    <w:rsid w:val="00A255A8"/>
    <w:rsid w:val="00A25926"/>
    <w:rsid w:val="00A25EDE"/>
    <w:rsid w:val="00A27201"/>
    <w:rsid w:val="00A300C6"/>
    <w:rsid w:val="00A308ED"/>
    <w:rsid w:val="00A32148"/>
    <w:rsid w:val="00A325FC"/>
    <w:rsid w:val="00A338AD"/>
    <w:rsid w:val="00A33CE3"/>
    <w:rsid w:val="00A355EF"/>
    <w:rsid w:val="00A35965"/>
    <w:rsid w:val="00A3596F"/>
    <w:rsid w:val="00A37558"/>
    <w:rsid w:val="00A375F6"/>
    <w:rsid w:val="00A409D8"/>
    <w:rsid w:val="00A41DA7"/>
    <w:rsid w:val="00A4395F"/>
    <w:rsid w:val="00A43F31"/>
    <w:rsid w:val="00A46198"/>
    <w:rsid w:val="00A47187"/>
    <w:rsid w:val="00A508C7"/>
    <w:rsid w:val="00A50D03"/>
    <w:rsid w:val="00A52DE8"/>
    <w:rsid w:val="00A530C1"/>
    <w:rsid w:val="00A5518A"/>
    <w:rsid w:val="00A568DA"/>
    <w:rsid w:val="00A5785E"/>
    <w:rsid w:val="00A602E1"/>
    <w:rsid w:val="00A611A0"/>
    <w:rsid w:val="00A63300"/>
    <w:rsid w:val="00A6443E"/>
    <w:rsid w:val="00A64733"/>
    <w:rsid w:val="00A6487F"/>
    <w:rsid w:val="00A65059"/>
    <w:rsid w:val="00A65E01"/>
    <w:rsid w:val="00A66678"/>
    <w:rsid w:val="00A67821"/>
    <w:rsid w:val="00A678E0"/>
    <w:rsid w:val="00A70E06"/>
    <w:rsid w:val="00A73C18"/>
    <w:rsid w:val="00A74AE1"/>
    <w:rsid w:val="00A76E7A"/>
    <w:rsid w:val="00A77937"/>
    <w:rsid w:val="00A80DC1"/>
    <w:rsid w:val="00A8267D"/>
    <w:rsid w:val="00A829AF"/>
    <w:rsid w:val="00A82A1A"/>
    <w:rsid w:val="00A841BF"/>
    <w:rsid w:val="00A84DA1"/>
    <w:rsid w:val="00A85E4C"/>
    <w:rsid w:val="00A86741"/>
    <w:rsid w:val="00A8776B"/>
    <w:rsid w:val="00A904F5"/>
    <w:rsid w:val="00A91458"/>
    <w:rsid w:val="00A933BA"/>
    <w:rsid w:val="00A94335"/>
    <w:rsid w:val="00A95F5D"/>
    <w:rsid w:val="00A96BD3"/>
    <w:rsid w:val="00A97B72"/>
    <w:rsid w:val="00AA0454"/>
    <w:rsid w:val="00AA1778"/>
    <w:rsid w:val="00AA1B65"/>
    <w:rsid w:val="00AA2F7C"/>
    <w:rsid w:val="00AA2FE4"/>
    <w:rsid w:val="00AA4192"/>
    <w:rsid w:val="00AA4AC1"/>
    <w:rsid w:val="00AA6EFE"/>
    <w:rsid w:val="00AA7A52"/>
    <w:rsid w:val="00AA7ADA"/>
    <w:rsid w:val="00AB066F"/>
    <w:rsid w:val="00AB0DA2"/>
    <w:rsid w:val="00AB28ED"/>
    <w:rsid w:val="00AB29FB"/>
    <w:rsid w:val="00AB5E47"/>
    <w:rsid w:val="00AB75A0"/>
    <w:rsid w:val="00AB7B63"/>
    <w:rsid w:val="00AC22C5"/>
    <w:rsid w:val="00AC3A8A"/>
    <w:rsid w:val="00AC4A8F"/>
    <w:rsid w:val="00AC5105"/>
    <w:rsid w:val="00AC5595"/>
    <w:rsid w:val="00AC5F18"/>
    <w:rsid w:val="00AC6A94"/>
    <w:rsid w:val="00AD15AC"/>
    <w:rsid w:val="00AD7A75"/>
    <w:rsid w:val="00AE0E0B"/>
    <w:rsid w:val="00AE16B7"/>
    <w:rsid w:val="00AE206D"/>
    <w:rsid w:val="00AE2BE0"/>
    <w:rsid w:val="00AE2D1B"/>
    <w:rsid w:val="00AE31C6"/>
    <w:rsid w:val="00AE44EE"/>
    <w:rsid w:val="00AE5BC6"/>
    <w:rsid w:val="00AF0200"/>
    <w:rsid w:val="00AF0788"/>
    <w:rsid w:val="00AF0A17"/>
    <w:rsid w:val="00AF17E5"/>
    <w:rsid w:val="00AF1C26"/>
    <w:rsid w:val="00AF305F"/>
    <w:rsid w:val="00AF6CD1"/>
    <w:rsid w:val="00B007C2"/>
    <w:rsid w:val="00B02216"/>
    <w:rsid w:val="00B059BF"/>
    <w:rsid w:val="00B068A0"/>
    <w:rsid w:val="00B06CD8"/>
    <w:rsid w:val="00B06D3B"/>
    <w:rsid w:val="00B07AE6"/>
    <w:rsid w:val="00B110A7"/>
    <w:rsid w:val="00B11ACF"/>
    <w:rsid w:val="00B140DC"/>
    <w:rsid w:val="00B14A40"/>
    <w:rsid w:val="00B152C6"/>
    <w:rsid w:val="00B15E47"/>
    <w:rsid w:val="00B16014"/>
    <w:rsid w:val="00B165CA"/>
    <w:rsid w:val="00B17818"/>
    <w:rsid w:val="00B17A87"/>
    <w:rsid w:val="00B20772"/>
    <w:rsid w:val="00B21A0B"/>
    <w:rsid w:val="00B24919"/>
    <w:rsid w:val="00B24B5D"/>
    <w:rsid w:val="00B261F2"/>
    <w:rsid w:val="00B26D24"/>
    <w:rsid w:val="00B273D2"/>
    <w:rsid w:val="00B303CF"/>
    <w:rsid w:val="00B32BD7"/>
    <w:rsid w:val="00B34AC2"/>
    <w:rsid w:val="00B35528"/>
    <w:rsid w:val="00B3646D"/>
    <w:rsid w:val="00B37E74"/>
    <w:rsid w:val="00B4062D"/>
    <w:rsid w:val="00B40BF8"/>
    <w:rsid w:val="00B434C4"/>
    <w:rsid w:val="00B443C6"/>
    <w:rsid w:val="00B45B58"/>
    <w:rsid w:val="00B46BAE"/>
    <w:rsid w:val="00B47A18"/>
    <w:rsid w:val="00B47BEF"/>
    <w:rsid w:val="00B51E96"/>
    <w:rsid w:val="00B522D3"/>
    <w:rsid w:val="00B5327E"/>
    <w:rsid w:val="00B53A3C"/>
    <w:rsid w:val="00B55942"/>
    <w:rsid w:val="00B56A27"/>
    <w:rsid w:val="00B605E7"/>
    <w:rsid w:val="00B618D1"/>
    <w:rsid w:val="00B6254E"/>
    <w:rsid w:val="00B637A0"/>
    <w:rsid w:val="00B67F53"/>
    <w:rsid w:val="00B70B59"/>
    <w:rsid w:val="00B70BA3"/>
    <w:rsid w:val="00B71346"/>
    <w:rsid w:val="00B71AA6"/>
    <w:rsid w:val="00B7243F"/>
    <w:rsid w:val="00B72621"/>
    <w:rsid w:val="00B72C22"/>
    <w:rsid w:val="00B72D7F"/>
    <w:rsid w:val="00B72EAD"/>
    <w:rsid w:val="00B743DA"/>
    <w:rsid w:val="00B74C0D"/>
    <w:rsid w:val="00B76291"/>
    <w:rsid w:val="00B766FC"/>
    <w:rsid w:val="00B770AE"/>
    <w:rsid w:val="00B805E6"/>
    <w:rsid w:val="00B8088F"/>
    <w:rsid w:val="00B808AF"/>
    <w:rsid w:val="00B819AE"/>
    <w:rsid w:val="00B83D42"/>
    <w:rsid w:val="00B84938"/>
    <w:rsid w:val="00B8518B"/>
    <w:rsid w:val="00B855BD"/>
    <w:rsid w:val="00B86DE2"/>
    <w:rsid w:val="00B87A32"/>
    <w:rsid w:val="00B90E1C"/>
    <w:rsid w:val="00B9371B"/>
    <w:rsid w:val="00B94649"/>
    <w:rsid w:val="00B95C72"/>
    <w:rsid w:val="00B96015"/>
    <w:rsid w:val="00B96273"/>
    <w:rsid w:val="00B97CD5"/>
    <w:rsid w:val="00BA0C2B"/>
    <w:rsid w:val="00BA164B"/>
    <w:rsid w:val="00BA2099"/>
    <w:rsid w:val="00BA29E1"/>
    <w:rsid w:val="00BA43F4"/>
    <w:rsid w:val="00BA44EB"/>
    <w:rsid w:val="00BA4C1C"/>
    <w:rsid w:val="00BA5117"/>
    <w:rsid w:val="00BA6798"/>
    <w:rsid w:val="00BB0761"/>
    <w:rsid w:val="00BB142B"/>
    <w:rsid w:val="00BB17DA"/>
    <w:rsid w:val="00BB1ABC"/>
    <w:rsid w:val="00BB1E7E"/>
    <w:rsid w:val="00BB296E"/>
    <w:rsid w:val="00BB3346"/>
    <w:rsid w:val="00BB58AE"/>
    <w:rsid w:val="00BB5EAC"/>
    <w:rsid w:val="00BB61A8"/>
    <w:rsid w:val="00BB6F03"/>
    <w:rsid w:val="00BC0C11"/>
    <w:rsid w:val="00BC0F4C"/>
    <w:rsid w:val="00BC102D"/>
    <w:rsid w:val="00BC1617"/>
    <w:rsid w:val="00BC39E9"/>
    <w:rsid w:val="00BC4086"/>
    <w:rsid w:val="00BC4287"/>
    <w:rsid w:val="00BC5213"/>
    <w:rsid w:val="00BC791F"/>
    <w:rsid w:val="00BD0A3F"/>
    <w:rsid w:val="00BD16B7"/>
    <w:rsid w:val="00BD26BC"/>
    <w:rsid w:val="00BD34B2"/>
    <w:rsid w:val="00BD4468"/>
    <w:rsid w:val="00BD4568"/>
    <w:rsid w:val="00BD4916"/>
    <w:rsid w:val="00BD4EC5"/>
    <w:rsid w:val="00BD6FFF"/>
    <w:rsid w:val="00BD7E9E"/>
    <w:rsid w:val="00BE15DF"/>
    <w:rsid w:val="00BE3538"/>
    <w:rsid w:val="00BE5BE1"/>
    <w:rsid w:val="00BE612C"/>
    <w:rsid w:val="00BF00F5"/>
    <w:rsid w:val="00BF0E57"/>
    <w:rsid w:val="00BF38B3"/>
    <w:rsid w:val="00BF4BC1"/>
    <w:rsid w:val="00BF72FB"/>
    <w:rsid w:val="00C02033"/>
    <w:rsid w:val="00C031B8"/>
    <w:rsid w:val="00C06F8A"/>
    <w:rsid w:val="00C072B3"/>
    <w:rsid w:val="00C07F8F"/>
    <w:rsid w:val="00C11695"/>
    <w:rsid w:val="00C11E1D"/>
    <w:rsid w:val="00C1208E"/>
    <w:rsid w:val="00C12BF2"/>
    <w:rsid w:val="00C13790"/>
    <w:rsid w:val="00C13B21"/>
    <w:rsid w:val="00C14723"/>
    <w:rsid w:val="00C154E2"/>
    <w:rsid w:val="00C16870"/>
    <w:rsid w:val="00C16DAF"/>
    <w:rsid w:val="00C21D54"/>
    <w:rsid w:val="00C226C0"/>
    <w:rsid w:val="00C23980"/>
    <w:rsid w:val="00C23FEE"/>
    <w:rsid w:val="00C24041"/>
    <w:rsid w:val="00C24F82"/>
    <w:rsid w:val="00C253DF"/>
    <w:rsid w:val="00C25435"/>
    <w:rsid w:val="00C31C0B"/>
    <w:rsid w:val="00C37AD3"/>
    <w:rsid w:val="00C37DDD"/>
    <w:rsid w:val="00C4439B"/>
    <w:rsid w:val="00C45619"/>
    <w:rsid w:val="00C45D7C"/>
    <w:rsid w:val="00C46EC0"/>
    <w:rsid w:val="00C473D7"/>
    <w:rsid w:val="00C528BE"/>
    <w:rsid w:val="00C53B9E"/>
    <w:rsid w:val="00C541B5"/>
    <w:rsid w:val="00C54787"/>
    <w:rsid w:val="00C558EB"/>
    <w:rsid w:val="00C55BE8"/>
    <w:rsid w:val="00C5670D"/>
    <w:rsid w:val="00C6011F"/>
    <w:rsid w:val="00C60629"/>
    <w:rsid w:val="00C610E3"/>
    <w:rsid w:val="00C62577"/>
    <w:rsid w:val="00C63613"/>
    <w:rsid w:val="00C63663"/>
    <w:rsid w:val="00C640E4"/>
    <w:rsid w:val="00C6437C"/>
    <w:rsid w:val="00C64BEE"/>
    <w:rsid w:val="00C65067"/>
    <w:rsid w:val="00C6647D"/>
    <w:rsid w:val="00C70021"/>
    <w:rsid w:val="00C70488"/>
    <w:rsid w:val="00C70978"/>
    <w:rsid w:val="00C71FC5"/>
    <w:rsid w:val="00C720D2"/>
    <w:rsid w:val="00C72DCD"/>
    <w:rsid w:val="00C73280"/>
    <w:rsid w:val="00C74C59"/>
    <w:rsid w:val="00C75BF5"/>
    <w:rsid w:val="00C775D6"/>
    <w:rsid w:val="00C80AA7"/>
    <w:rsid w:val="00C80BF0"/>
    <w:rsid w:val="00C81127"/>
    <w:rsid w:val="00C8188A"/>
    <w:rsid w:val="00C81F51"/>
    <w:rsid w:val="00C8266D"/>
    <w:rsid w:val="00C82AA7"/>
    <w:rsid w:val="00C83206"/>
    <w:rsid w:val="00C843B5"/>
    <w:rsid w:val="00C84EB5"/>
    <w:rsid w:val="00C854D1"/>
    <w:rsid w:val="00C85C3B"/>
    <w:rsid w:val="00C861C3"/>
    <w:rsid w:val="00C91979"/>
    <w:rsid w:val="00C91A97"/>
    <w:rsid w:val="00C92558"/>
    <w:rsid w:val="00C92B1D"/>
    <w:rsid w:val="00C95DDB"/>
    <w:rsid w:val="00C96AD8"/>
    <w:rsid w:val="00C96CB8"/>
    <w:rsid w:val="00CA13F4"/>
    <w:rsid w:val="00CA179D"/>
    <w:rsid w:val="00CA2E00"/>
    <w:rsid w:val="00CA3912"/>
    <w:rsid w:val="00CA5F21"/>
    <w:rsid w:val="00CA5F57"/>
    <w:rsid w:val="00CA6B11"/>
    <w:rsid w:val="00CA74E2"/>
    <w:rsid w:val="00CB00DF"/>
    <w:rsid w:val="00CB0217"/>
    <w:rsid w:val="00CB1A7A"/>
    <w:rsid w:val="00CB1C12"/>
    <w:rsid w:val="00CB204F"/>
    <w:rsid w:val="00CB26CF"/>
    <w:rsid w:val="00CB3197"/>
    <w:rsid w:val="00CB3CD8"/>
    <w:rsid w:val="00CB48C6"/>
    <w:rsid w:val="00CB56DE"/>
    <w:rsid w:val="00CB5F51"/>
    <w:rsid w:val="00CB62C7"/>
    <w:rsid w:val="00CB7393"/>
    <w:rsid w:val="00CC2D8F"/>
    <w:rsid w:val="00CC2DAD"/>
    <w:rsid w:val="00CC3786"/>
    <w:rsid w:val="00CC3DBA"/>
    <w:rsid w:val="00CC5315"/>
    <w:rsid w:val="00CC5AA1"/>
    <w:rsid w:val="00CC663F"/>
    <w:rsid w:val="00CC679D"/>
    <w:rsid w:val="00CC7196"/>
    <w:rsid w:val="00CC7264"/>
    <w:rsid w:val="00CC7653"/>
    <w:rsid w:val="00CD1801"/>
    <w:rsid w:val="00CD1A62"/>
    <w:rsid w:val="00CD3822"/>
    <w:rsid w:val="00CD5CF7"/>
    <w:rsid w:val="00CD5E97"/>
    <w:rsid w:val="00CD7102"/>
    <w:rsid w:val="00CE1D8A"/>
    <w:rsid w:val="00CE25D0"/>
    <w:rsid w:val="00CE4B24"/>
    <w:rsid w:val="00CE56E5"/>
    <w:rsid w:val="00CE5765"/>
    <w:rsid w:val="00CE73EA"/>
    <w:rsid w:val="00CF076B"/>
    <w:rsid w:val="00CF0A19"/>
    <w:rsid w:val="00CF0C2B"/>
    <w:rsid w:val="00CF139F"/>
    <w:rsid w:val="00CF36CE"/>
    <w:rsid w:val="00CF4668"/>
    <w:rsid w:val="00CF53DE"/>
    <w:rsid w:val="00CF5C87"/>
    <w:rsid w:val="00CF6189"/>
    <w:rsid w:val="00CF7BA8"/>
    <w:rsid w:val="00D02A41"/>
    <w:rsid w:val="00D02BC4"/>
    <w:rsid w:val="00D037A1"/>
    <w:rsid w:val="00D04A55"/>
    <w:rsid w:val="00D05737"/>
    <w:rsid w:val="00D06241"/>
    <w:rsid w:val="00D072FD"/>
    <w:rsid w:val="00D11C22"/>
    <w:rsid w:val="00D12245"/>
    <w:rsid w:val="00D12EEC"/>
    <w:rsid w:val="00D13AD6"/>
    <w:rsid w:val="00D13B54"/>
    <w:rsid w:val="00D149C1"/>
    <w:rsid w:val="00D1585F"/>
    <w:rsid w:val="00D16237"/>
    <w:rsid w:val="00D166C4"/>
    <w:rsid w:val="00D17982"/>
    <w:rsid w:val="00D21CA1"/>
    <w:rsid w:val="00D22339"/>
    <w:rsid w:val="00D22345"/>
    <w:rsid w:val="00D2399D"/>
    <w:rsid w:val="00D30A1B"/>
    <w:rsid w:val="00D33071"/>
    <w:rsid w:val="00D339DA"/>
    <w:rsid w:val="00D34789"/>
    <w:rsid w:val="00D34FCF"/>
    <w:rsid w:val="00D35A34"/>
    <w:rsid w:val="00D3653B"/>
    <w:rsid w:val="00D366A1"/>
    <w:rsid w:val="00D40FB8"/>
    <w:rsid w:val="00D410C3"/>
    <w:rsid w:val="00D41EC5"/>
    <w:rsid w:val="00D42A32"/>
    <w:rsid w:val="00D42A3A"/>
    <w:rsid w:val="00D43AA5"/>
    <w:rsid w:val="00D43B41"/>
    <w:rsid w:val="00D44C13"/>
    <w:rsid w:val="00D45272"/>
    <w:rsid w:val="00D457D6"/>
    <w:rsid w:val="00D45D12"/>
    <w:rsid w:val="00D46510"/>
    <w:rsid w:val="00D50831"/>
    <w:rsid w:val="00D511C2"/>
    <w:rsid w:val="00D52446"/>
    <w:rsid w:val="00D52699"/>
    <w:rsid w:val="00D54DCB"/>
    <w:rsid w:val="00D553F9"/>
    <w:rsid w:val="00D55EF1"/>
    <w:rsid w:val="00D56275"/>
    <w:rsid w:val="00D5687D"/>
    <w:rsid w:val="00D56C7B"/>
    <w:rsid w:val="00D57767"/>
    <w:rsid w:val="00D57E36"/>
    <w:rsid w:val="00D60BB0"/>
    <w:rsid w:val="00D60D7C"/>
    <w:rsid w:val="00D610A7"/>
    <w:rsid w:val="00D6267E"/>
    <w:rsid w:val="00D62A43"/>
    <w:rsid w:val="00D646F4"/>
    <w:rsid w:val="00D64A42"/>
    <w:rsid w:val="00D64C5E"/>
    <w:rsid w:val="00D64DA9"/>
    <w:rsid w:val="00D654FE"/>
    <w:rsid w:val="00D663BC"/>
    <w:rsid w:val="00D67330"/>
    <w:rsid w:val="00D676EE"/>
    <w:rsid w:val="00D70061"/>
    <w:rsid w:val="00D70B98"/>
    <w:rsid w:val="00D70BC0"/>
    <w:rsid w:val="00D71C00"/>
    <w:rsid w:val="00D7200F"/>
    <w:rsid w:val="00D7206B"/>
    <w:rsid w:val="00D7262D"/>
    <w:rsid w:val="00D731F2"/>
    <w:rsid w:val="00D735A2"/>
    <w:rsid w:val="00D7422C"/>
    <w:rsid w:val="00D744DF"/>
    <w:rsid w:val="00D74B35"/>
    <w:rsid w:val="00D76478"/>
    <w:rsid w:val="00D807CF"/>
    <w:rsid w:val="00D80F35"/>
    <w:rsid w:val="00D85F41"/>
    <w:rsid w:val="00D86DBC"/>
    <w:rsid w:val="00D86E4D"/>
    <w:rsid w:val="00D90D1C"/>
    <w:rsid w:val="00D90EA3"/>
    <w:rsid w:val="00D9193A"/>
    <w:rsid w:val="00D92411"/>
    <w:rsid w:val="00D93913"/>
    <w:rsid w:val="00D95C41"/>
    <w:rsid w:val="00DA063C"/>
    <w:rsid w:val="00DA1C56"/>
    <w:rsid w:val="00DA1E0B"/>
    <w:rsid w:val="00DA243A"/>
    <w:rsid w:val="00DA4B41"/>
    <w:rsid w:val="00DA679D"/>
    <w:rsid w:val="00DA7FFC"/>
    <w:rsid w:val="00DB0A1F"/>
    <w:rsid w:val="00DB1598"/>
    <w:rsid w:val="00DB18B9"/>
    <w:rsid w:val="00DB22F0"/>
    <w:rsid w:val="00DB29A6"/>
    <w:rsid w:val="00DB2E4D"/>
    <w:rsid w:val="00DB3014"/>
    <w:rsid w:val="00DB3C22"/>
    <w:rsid w:val="00DC0C76"/>
    <w:rsid w:val="00DC0F7D"/>
    <w:rsid w:val="00DC690E"/>
    <w:rsid w:val="00DD0946"/>
    <w:rsid w:val="00DD0C8D"/>
    <w:rsid w:val="00DD415F"/>
    <w:rsid w:val="00DD74F1"/>
    <w:rsid w:val="00DE0889"/>
    <w:rsid w:val="00DE16EA"/>
    <w:rsid w:val="00DE2A7D"/>
    <w:rsid w:val="00DE493E"/>
    <w:rsid w:val="00DE6A12"/>
    <w:rsid w:val="00DE6F44"/>
    <w:rsid w:val="00DF0459"/>
    <w:rsid w:val="00DF2F15"/>
    <w:rsid w:val="00DF2F34"/>
    <w:rsid w:val="00DF4585"/>
    <w:rsid w:val="00DF47E9"/>
    <w:rsid w:val="00DF4ECF"/>
    <w:rsid w:val="00DF5A24"/>
    <w:rsid w:val="00DF5BB5"/>
    <w:rsid w:val="00DF6A41"/>
    <w:rsid w:val="00DF6E42"/>
    <w:rsid w:val="00DF799A"/>
    <w:rsid w:val="00E01138"/>
    <w:rsid w:val="00E0329D"/>
    <w:rsid w:val="00E03356"/>
    <w:rsid w:val="00E04A8A"/>
    <w:rsid w:val="00E06202"/>
    <w:rsid w:val="00E06C06"/>
    <w:rsid w:val="00E06CA4"/>
    <w:rsid w:val="00E06CE4"/>
    <w:rsid w:val="00E07038"/>
    <w:rsid w:val="00E07A84"/>
    <w:rsid w:val="00E1129A"/>
    <w:rsid w:val="00E145B7"/>
    <w:rsid w:val="00E148BA"/>
    <w:rsid w:val="00E1739C"/>
    <w:rsid w:val="00E17A75"/>
    <w:rsid w:val="00E2094B"/>
    <w:rsid w:val="00E238BF"/>
    <w:rsid w:val="00E239C1"/>
    <w:rsid w:val="00E240AE"/>
    <w:rsid w:val="00E24B7E"/>
    <w:rsid w:val="00E27E3E"/>
    <w:rsid w:val="00E30D2A"/>
    <w:rsid w:val="00E32E9A"/>
    <w:rsid w:val="00E34B20"/>
    <w:rsid w:val="00E35FC7"/>
    <w:rsid w:val="00E37B03"/>
    <w:rsid w:val="00E40D47"/>
    <w:rsid w:val="00E453D3"/>
    <w:rsid w:val="00E4685D"/>
    <w:rsid w:val="00E4752B"/>
    <w:rsid w:val="00E479E2"/>
    <w:rsid w:val="00E47A84"/>
    <w:rsid w:val="00E512DE"/>
    <w:rsid w:val="00E51731"/>
    <w:rsid w:val="00E52663"/>
    <w:rsid w:val="00E52683"/>
    <w:rsid w:val="00E52F95"/>
    <w:rsid w:val="00E53DCA"/>
    <w:rsid w:val="00E54522"/>
    <w:rsid w:val="00E550CC"/>
    <w:rsid w:val="00E5620E"/>
    <w:rsid w:val="00E5625C"/>
    <w:rsid w:val="00E60E59"/>
    <w:rsid w:val="00E62BBC"/>
    <w:rsid w:val="00E62F03"/>
    <w:rsid w:val="00E65802"/>
    <w:rsid w:val="00E705FE"/>
    <w:rsid w:val="00E7061D"/>
    <w:rsid w:val="00E71032"/>
    <w:rsid w:val="00E71621"/>
    <w:rsid w:val="00E746EA"/>
    <w:rsid w:val="00E74E3B"/>
    <w:rsid w:val="00E81E5C"/>
    <w:rsid w:val="00E82FB8"/>
    <w:rsid w:val="00E85836"/>
    <w:rsid w:val="00E8664F"/>
    <w:rsid w:val="00E86B17"/>
    <w:rsid w:val="00E9004B"/>
    <w:rsid w:val="00E909AA"/>
    <w:rsid w:val="00E910AD"/>
    <w:rsid w:val="00E924ED"/>
    <w:rsid w:val="00E9472A"/>
    <w:rsid w:val="00E95C48"/>
    <w:rsid w:val="00E97809"/>
    <w:rsid w:val="00EA088E"/>
    <w:rsid w:val="00EA1F53"/>
    <w:rsid w:val="00EA3D8A"/>
    <w:rsid w:val="00EA3F60"/>
    <w:rsid w:val="00EA4116"/>
    <w:rsid w:val="00EA7139"/>
    <w:rsid w:val="00EB032C"/>
    <w:rsid w:val="00EB1F82"/>
    <w:rsid w:val="00EB27F8"/>
    <w:rsid w:val="00EB3438"/>
    <w:rsid w:val="00EB4DB8"/>
    <w:rsid w:val="00EB4DD3"/>
    <w:rsid w:val="00EB5971"/>
    <w:rsid w:val="00EB60D1"/>
    <w:rsid w:val="00EB695B"/>
    <w:rsid w:val="00EB7370"/>
    <w:rsid w:val="00EB7C18"/>
    <w:rsid w:val="00EC150D"/>
    <w:rsid w:val="00EC34EF"/>
    <w:rsid w:val="00EC36F8"/>
    <w:rsid w:val="00ED13D7"/>
    <w:rsid w:val="00ED4674"/>
    <w:rsid w:val="00ED5C25"/>
    <w:rsid w:val="00ED69EB"/>
    <w:rsid w:val="00EE0CAD"/>
    <w:rsid w:val="00EE18E5"/>
    <w:rsid w:val="00EE1B9F"/>
    <w:rsid w:val="00EE2762"/>
    <w:rsid w:val="00EE3113"/>
    <w:rsid w:val="00EE3B08"/>
    <w:rsid w:val="00EE4B9F"/>
    <w:rsid w:val="00EF1643"/>
    <w:rsid w:val="00EF22FC"/>
    <w:rsid w:val="00EF30C3"/>
    <w:rsid w:val="00EF3FD0"/>
    <w:rsid w:val="00EF4595"/>
    <w:rsid w:val="00EF4D11"/>
    <w:rsid w:val="00EF61EE"/>
    <w:rsid w:val="00EF6201"/>
    <w:rsid w:val="00EF625B"/>
    <w:rsid w:val="00F029BC"/>
    <w:rsid w:val="00F02A61"/>
    <w:rsid w:val="00F02AED"/>
    <w:rsid w:val="00F0540C"/>
    <w:rsid w:val="00F0571D"/>
    <w:rsid w:val="00F05B38"/>
    <w:rsid w:val="00F0627B"/>
    <w:rsid w:val="00F06853"/>
    <w:rsid w:val="00F06A1B"/>
    <w:rsid w:val="00F0795B"/>
    <w:rsid w:val="00F11B50"/>
    <w:rsid w:val="00F12021"/>
    <w:rsid w:val="00F13E57"/>
    <w:rsid w:val="00F148F2"/>
    <w:rsid w:val="00F177B6"/>
    <w:rsid w:val="00F21468"/>
    <w:rsid w:val="00F223FB"/>
    <w:rsid w:val="00F22E22"/>
    <w:rsid w:val="00F24F48"/>
    <w:rsid w:val="00F30E3C"/>
    <w:rsid w:val="00F312BD"/>
    <w:rsid w:val="00F32BDA"/>
    <w:rsid w:val="00F35200"/>
    <w:rsid w:val="00F354CB"/>
    <w:rsid w:val="00F363AE"/>
    <w:rsid w:val="00F36706"/>
    <w:rsid w:val="00F37381"/>
    <w:rsid w:val="00F37DBA"/>
    <w:rsid w:val="00F406AE"/>
    <w:rsid w:val="00F40E31"/>
    <w:rsid w:val="00F4116F"/>
    <w:rsid w:val="00F41816"/>
    <w:rsid w:val="00F4193A"/>
    <w:rsid w:val="00F42BAF"/>
    <w:rsid w:val="00F42E99"/>
    <w:rsid w:val="00F433C2"/>
    <w:rsid w:val="00F4511C"/>
    <w:rsid w:val="00F459A3"/>
    <w:rsid w:val="00F45F24"/>
    <w:rsid w:val="00F46A19"/>
    <w:rsid w:val="00F4700E"/>
    <w:rsid w:val="00F47FAA"/>
    <w:rsid w:val="00F50686"/>
    <w:rsid w:val="00F50796"/>
    <w:rsid w:val="00F50A84"/>
    <w:rsid w:val="00F515CB"/>
    <w:rsid w:val="00F52239"/>
    <w:rsid w:val="00F5362F"/>
    <w:rsid w:val="00F604B4"/>
    <w:rsid w:val="00F60BD4"/>
    <w:rsid w:val="00F60C5A"/>
    <w:rsid w:val="00F61F60"/>
    <w:rsid w:val="00F6359E"/>
    <w:rsid w:val="00F64093"/>
    <w:rsid w:val="00F64A57"/>
    <w:rsid w:val="00F655BA"/>
    <w:rsid w:val="00F6638C"/>
    <w:rsid w:val="00F66643"/>
    <w:rsid w:val="00F67113"/>
    <w:rsid w:val="00F67A8B"/>
    <w:rsid w:val="00F709CE"/>
    <w:rsid w:val="00F70B33"/>
    <w:rsid w:val="00F71088"/>
    <w:rsid w:val="00F7240F"/>
    <w:rsid w:val="00F726B6"/>
    <w:rsid w:val="00F728DA"/>
    <w:rsid w:val="00F739C7"/>
    <w:rsid w:val="00F76274"/>
    <w:rsid w:val="00F7639B"/>
    <w:rsid w:val="00F771FD"/>
    <w:rsid w:val="00F80646"/>
    <w:rsid w:val="00F80FCD"/>
    <w:rsid w:val="00F8224A"/>
    <w:rsid w:val="00F83DF4"/>
    <w:rsid w:val="00F840E3"/>
    <w:rsid w:val="00F8588D"/>
    <w:rsid w:val="00F87104"/>
    <w:rsid w:val="00F90501"/>
    <w:rsid w:val="00F945E3"/>
    <w:rsid w:val="00F95DB4"/>
    <w:rsid w:val="00F96161"/>
    <w:rsid w:val="00F962C7"/>
    <w:rsid w:val="00F9648D"/>
    <w:rsid w:val="00F96CFF"/>
    <w:rsid w:val="00F96DDC"/>
    <w:rsid w:val="00FA041F"/>
    <w:rsid w:val="00FA1455"/>
    <w:rsid w:val="00FA1604"/>
    <w:rsid w:val="00FA4E3B"/>
    <w:rsid w:val="00FA7C61"/>
    <w:rsid w:val="00FB0003"/>
    <w:rsid w:val="00FB1267"/>
    <w:rsid w:val="00FB25A0"/>
    <w:rsid w:val="00FB3187"/>
    <w:rsid w:val="00FB3BD7"/>
    <w:rsid w:val="00FB588D"/>
    <w:rsid w:val="00FB594C"/>
    <w:rsid w:val="00FB59D4"/>
    <w:rsid w:val="00FC056F"/>
    <w:rsid w:val="00FC05BC"/>
    <w:rsid w:val="00FC0E38"/>
    <w:rsid w:val="00FC1658"/>
    <w:rsid w:val="00FC2B78"/>
    <w:rsid w:val="00FC40EB"/>
    <w:rsid w:val="00FC49D1"/>
    <w:rsid w:val="00FC5811"/>
    <w:rsid w:val="00FC5D62"/>
    <w:rsid w:val="00FC6B1A"/>
    <w:rsid w:val="00FD0108"/>
    <w:rsid w:val="00FD0116"/>
    <w:rsid w:val="00FD083E"/>
    <w:rsid w:val="00FD111F"/>
    <w:rsid w:val="00FD5CB1"/>
    <w:rsid w:val="00FE3FD7"/>
    <w:rsid w:val="00FE4107"/>
    <w:rsid w:val="00FE466C"/>
    <w:rsid w:val="00FE48BA"/>
    <w:rsid w:val="00FE7E82"/>
    <w:rsid w:val="00FF057D"/>
    <w:rsid w:val="00FF0770"/>
    <w:rsid w:val="00FF07BC"/>
    <w:rsid w:val="00FF0D8A"/>
    <w:rsid w:val="00FF173A"/>
    <w:rsid w:val="00FF1FD0"/>
    <w:rsid w:val="00FF34D6"/>
    <w:rsid w:val="00FF3EFD"/>
    <w:rsid w:val="00FF4908"/>
    <w:rsid w:val="00FF49B7"/>
    <w:rsid w:val="00FF54CC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BD86B"/>
  <w15:docId w15:val="{FC323B80-2545-469A-A2BE-537B6DF1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73E"/>
    <w:pPr>
      <w:spacing w:line="48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CB"/>
    <w:pPr>
      <w:keepNext/>
      <w:keepLines/>
      <w:spacing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73E"/>
    <w:pPr>
      <w:keepNext/>
      <w:keepLines/>
      <w:spacing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273E"/>
    <w:pPr>
      <w:keepNext/>
      <w:keepLines/>
      <w:spacing w:after="12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4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40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40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09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16C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2273E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273E"/>
    <w:rPr>
      <w:rFonts w:ascii="Arial" w:eastAsiaTheme="majorEastAsia" w:hAnsi="Arial" w:cstheme="majorBidi"/>
      <w:b/>
      <w:sz w:val="24"/>
      <w:szCs w:val="24"/>
    </w:rPr>
  </w:style>
  <w:style w:type="table" w:styleId="TableGrid">
    <w:name w:val="Table Grid"/>
    <w:basedOn w:val="TableNormal"/>
    <w:uiPriority w:val="59"/>
    <w:rsid w:val="00ED6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54DCB"/>
    <w:rPr>
      <w:rFonts w:ascii="Arial" w:eastAsiaTheme="majorEastAsia" w:hAnsi="Arial" w:cstheme="majorBidi"/>
      <w:b/>
      <w:sz w:val="32"/>
      <w:szCs w:val="32"/>
    </w:rPr>
  </w:style>
  <w:style w:type="paragraph" w:customStyle="1" w:styleId="tabletextNS">
    <w:name w:val="table:textNS"/>
    <w:basedOn w:val="Normal"/>
    <w:link w:val="tabletextNSChar"/>
    <w:qFormat/>
    <w:rsid w:val="00FC5811"/>
    <w:pPr>
      <w:spacing w:line="240" w:lineRule="auto"/>
    </w:pPr>
    <w:rPr>
      <w:rFonts w:ascii="Arial Narrow" w:eastAsia="Times New Roman" w:hAnsi="Arial Narrow" w:cs="Arial Narrow"/>
      <w:sz w:val="24"/>
      <w:szCs w:val="24"/>
      <w:lang w:val="en-GB"/>
    </w:rPr>
  </w:style>
  <w:style w:type="character" w:customStyle="1" w:styleId="tabletextNSChar">
    <w:name w:val="table:textNS Char"/>
    <w:basedOn w:val="DefaultParagraphFont"/>
    <w:link w:val="tabletextNS"/>
    <w:rsid w:val="00FC5811"/>
    <w:rPr>
      <w:rFonts w:ascii="Arial Narrow" w:eastAsia="Times New Roman" w:hAnsi="Arial Narrow" w:cs="Arial Narrow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B51E96"/>
    <w:rPr>
      <w:rFonts w:ascii="Arial" w:hAnsi="Arial"/>
    </w:rPr>
  </w:style>
  <w:style w:type="character" w:customStyle="1" w:styleId="st">
    <w:name w:val="st"/>
    <w:basedOn w:val="DefaultParagraphFont"/>
    <w:rsid w:val="00B5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00AAE-11FD-4FC5-8955-1AC86C59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12012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mpd68589</dc:creator>
  <cp:lastModifiedBy>Clare Slater</cp:lastModifiedBy>
  <cp:revision>3</cp:revision>
  <dcterms:created xsi:type="dcterms:W3CDTF">2017-05-16T11:46:00Z</dcterms:created>
  <dcterms:modified xsi:type="dcterms:W3CDTF">2017-05-16T11:50:00Z</dcterms:modified>
</cp:coreProperties>
</file>