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6C" w:rsidRPr="00182A7E" w:rsidRDefault="00E7586C" w:rsidP="00E7586C">
      <w:pPr>
        <w:rPr>
          <w:rFonts w:ascii="Arial" w:hAnsi="Arial" w:cs="Arial"/>
          <w:b/>
          <w:sz w:val="26"/>
          <w:szCs w:val="26"/>
          <w:lang w:val="en-US"/>
        </w:rPr>
      </w:pPr>
      <w:bookmarkStart w:id="0" w:name="_GoBack"/>
      <w:r w:rsidRPr="00182A7E">
        <w:rPr>
          <w:rFonts w:ascii="Arial" w:hAnsi="Arial" w:cs="Arial"/>
          <w:b/>
          <w:sz w:val="26"/>
          <w:szCs w:val="26"/>
          <w:lang w:val="en-US"/>
        </w:rPr>
        <w:t>Supplementary Figure legends</w:t>
      </w:r>
    </w:p>
    <w:bookmarkEnd w:id="0"/>
    <w:p w:rsidR="00E7586C" w:rsidRPr="00182A7E" w:rsidRDefault="00E7586C" w:rsidP="00E7586C">
      <w:pPr>
        <w:pStyle w:val="Overskrift2"/>
        <w:rPr>
          <w:rFonts w:ascii="Arial" w:hAnsi="Arial" w:cs="Arial"/>
          <w:sz w:val="22"/>
          <w:szCs w:val="22"/>
          <w:lang w:val="en-US"/>
        </w:rPr>
      </w:pPr>
      <w:r w:rsidRPr="00182A7E">
        <w:rPr>
          <w:rFonts w:ascii="Arial" w:hAnsi="Arial" w:cs="Arial"/>
          <w:sz w:val="22"/>
          <w:szCs w:val="22"/>
          <w:lang w:val="en-US"/>
        </w:rPr>
        <w:t xml:space="preserve">Supplementary Figure 1 </w:t>
      </w:r>
    </w:p>
    <w:p w:rsidR="00E7586C" w:rsidRPr="00182A7E" w:rsidRDefault="00E7586C" w:rsidP="00E7586C">
      <w:pPr>
        <w:jc w:val="both"/>
        <w:rPr>
          <w:rFonts w:ascii="Arial" w:hAnsi="Arial" w:cs="Arial"/>
          <w:lang w:val="en-US"/>
        </w:rPr>
      </w:pPr>
      <w:r w:rsidRPr="00182A7E">
        <w:rPr>
          <w:rFonts w:ascii="Arial" w:hAnsi="Arial" w:cs="Arial"/>
          <w:b/>
          <w:lang w:val="en-US"/>
        </w:rPr>
        <w:t>(A)</w:t>
      </w:r>
      <w:r w:rsidRPr="00182A7E">
        <w:rPr>
          <w:rFonts w:ascii="Arial" w:hAnsi="Arial" w:cs="Arial"/>
          <w:lang w:val="en-US"/>
        </w:rPr>
        <w:t xml:space="preserve"> Detection of </w:t>
      </w:r>
      <w:proofErr w:type="spellStart"/>
      <w:r w:rsidRPr="00182A7E">
        <w:rPr>
          <w:rFonts w:ascii="Arial" w:hAnsi="Arial" w:cs="Arial"/>
          <w:lang w:val="en-US"/>
        </w:rPr>
        <w:t>ctDNA</w:t>
      </w:r>
      <w:proofErr w:type="spellEnd"/>
      <w:r w:rsidRPr="00182A7E">
        <w:rPr>
          <w:rFonts w:ascii="Arial" w:hAnsi="Arial" w:cs="Arial"/>
          <w:lang w:val="en-US"/>
        </w:rPr>
        <w:t xml:space="preserve"> in pre-operative plasma samples according to stage. </w:t>
      </w:r>
      <w:proofErr w:type="spellStart"/>
      <w:proofErr w:type="gramStart"/>
      <w:r w:rsidRPr="00182A7E">
        <w:rPr>
          <w:rFonts w:ascii="Arial" w:hAnsi="Arial" w:cs="Arial"/>
          <w:lang w:val="en-US"/>
        </w:rPr>
        <w:t>ctDNA</w:t>
      </w:r>
      <w:proofErr w:type="spellEnd"/>
      <w:proofErr w:type="gramEnd"/>
      <w:r w:rsidRPr="00182A7E">
        <w:rPr>
          <w:rFonts w:ascii="Arial" w:hAnsi="Arial" w:cs="Arial"/>
          <w:lang w:val="en-US"/>
        </w:rPr>
        <w:t xml:space="preserve"> can be detected in pre-operative plasma samples at all stages of CRC. The fraction of plasma samples positive for </w:t>
      </w:r>
      <w:proofErr w:type="spellStart"/>
      <w:r w:rsidRPr="00182A7E">
        <w:rPr>
          <w:rFonts w:ascii="Arial" w:hAnsi="Arial" w:cs="Arial"/>
          <w:lang w:val="en-US"/>
        </w:rPr>
        <w:t>ctDNA</w:t>
      </w:r>
      <w:proofErr w:type="spellEnd"/>
      <w:r w:rsidRPr="00182A7E">
        <w:rPr>
          <w:rFonts w:ascii="Arial" w:hAnsi="Arial" w:cs="Arial"/>
          <w:lang w:val="en-US"/>
        </w:rPr>
        <w:t xml:space="preserve"> increases with increasing disease stage. </w:t>
      </w:r>
      <w:r w:rsidRPr="00182A7E">
        <w:rPr>
          <w:rFonts w:ascii="Arial" w:hAnsi="Arial" w:cs="Arial"/>
          <w:b/>
          <w:lang w:val="en-US"/>
        </w:rPr>
        <w:t xml:space="preserve">(B) </w:t>
      </w:r>
      <w:r w:rsidRPr="00182A7E">
        <w:rPr>
          <w:rFonts w:ascii="Arial" w:hAnsi="Arial" w:cs="Arial"/>
          <w:lang w:val="en-US"/>
        </w:rPr>
        <w:t xml:space="preserve">Boxplot of the levels of </w:t>
      </w:r>
      <w:proofErr w:type="spellStart"/>
      <w:r w:rsidRPr="00182A7E">
        <w:rPr>
          <w:rFonts w:ascii="Arial" w:hAnsi="Arial" w:cs="Arial"/>
          <w:lang w:val="en-US"/>
        </w:rPr>
        <w:t>cfDNA</w:t>
      </w:r>
      <w:proofErr w:type="spellEnd"/>
      <w:r w:rsidRPr="00182A7E">
        <w:rPr>
          <w:rFonts w:ascii="Arial" w:hAnsi="Arial" w:cs="Arial"/>
          <w:lang w:val="en-US"/>
        </w:rPr>
        <w:t xml:space="preserve"> analyzed per SSV in </w:t>
      </w:r>
      <w:proofErr w:type="spellStart"/>
      <w:r w:rsidRPr="00182A7E">
        <w:rPr>
          <w:rFonts w:ascii="Arial" w:hAnsi="Arial" w:cs="Arial"/>
          <w:lang w:val="en-US"/>
        </w:rPr>
        <w:t>ctDNA</w:t>
      </w:r>
      <w:proofErr w:type="spellEnd"/>
      <w:r w:rsidRPr="00182A7E">
        <w:rPr>
          <w:rFonts w:ascii="Arial" w:hAnsi="Arial" w:cs="Arial"/>
          <w:lang w:val="en-US"/>
        </w:rPr>
        <w:t xml:space="preserve">-positive and -negative pre-operative plasma samples. </w:t>
      </w:r>
      <w:r w:rsidRPr="00182A7E">
        <w:rPr>
          <w:rFonts w:ascii="Arial" w:hAnsi="Arial" w:cs="Arial"/>
          <w:b/>
          <w:lang w:val="en-US"/>
        </w:rPr>
        <w:t xml:space="preserve">(C) </w:t>
      </w:r>
      <w:r w:rsidRPr="00182A7E">
        <w:rPr>
          <w:rFonts w:ascii="Arial" w:hAnsi="Arial" w:cs="Arial"/>
          <w:lang w:val="en-US"/>
        </w:rPr>
        <w:t xml:space="preserve">Elevated levels of CEA in pre-operative plasma sample according to stage. Elevated levels of CEA </w:t>
      </w:r>
      <w:proofErr w:type="gramStart"/>
      <w:r w:rsidRPr="00182A7E">
        <w:rPr>
          <w:rFonts w:ascii="Arial" w:hAnsi="Arial" w:cs="Arial"/>
          <w:lang w:val="en-US"/>
        </w:rPr>
        <w:t>can be detected</w:t>
      </w:r>
      <w:proofErr w:type="gramEnd"/>
      <w:r w:rsidRPr="00182A7E">
        <w:rPr>
          <w:rFonts w:ascii="Arial" w:hAnsi="Arial" w:cs="Arial"/>
          <w:lang w:val="en-US"/>
        </w:rPr>
        <w:t xml:space="preserve"> at all stages of CRC. However, no association between CEA level and disease stage </w:t>
      </w:r>
      <w:proofErr w:type="gramStart"/>
      <w:r w:rsidRPr="00182A7E">
        <w:rPr>
          <w:rFonts w:ascii="Arial" w:hAnsi="Arial" w:cs="Arial"/>
          <w:lang w:val="en-US"/>
        </w:rPr>
        <w:t>was observed</w:t>
      </w:r>
      <w:proofErr w:type="gramEnd"/>
      <w:r w:rsidRPr="00182A7E">
        <w:rPr>
          <w:rFonts w:ascii="Arial" w:hAnsi="Arial" w:cs="Arial"/>
          <w:lang w:val="en-US"/>
        </w:rPr>
        <w:t>.</w:t>
      </w:r>
      <w:r w:rsidRPr="00182A7E">
        <w:rPr>
          <w:rFonts w:ascii="Arial" w:hAnsi="Arial" w:cs="Arial"/>
          <w:b/>
          <w:lang w:val="en-US"/>
        </w:rPr>
        <w:t xml:space="preserve"> (D)</w:t>
      </w:r>
      <w:r w:rsidRPr="00182A7E">
        <w:rPr>
          <w:rFonts w:ascii="Arial" w:hAnsi="Arial" w:cs="Arial"/>
          <w:lang w:val="en-US"/>
        </w:rPr>
        <w:t xml:space="preserve"> Boxplot of the number of GE analyzed per SSV in patients with and without relapse of disease. </w:t>
      </w:r>
    </w:p>
    <w:p w:rsidR="00E7586C" w:rsidRPr="00182A7E" w:rsidRDefault="00E7586C" w:rsidP="00E7586C">
      <w:pPr>
        <w:pStyle w:val="Overskrift2"/>
        <w:rPr>
          <w:rFonts w:ascii="Arial" w:hAnsi="Arial" w:cs="Arial"/>
          <w:sz w:val="22"/>
          <w:szCs w:val="22"/>
          <w:lang w:val="en-US"/>
        </w:rPr>
      </w:pPr>
      <w:bookmarkStart w:id="1" w:name="OLE_LINK25"/>
      <w:r w:rsidRPr="00182A7E">
        <w:rPr>
          <w:rFonts w:ascii="Arial" w:hAnsi="Arial" w:cs="Arial"/>
          <w:sz w:val="22"/>
          <w:szCs w:val="22"/>
          <w:lang w:val="en-US"/>
        </w:rPr>
        <w:t xml:space="preserve">Supplementary Figure 2 </w:t>
      </w:r>
    </w:p>
    <w:bookmarkEnd w:id="1"/>
    <w:p w:rsidR="00E7586C" w:rsidRPr="00182A7E" w:rsidRDefault="00E7586C" w:rsidP="00E7586C">
      <w:pPr>
        <w:jc w:val="both"/>
        <w:rPr>
          <w:rFonts w:ascii="Arial" w:hAnsi="Arial" w:cs="Arial"/>
          <w:lang w:val="en-US"/>
        </w:rPr>
      </w:pPr>
      <w:r w:rsidRPr="00182A7E">
        <w:rPr>
          <w:rFonts w:ascii="Arial" w:hAnsi="Arial" w:cs="Arial"/>
          <w:b/>
          <w:lang w:val="en-US"/>
        </w:rPr>
        <w:t xml:space="preserve">(A) </w:t>
      </w:r>
      <w:r w:rsidRPr="00182A7E">
        <w:rPr>
          <w:rFonts w:ascii="Arial" w:hAnsi="Arial" w:cs="Arial"/>
          <w:lang w:val="en-US"/>
        </w:rPr>
        <w:t xml:space="preserve">Comparison of the time to relapse detection using CEA and standard-of-care CT imaging for fourteen relapse patients. The analysis showed that the average time to relapse was 12.3 months for CEA and 16.9 months for CT-imaging. Notice: In two cases, CEA detected relapse after standard-of-care CT-imaging and for three other patients CEA was not detected above threshold in any serum sample, hence CEA did not detect relapse in these cases. </w:t>
      </w:r>
      <w:r w:rsidRPr="00182A7E">
        <w:rPr>
          <w:rFonts w:ascii="Arial" w:hAnsi="Arial" w:cs="Arial"/>
          <w:b/>
          <w:lang w:val="en-US"/>
        </w:rPr>
        <w:t xml:space="preserve">(B) </w:t>
      </w:r>
      <w:r w:rsidRPr="00182A7E">
        <w:rPr>
          <w:rFonts w:ascii="Arial" w:hAnsi="Arial" w:cs="Arial"/>
          <w:lang w:val="en-US"/>
        </w:rPr>
        <w:t xml:space="preserve">Comparison of </w:t>
      </w:r>
      <w:proofErr w:type="gramStart"/>
      <w:r w:rsidRPr="00182A7E">
        <w:rPr>
          <w:rFonts w:ascii="Arial" w:hAnsi="Arial" w:cs="Arial"/>
          <w:lang w:val="en-US"/>
        </w:rPr>
        <w:t>lead time</w:t>
      </w:r>
      <w:proofErr w:type="gramEnd"/>
      <w:r w:rsidRPr="00182A7E">
        <w:rPr>
          <w:rFonts w:ascii="Arial" w:hAnsi="Arial" w:cs="Arial"/>
          <w:lang w:val="en-US"/>
        </w:rPr>
        <w:t xml:space="preserve"> using </w:t>
      </w:r>
      <w:proofErr w:type="spellStart"/>
      <w:r w:rsidRPr="00182A7E">
        <w:rPr>
          <w:rFonts w:ascii="Arial" w:hAnsi="Arial" w:cs="Arial"/>
          <w:lang w:val="en-US"/>
        </w:rPr>
        <w:t>ctDNA</w:t>
      </w:r>
      <w:proofErr w:type="spellEnd"/>
      <w:r w:rsidRPr="00182A7E">
        <w:rPr>
          <w:rFonts w:ascii="Arial" w:hAnsi="Arial" w:cs="Arial"/>
          <w:lang w:val="en-US"/>
        </w:rPr>
        <w:t xml:space="preserve"> and CEA in fourteen relapse patients. (Left panel) Lead times obtained using </w:t>
      </w:r>
      <w:proofErr w:type="spellStart"/>
      <w:r w:rsidRPr="00182A7E">
        <w:rPr>
          <w:rFonts w:ascii="Arial" w:hAnsi="Arial" w:cs="Arial"/>
          <w:lang w:val="en-US"/>
        </w:rPr>
        <w:t>ctDNA</w:t>
      </w:r>
      <w:proofErr w:type="spellEnd"/>
      <w:r w:rsidRPr="00182A7E">
        <w:rPr>
          <w:rFonts w:ascii="Arial" w:hAnsi="Arial" w:cs="Arial"/>
          <w:lang w:val="en-US"/>
        </w:rPr>
        <w:t xml:space="preserve"> and CEA in individual patients. (Right panel) Boxplots of </w:t>
      </w:r>
      <w:proofErr w:type="gramStart"/>
      <w:r w:rsidRPr="00182A7E">
        <w:rPr>
          <w:rFonts w:ascii="Arial" w:hAnsi="Arial" w:cs="Arial"/>
          <w:lang w:val="en-US"/>
        </w:rPr>
        <w:t>lead time</w:t>
      </w:r>
      <w:proofErr w:type="gramEnd"/>
      <w:r w:rsidRPr="00182A7E">
        <w:rPr>
          <w:rFonts w:ascii="Arial" w:hAnsi="Arial" w:cs="Arial"/>
          <w:lang w:val="en-US"/>
        </w:rPr>
        <w:t xml:space="preserve"> obtained when using </w:t>
      </w:r>
      <w:proofErr w:type="spellStart"/>
      <w:r w:rsidRPr="00182A7E">
        <w:rPr>
          <w:rFonts w:ascii="Arial" w:hAnsi="Arial" w:cs="Arial"/>
          <w:lang w:val="en-US"/>
        </w:rPr>
        <w:t>ctDNA</w:t>
      </w:r>
      <w:proofErr w:type="spellEnd"/>
      <w:r w:rsidRPr="00182A7E">
        <w:rPr>
          <w:rFonts w:ascii="Arial" w:hAnsi="Arial" w:cs="Arial"/>
          <w:lang w:val="en-US"/>
        </w:rPr>
        <w:t xml:space="preserve"> and CEA. </w:t>
      </w:r>
      <w:r w:rsidRPr="00182A7E">
        <w:rPr>
          <w:rFonts w:ascii="Arial" w:hAnsi="Arial" w:cs="Arial"/>
          <w:i/>
          <w:lang w:val="en-US"/>
        </w:rPr>
        <w:t>P</w:t>
      </w:r>
      <w:r w:rsidRPr="00182A7E">
        <w:rPr>
          <w:rFonts w:ascii="Arial" w:hAnsi="Arial" w:cs="Arial"/>
          <w:lang w:val="en-US"/>
        </w:rPr>
        <w:t>-values,</w:t>
      </w:r>
      <w:r w:rsidRPr="00182A7E">
        <w:rPr>
          <w:rFonts w:ascii="Arial" w:hAnsi="Arial" w:cs="Arial"/>
          <w:b/>
          <w:lang w:val="en-US"/>
        </w:rPr>
        <w:t xml:space="preserve"> </w:t>
      </w:r>
      <w:r w:rsidRPr="00182A7E">
        <w:rPr>
          <w:rFonts w:ascii="Arial" w:hAnsi="Arial" w:cs="Arial"/>
          <w:lang w:val="en-US"/>
        </w:rPr>
        <w:t>Wilcoxon signed rank test.</w:t>
      </w:r>
    </w:p>
    <w:p w:rsidR="00E7586C" w:rsidRPr="00182A7E" w:rsidRDefault="00E7586C" w:rsidP="00E7586C">
      <w:pPr>
        <w:pStyle w:val="Overskrift2"/>
        <w:rPr>
          <w:rFonts w:ascii="Arial" w:hAnsi="Arial" w:cs="Arial"/>
          <w:sz w:val="22"/>
          <w:szCs w:val="22"/>
          <w:lang w:val="en-US"/>
        </w:rPr>
      </w:pPr>
      <w:r w:rsidRPr="00182A7E">
        <w:rPr>
          <w:rFonts w:ascii="Arial" w:hAnsi="Arial" w:cs="Arial"/>
          <w:sz w:val="22"/>
          <w:szCs w:val="22"/>
          <w:lang w:val="en-US"/>
        </w:rPr>
        <w:t xml:space="preserve">Supplementary Figure 3 </w:t>
      </w:r>
    </w:p>
    <w:p w:rsidR="00E7586C" w:rsidRPr="00182A7E" w:rsidRDefault="00E7586C" w:rsidP="00E7586C">
      <w:pPr>
        <w:jc w:val="both"/>
        <w:rPr>
          <w:rFonts w:ascii="Arial" w:hAnsi="Arial" w:cs="Arial"/>
          <w:lang w:val="en-US"/>
        </w:rPr>
      </w:pPr>
      <w:r w:rsidRPr="00182A7E">
        <w:rPr>
          <w:rFonts w:ascii="Arial" w:hAnsi="Arial" w:cs="Arial"/>
          <w:lang w:val="en-US"/>
        </w:rPr>
        <w:t xml:space="preserve">Changes in </w:t>
      </w:r>
      <w:proofErr w:type="spellStart"/>
      <w:r w:rsidRPr="00182A7E">
        <w:rPr>
          <w:rFonts w:ascii="Arial" w:hAnsi="Arial" w:cs="Arial"/>
          <w:lang w:val="en-US"/>
        </w:rPr>
        <w:t>ctDNA</w:t>
      </w:r>
      <w:proofErr w:type="spellEnd"/>
      <w:r w:rsidRPr="00182A7E">
        <w:rPr>
          <w:rFonts w:ascii="Arial" w:hAnsi="Arial" w:cs="Arial"/>
          <w:lang w:val="en-US"/>
        </w:rPr>
        <w:t xml:space="preserve"> levels after local or systemic interventions such as surgery or chemotherapy divided into response and non-response groups.</w:t>
      </w:r>
    </w:p>
    <w:p w:rsidR="00E7586C" w:rsidRPr="00182A7E" w:rsidRDefault="00E7586C" w:rsidP="00E7586C">
      <w:pPr>
        <w:pStyle w:val="Overskrift2"/>
        <w:rPr>
          <w:rFonts w:ascii="Arial" w:hAnsi="Arial" w:cs="Arial"/>
          <w:sz w:val="22"/>
          <w:szCs w:val="22"/>
          <w:lang w:val="en-US"/>
        </w:rPr>
      </w:pPr>
      <w:r w:rsidRPr="00182A7E">
        <w:rPr>
          <w:rFonts w:ascii="Arial" w:hAnsi="Arial" w:cs="Arial"/>
          <w:sz w:val="22"/>
          <w:szCs w:val="22"/>
          <w:lang w:val="en-US"/>
        </w:rPr>
        <w:t>Supplementary Figure 4</w:t>
      </w:r>
    </w:p>
    <w:p w:rsidR="00081BB8" w:rsidRDefault="00E7586C" w:rsidP="00E7586C">
      <w:r w:rsidRPr="00182A7E">
        <w:rPr>
          <w:rFonts w:ascii="Arial" w:hAnsi="Arial" w:cs="Arial"/>
          <w:lang w:val="en-US"/>
        </w:rPr>
        <w:t xml:space="preserve">Comparison of serial </w:t>
      </w:r>
      <w:proofErr w:type="spellStart"/>
      <w:r w:rsidRPr="00182A7E">
        <w:rPr>
          <w:rFonts w:ascii="Arial" w:hAnsi="Arial" w:cs="Arial"/>
          <w:lang w:val="en-US"/>
        </w:rPr>
        <w:t>ctDNA</w:t>
      </w:r>
      <w:proofErr w:type="spellEnd"/>
      <w:r w:rsidRPr="00182A7E">
        <w:rPr>
          <w:rFonts w:ascii="Arial" w:hAnsi="Arial" w:cs="Arial"/>
          <w:lang w:val="en-US"/>
        </w:rPr>
        <w:t xml:space="preserve"> analysis performed using SSV and SPM </w:t>
      </w:r>
      <w:proofErr w:type="spellStart"/>
      <w:r w:rsidRPr="00182A7E">
        <w:rPr>
          <w:rFonts w:ascii="Arial" w:hAnsi="Arial" w:cs="Arial"/>
          <w:lang w:val="en-US"/>
        </w:rPr>
        <w:t>ddPCR</w:t>
      </w:r>
      <w:proofErr w:type="spellEnd"/>
      <w:r w:rsidRPr="00182A7E">
        <w:rPr>
          <w:rFonts w:ascii="Arial" w:hAnsi="Arial" w:cs="Arial"/>
          <w:lang w:val="en-US"/>
        </w:rPr>
        <w:t xml:space="preserve"> assays.</w:t>
      </w:r>
    </w:p>
    <w:sectPr w:rsidR="00081BB8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6C"/>
    <w:rsid w:val="00865528"/>
    <w:rsid w:val="00A740AB"/>
    <w:rsid w:val="00E7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72051-8C89-4E00-901B-28CE44D8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6C"/>
    <w:pPr>
      <w:spacing w:after="200" w:line="276" w:lineRule="auto"/>
    </w:pPr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586C"/>
    <w:pPr>
      <w:keepNext/>
      <w:keepLines/>
      <w:spacing w:before="200" w:after="0" w:line="360" w:lineRule="auto"/>
      <w:jc w:val="both"/>
      <w:outlineLvl w:val="1"/>
    </w:pPr>
    <w:rPr>
      <w:rFonts w:ascii="Helvetica" w:eastAsiaTheme="majorEastAsia" w:hAnsi="Helvetica" w:cs="Helvetic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7586C"/>
    <w:rPr>
      <w:rFonts w:ascii="Helvetica" w:eastAsiaTheme="majorEastAsia" w:hAnsi="Helvetica" w:cs="Helvetica"/>
      <w:b/>
      <w:bCs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Reinert</dc:creator>
  <cp:keywords/>
  <dc:description/>
  <cp:lastModifiedBy>Thomas Reinert</cp:lastModifiedBy>
  <cp:revision>1</cp:revision>
  <dcterms:created xsi:type="dcterms:W3CDTF">2017-06-02T06:40:00Z</dcterms:created>
  <dcterms:modified xsi:type="dcterms:W3CDTF">2017-06-02T06:41:00Z</dcterms:modified>
</cp:coreProperties>
</file>