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FE" w:rsidRPr="003A69FE" w:rsidRDefault="003A69FE" w:rsidP="003A69FE">
      <w:pPr>
        <w:spacing w:after="120" w:line="480" w:lineRule="auto"/>
        <w:jc w:val="both"/>
        <w:rPr>
          <w:rFonts w:cs="Arial"/>
          <w:b/>
          <w:sz w:val="24"/>
        </w:rPr>
      </w:pPr>
      <w:r w:rsidRPr="003A69FE">
        <w:rPr>
          <w:rFonts w:cs="Arial"/>
          <w:b/>
          <w:sz w:val="24"/>
        </w:rPr>
        <w:t>SUPP</w:t>
      </w:r>
      <w:r w:rsidR="00607B0D">
        <w:rPr>
          <w:rFonts w:cs="Arial"/>
          <w:b/>
          <w:sz w:val="24"/>
        </w:rPr>
        <w:t>LE</w:t>
      </w:r>
      <w:r w:rsidRPr="003A69FE">
        <w:rPr>
          <w:rFonts w:cs="Arial"/>
          <w:b/>
          <w:sz w:val="24"/>
        </w:rPr>
        <w:t>MENTAL PATIENTS AND METHODS</w:t>
      </w:r>
    </w:p>
    <w:p w:rsidR="003A69FE" w:rsidRPr="00697764" w:rsidRDefault="003A69FE" w:rsidP="003A69FE">
      <w:pPr>
        <w:spacing w:after="120" w:line="480" w:lineRule="auto"/>
        <w:jc w:val="both"/>
        <w:rPr>
          <w:rFonts w:cs="Arial"/>
          <w:b/>
          <w:i/>
          <w:sz w:val="24"/>
        </w:rPr>
      </w:pPr>
      <w:r w:rsidRPr="00697764">
        <w:rPr>
          <w:rFonts w:cs="Arial"/>
          <w:b/>
          <w:i/>
          <w:sz w:val="24"/>
        </w:rPr>
        <w:t>Sample Processing and NB5 Assay</w:t>
      </w:r>
    </w:p>
    <w:p w:rsidR="003A69FE" w:rsidRPr="00E30E63" w:rsidRDefault="00203FAA" w:rsidP="00E30E63">
      <w:pPr>
        <w:spacing w:after="120" w:line="480" w:lineRule="auto"/>
        <w:ind w:firstLine="720"/>
        <w:jc w:val="both"/>
        <w:rPr>
          <w:rFonts w:cs="Arial"/>
          <w:sz w:val="24"/>
        </w:rPr>
      </w:pPr>
      <w:r>
        <w:rPr>
          <w:rFonts w:cs="Arial"/>
          <w:sz w:val="24"/>
        </w:rPr>
        <w:t xml:space="preserve">NB5 </w:t>
      </w:r>
      <w:r w:rsidR="003A69FE" w:rsidRPr="00697764">
        <w:rPr>
          <w:rFonts w:cs="Arial"/>
          <w:sz w:val="24"/>
        </w:rPr>
        <w:t>TLDA assays were performed on mononuclear cells from heparinized blood and BM (pooled bilateral aspirates) isolated by density separation with Ficoll-Hypaque.</w:t>
      </w:r>
      <w:hyperlink w:anchor="_ENREF_23" w:tooltip="Seeger, 2000 #16" w:history="1">
        <w:r w:rsidR="003A69FE" w:rsidRPr="00697764">
          <w:rPr>
            <w:rFonts w:cs="Arial"/>
            <w:sz w:val="24"/>
          </w:rPr>
          <w:fldChar w:fldCharType="begin">
            <w:fldData xml:space="preserve">PEVuZE5vdGU+PENpdGU+PEF1dGhvcj5TZWVnZXI8L0F1dGhvcj48WWVhcj4yMDAwPC9ZZWFyPjxS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</w:fldData>
          </w:fldChar>
        </w:r>
        <w:r w:rsidR="003A69FE" w:rsidRPr="00697764">
          <w:rPr>
            <w:rFonts w:cs="Arial"/>
            <w:sz w:val="24"/>
          </w:rPr>
          <w:instrText xml:space="preserve"> ADDIN EN.CITE </w:instrText>
        </w:r>
        <w:r w:rsidR="003A69FE" w:rsidRPr="00697764">
          <w:rPr>
            <w:rFonts w:cs="Arial"/>
            <w:sz w:val="24"/>
          </w:rPr>
          <w:fldChar w:fldCharType="begin">
            <w:fldData xml:space="preserve">PEVuZE5vdGU+PENpdGU+PEF1dGhvcj5TZWVnZXI8L0F1dGhvcj48WWVhcj4yMDAwPC9ZZWFyPjxS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</w:fldData>
          </w:fldChar>
        </w:r>
        <w:r w:rsidR="003A69FE" w:rsidRPr="00697764">
          <w:rPr>
            <w:rFonts w:cs="Arial"/>
            <w:sz w:val="24"/>
          </w:rPr>
          <w:instrText xml:space="preserve"> ADDIN EN.CITE.DATA </w:instrText>
        </w:r>
        <w:r w:rsidR="003A69FE" w:rsidRPr="00697764">
          <w:rPr>
            <w:rFonts w:cs="Arial"/>
            <w:sz w:val="24"/>
          </w:rPr>
        </w:r>
        <w:r w:rsidR="003A69FE" w:rsidRPr="00697764">
          <w:rPr>
            <w:rFonts w:cs="Arial"/>
            <w:sz w:val="24"/>
          </w:rPr>
          <w:fldChar w:fldCharType="end"/>
        </w:r>
        <w:r w:rsidR="003A69FE" w:rsidRPr="00697764">
          <w:rPr>
            <w:rFonts w:cs="Arial"/>
            <w:sz w:val="24"/>
          </w:rPr>
        </w:r>
        <w:r w:rsidR="003A69FE" w:rsidRPr="00697764">
          <w:rPr>
            <w:rFonts w:cs="Arial"/>
            <w:sz w:val="24"/>
          </w:rPr>
          <w:fldChar w:fldCharType="separate"/>
        </w:r>
        <w:r w:rsidR="003A69FE" w:rsidRPr="00697764">
          <w:rPr>
            <w:rFonts w:cs="Arial"/>
            <w:noProof/>
            <w:sz w:val="24"/>
            <w:vertAlign w:val="superscript"/>
          </w:rPr>
          <w:t>23</w:t>
        </w:r>
        <w:r w:rsidR="003A69FE" w:rsidRPr="00697764">
          <w:rPr>
            <w:rFonts w:cs="Arial"/>
            <w:sz w:val="24"/>
          </w:rPr>
          <w:fldChar w:fldCharType="end"/>
        </w:r>
      </w:hyperlink>
      <w:r w:rsidR="003A69FE" w:rsidRPr="00697764">
        <w:rPr>
          <w:rFonts w:cs="Arial"/>
          <w:sz w:val="24"/>
        </w:rPr>
        <w:t xml:space="preserve">   Pelleted fresh cells were treated with buffer </w:t>
      </w:r>
      <w:r w:rsidR="003A69FE" w:rsidRPr="00697764">
        <w:rPr>
          <w:rFonts w:eastAsia="SimSun" w:cs="Arial"/>
          <w:sz w:val="24"/>
        </w:rPr>
        <w:t>RLT (</w:t>
      </w:r>
      <w:r w:rsidR="003A69FE" w:rsidRPr="00697764">
        <w:rPr>
          <w:rFonts w:cs="Arial"/>
          <w:sz w:val="24"/>
        </w:rPr>
        <w:t>QIAGEN)</w:t>
      </w:r>
      <w:r w:rsidR="003A69FE" w:rsidRPr="00697764">
        <w:rPr>
          <w:rFonts w:eastAsia="SimSun" w:cs="Arial"/>
          <w:sz w:val="24"/>
        </w:rPr>
        <w:t xml:space="preserve"> containing 1% </w:t>
      </w:r>
      <w:r w:rsidR="003A69FE" w:rsidRPr="00697764">
        <w:rPr>
          <w:rFonts w:eastAsia="SimSun" w:cs="Arial"/>
          <w:sz w:val="24"/>
        </w:rPr>
        <w:sym w:font="Symbol" w:char="F062"/>
      </w:r>
      <w:r w:rsidR="003A69FE" w:rsidRPr="00697764">
        <w:rPr>
          <w:rFonts w:eastAsia="SimSun" w:cs="Arial"/>
          <w:sz w:val="24"/>
        </w:rPr>
        <w:t>-mercaptoethanol to lyse cells, and the lysate was stored at -80</w:t>
      </w:r>
      <w:r w:rsidR="003A69FE" w:rsidRPr="00697764">
        <w:rPr>
          <w:rFonts w:eastAsia="SimSun" w:cs="Arial"/>
          <w:sz w:val="24"/>
          <w:vertAlign w:val="superscript"/>
        </w:rPr>
        <w:t>o</w:t>
      </w:r>
      <w:r w:rsidR="003A69FE" w:rsidRPr="00697764">
        <w:rPr>
          <w:rFonts w:eastAsia="SimSun" w:cs="Arial"/>
          <w:sz w:val="24"/>
        </w:rPr>
        <w:t xml:space="preserve">C until RNA was prepared. </w:t>
      </w:r>
      <w:r w:rsidR="003A69FE" w:rsidRPr="00697764">
        <w:rPr>
          <w:rFonts w:cs="Arial"/>
          <w:sz w:val="24"/>
        </w:rPr>
        <w:t>Viably frozen specimens were defrosted in RNAprotect Cell Reagent (QIAGEN) to protect RNA during thawing, and thawed cells were then pelleted by centrifugation.  Total RNA was prepared using the TRIzol® reagent (Invitrogen) and processed with the RNeasy</w:t>
      </w:r>
      <w:r w:rsidR="003A69FE" w:rsidRPr="00697764">
        <w:rPr>
          <w:rFonts w:cs="Arial"/>
          <w:color w:val="000000"/>
          <w:sz w:val="24"/>
          <w:vertAlign w:val="superscript"/>
        </w:rPr>
        <w:t>®</w:t>
      </w:r>
      <w:r w:rsidR="003A69FE" w:rsidRPr="00697764">
        <w:rPr>
          <w:rFonts w:cs="Arial"/>
          <w:sz w:val="24"/>
        </w:rPr>
        <w:t xml:space="preserve"> Mini Kit (QIAGEN).  The RNA Integrity Number (RIN) was obtained using the Agilent </w:t>
      </w:r>
      <w:proofErr w:type="gramStart"/>
      <w:r w:rsidR="003A69FE" w:rsidRPr="00697764">
        <w:rPr>
          <w:rFonts w:cs="Arial"/>
          <w:sz w:val="24"/>
        </w:rPr>
        <w:t>Bioanalyzer,</w:t>
      </w:r>
      <w:proofErr w:type="gramEnd"/>
      <w:r w:rsidR="003A69FE" w:rsidRPr="00697764">
        <w:rPr>
          <w:rFonts w:cs="Arial"/>
          <w:sz w:val="24"/>
        </w:rPr>
        <w:t xml:space="preserve"> and only specimens with RIN </w:t>
      </w:r>
      <w:r w:rsidR="003A69FE" w:rsidRPr="00697764">
        <w:rPr>
          <w:rFonts w:cs="Arial"/>
          <w:sz w:val="24"/>
          <w:u w:val="single"/>
        </w:rPr>
        <w:t>&gt;</w:t>
      </w:r>
      <w:r w:rsidR="003A69FE" w:rsidRPr="00697764">
        <w:rPr>
          <w:rFonts w:cs="Arial"/>
          <w:sz w:val="24"/>
        </w:rPr>
        <w:t xml:space="preserve">5.5 were tested.  Two-step RT-PCR was performed using Oligo-dT plus gene specific primers </w:t>
      </w:r>
      <w:r w:rsidR="003A69FE" w:rsidRPr="00697764">
        <w:rPr>
          <w:rFonts w:cs="Arial"/>
          <w:bCs/>
          <w:sz w:val="24"/>
        </w:rPr>
        <w:t>for CHGA</w:t>
      </w:r>
      <w:r w:rsidR="003A69FE" w:rsidRPr="00697764">
        <w:rPr>
          <w:rFonts w:cs="Arial"/>
          <w:sz w:val="24"/>
        </w:rPr>
        <w:t xml:space="preserve">, DCX, DDC, </w:t>
      </w:r>
      <w:r w:rsidR="004123E4">
        <w:rPr>
          <w:rFonts w:cs="Arial"/>
          <w:sz w:val="24"/>
        </w:rPr>
        <w:t xml:space="preserve">PHOX2B, </w:t>
      </w:r>
      <w:r w:rsidR="003A69FE" w:rsidRPr="00697764">
        <w:rPr>
          <w:rFonts w:cs="Arial"/>
          <w:sz w:val="24"/>
        </w:rPr>
        <w:t xml:space="preserve">and TH. Reverse transcription of 2,500 ng total RNA in 20 </w:t>
      </w:r>
      <w:r w:rsidR="003A69FE" w:rsidRPr="00697764">
        <w:rPr>
          <w:rFonts w:cs="Arial"/>
          <w:sz w:val="24"/>
        </w:rPr>
        <w:sym w:font="Symbol" w:char="F06D"/>
      </w:r>
      <w:r w:rsidR="003A69FE" w:rsidRPr="00697764">
        <w:rPr>
          <w:rFonts w:cs="Arial"/>
          <w:sz w:val="24"/>
        </w:rPr>
        <w:t xml:space="preserve">l was carried </w:t>
      </w:r>
      <w:r w:rsidR="004123E4">
        <w:rPr>
          <w:rFonts w:cs="Arial"/>
          <w:sz w:val="24"/>
        </w:rPr>
        <w:t xml:space="preserve">out with </w:t>
      </w:r>
      <w:r w:rsidR="003A69FE" w:rsidRPr="00697764">
        <w:rPr>
          <w:rFonts w:cs="Arial"/>
          <w:sz w:val="24"/>
        </w:rPr>
        <w:t>M-MLV Reverse Transcriptase (Life technologies).  The TLDA assay for each specimen quantified the expression of NB-associated genes CHGA, DCX, DDC, PHOX2B, and TH and of housekeeping genes B2M (beta-2 microglobulin), GAPDH (glyceraldehyde-3-phosphate dehydrogenase), HPRT1 (hypoxanthine guanine phosphoribosyltransferase), and SDHA (succinate dehydrogenase complex, subunit A) using pre-designed and pre-optimized probe and primer sets (Supplemental Table A2), 2,500 ng of cDNA, and standard cycling conditions to enable assays for all genes to be run together with a single TLDA card using the 7900HT instrument (Applied Biosystems).  The Ct (Cycle Threshold) value for each gene was the cycle number where the amplification signal reached a threshold of 0.5 over baseline. A Ct value of 40 was assigned when this threshold was not reached by the 40</w:t>
      </w:r>
      <w:r w:rsidR="003A69FE" w:rsidRPr="00697764">
        <w:rPr>
          <w:rFonts w:cs="Arial"/>
          <w:sz w:val="24"/>
          <w:vertAlign w:val="superscript"/>
        </w:rPr>
        <w:t>th</w:t>
      </w:r>
      <w:r w:rsidR="003A69FE" w:rsidRPr="00697764">
        <w:rPr>
          <w:rFonts w:cs="Arial"/>
          <w:sz w:val="24"/>
        </w:rPr>
        <w:t xml:space="preserve"> cycle.  A summary ΔCt for the five detection genes was computed as the geometric mean (GM) of the Cts for the five detection genes minus GM of the Cts of the four housekeeping genes (TLDA ΔCt).  Lower TLDA </w:t>
      </w:r>
      <w:r w:rsidR="003A69FE" w:rsidRPr="00697764">
        <w:rPr>
          <w:rFonts w:cs="Arial"/>
          <w:sz w:val="24"/>
        </w:rPr>
        <w:sym w:font="Symbol" w:char="F044"/>
      </w:r>
      <w:r w:rsidR="003A69FE" w:rsidRPr="00697764">
        <w:rPr>
          <w:rFonts w:cs="Arial"/>
          <w:sz w:val="24"/>
        </w:rPr>
        <w:t xml:space="preserve">Ct values indicate higher NB-mRNA.  Results were classified as “undetectable” when none of the five NB gene Ct values was &lt; 40. </w:t>
      </w:r>
    </w:p>
    <w:p w:rsidR="003A69FE" w:rsidRPr="00697764" w:rsidRDefault="003A69FE" w:rsidP="003A69FE">
      <w:pPr>
        <w:spacing w:after="120" w:line="480" w:lineRule="auto"/>
        <w:jc w:val="both"/>
        <w:rPr>
          <w:rFonts w:cs="Arial"/>
          <w:b/>
          <w:i/>
          <w:sz w:val="24"/>
        </w:rPr>
      </w:pPr>
      <w:r w:rsidRPr="00697764">
        <w:rPr>
          <w:rFonts w:cs="Arial"/>
          <w:b/>
          <w:i/>
          <w:sz w:val="24"/>
        </w:rPr>
        <w:lastRenderedPageBreak/>
        <w:t>Disease evaluation</w:t>
      </w:r>
    </w:p>
    <w:p w:rsidR="003A69FE" w:rsidRPr="00697764" w:rsidRDefault="003A69FE" w:rsidP="003A69FE">
      <w:pPr>
        <w:spacing w:after="120" w:line="480" w:lineRule="auto"/>
        <w:ind w:firstLine="720"/>
        <w:jc w:val="both"/>
        <w:rPr>
          <w:rFonts w:cs="Arial"/>
          <w:sz w:val="24"/>
        </w:rPr>
      </w:pPr>
      <w:r w:rsidRPr="00697764">
        <w:rPr>
          <w:rFonts w:cs="Arial"/>
          <w:sz w:val="24"/>
        </w:rPr>
        <w:t>CT/MRI images were reviewed by one radiologist (FG) and assessed by RECIST 1.0 criteria for presence and size of all target and non-target lesions.</w:t>
      </w:r>
      <w:hyperlink w:anchor="_ENREF_24" w:tooltip="Therasse, 2000 #22950" w:history="1">
        <w:r w:rsidRPr="00697764">
          <w:rPr>
            <w:rFonts w:cs="Arial"/>
            <w:sz w:val="24"/>
          </w:rPr>
          <w:fldChar w:fldCharType="begin">
            <w:fldData xml:space="preserve">PEVuZE5vdGU+PENpdGU+PEF1dGhvcj5UaGVyYXNzZTwvQXV0aG9yPjxZZWFyPjIwMDA8L1llYXI+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</w:fldData>
          </w:fldChar>
        </w:r>
        <w:r w:rsidRPr="00697764">
          <w:rPr>
            <w:rFonts w:cs="Arial"/>
            <w:sz w:val="24"/>
          </w:rPr>
          <w:instrText xml:space="preserve"> ADDIN EN.CITE </w:instrText>
        </w:r>
        <w:r w:rsidRPr="00697764">
          <w:rPr>
            <w:rFonts w:cs="Arial"/>
            <w:sz w:val="24"/>
          </w:rPr>
          <w:fldChar w:fldCharType="begin">
            <w:fldData xml:space="preserve">PEVuZE5vdGU+PENpdGU+PEF1dGhvcj5UaGVyYXNzZTwvQXV0aG9yPjxZZWFyPjIwMDA8L1llYXI+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</w:fldData>
          </w:fldChar>
        </w:r>
        <w:r w:rsidRPr="00697764">
          <w:rPr>
            <w:rFonts w:cs="Arial"/>
            <w:sz w:val="24"/>
          </w:rPr>
          <w:instrText xml:space="preserve"> ADDIN EN.CITE.DATA </w:instrText>
        </w:r>
        <w:r w:rsidRPr="00697764">
          <w:rPr>
            <w:rFonts w:cs="Arial"/>
            <w:sz w:val="24"/>
          </w:rPr>
        </w:r>
        <w:r w:rsidRPr="00697764">
          <w:rPr>
            <w:rFonts w:cs="Arial"/>
            <w:sz w:val="24"/>
          </w:rPr>
          <w:fldChar w:fldCharType="end"/>
        </w:r>
        <w:r w:rsidRPr="00697764">
          <w:rPr>
            <w:rFonts w:cs="Arial"/>
            <w:sz w:val="24"/>
          </w:rPr>
        </w:r>
        <w:r w:rsidRPr="00697764">
          <w:rPr>
            <w:rFonts w:cs="Arial"/>
            <w:sz w:val="24"/>
          </w:rPr>
          <w:fldChar w:fldCharType="separate"/>
        </w:r>
        <w:r w:rsidRPr="00697764">
          <w:rPr>
            <w:rFonts w:cs="Arial"/>
            <w:noProof/>
            <w:sz w:val="24"/>
            <w:vertAlign w:val="superscript"/>
          </w:rPr>
          <w:t>24</w:t>
        </w:r>
        <w:r w:rsidRPr="00697764">
          <w:rPr>
            <w:rFonts w:cs="Arial"/>
            <w:sz w:val="24"/>
          </w:rPr>
          <w:fldChar w:fldCharType="end"/>
        </w:r>
      </w:hyperlink>
      <w:r w:rsidRPr="00697764">
        <w:rPr>
          <w:rFonts w:cs="Arial"/>
          <w:sz w:val="24"/>
        </w:rPr>
        <w:t xml:space="preserve">   The sum of the longest diameter (LD) of all target lesions was evaluated for all CT/MRI scans.   MIBG scans were reviewed by one radiologist (HJ), who performed Curie scoring.</w:t>
      </w:r>
      <w:r w:rsidRPr="00697764">
        <w:rPr>
          <w:rFonts w:cs="Arial"/>
          <w:sz w:val="24"/>
        </w:rPr>
        <w:fldChar w:fldCharType="begin">
          <w:fldData xml:space="preserve">PEVuZE5vdGU+PENpdGU+PEF1dGhvcj5BZHk8L0F1dGhvcj48WWVhcj4xOTk1PC9ZZWFyPjxSZWNO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</w:fldData>
        </w:fldChar>
      </w:r>
      <w:r w:rsidRPr="00697764">
        <w:rPr>
          <w:rFonts w:cs="Arial"/>
          <w:sz w:val="24"/>
        </w:rPr>
        <w:instrText xml:space="preserve"> ADDIN EN.CITE </w:instrText>
      </w:r>
      <w:r w:rsidRPr="00697764">
        <w:rPr>
          <w:rFonts w:cs="Arial"/>
          <w:sz w:val="24"/>
        </w:rPr>
        <w:fldChar w:fldCharType="begin">
          <w:fldData xml:space="preserve">PEVuZE5vdGU+PENpdGU+PEF1dGhvcj5BZHk8L0F1dGhvcj48WWVhcj4xOTk1PC9ZZWFyPjxSZWNO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</w:fldData>
        </w:fldChar>
      </w:r>
      <w:r w:rsidRPr="00697764">
        <w:rPr>
          <w:rFonts w:cs="Arial"/>
          <w:sz w:val="24"/>
        </w:rPr>
        <w:instrText xml:space="preserve"> ADDIN EN.CITE.DATA </w:instrText>
      </w:r>
      <w:r w:rsidRPr="00697764">
        <w:rPr>
          <w:rFonts w:cs="Arial"/>
          <w:sz w:val="24"/>
        </w:rPr>
      </w:r>
      <w:r w:rsidRPr="00697764">
        <w:rPr>
          <w:rFonts w:cs="Arial"/>
          <w:sz w:val="24"/>
        </w:rPr>
        <w:fldChar w:fldCharType="end"/>
      </w:r>
      <w:r w:rsidRPr="00697764">
        <w:rPr>
          <w:rFonts w:cs="Arial"/>
          <w:sz w:val="24"/>
        </w:rPr>
      </w:r>
      <w:r w:rsidRPr="00697764">
        <w:rPr>
          <w:rFonts w:cs="Arial"/>
          <w:sz w:val="24"/>
        </w:rPr>
        <w:fldChar w:fldCharType="separate"/>
      </w:r>
      <w:hyperlink w:anchor="_ENREF_25" w:tooltip="Ady, 1995 #15743" w:history="1">
        <w:r w:rsidRPr="00697764">
          <w:rPr>
            <w:rFonts w:cs="Arial"/>
            <w:noProof/>
            <w:sz w:val="24"/>
            <w:vertAlign w:val="superscript"/>
          </w:rPr>
          <w:t>25</w:t>
        </w:r>
      </w:hyperlink>
      <w:r w:rsidRPr="00697764">
        <w:rPr>
          <w:rFonts w:cs="Arial"/>
          <w:noProof/>
          <w:sz w:val="24"/>
          <w:vertAlign w:val="superscript"/>
        </w:rPr>
        <w:t>,</w:t>
      </w:r>
      <w:hyperlink w:anchor="_ENREF_26" w:tooltip="Matthay, 2003 #1296" w:history="1">
        <w:r w:rsidRPr="00697764">
          <w:rPr>
            <w:rFonts w:cs="Arial"/>
            <w:noProof/>
            <w:sz w:val="24"/>
            <w:vertAlign w:val="superscript"/>
          </w:rPr>
          <w:t>26</w:t>
        </w:r>
      </w:hyperlink>
      <w:r w:rsidRPr="00697764">
        <w:rPr>
          <w:rFonts w:cs="Arial"/>
          <w:sz w:val="24"/>
        </w:rPr>
        <w:fldChar w:fldCharType="end"/>
      </w:r>
      <w:r w:rsidRPr="00697764">
        <w:rPr>
          <w:rFonts w:cs="Arial"/>
          <w:sz w:val="24"/>
        </w:rPr>
        <w:t xml:space="preserve">   Histopathology of bilateral BM biopsy specimens was reviewed by one pathologist (HS), and the maximum percentage of tumor cells from either side was assigned as the percent of tumor involvement</w:t>
      </w:r>
    </w:p>
    <w:p w:rsidR="003A69FE" w:rsidRPr="00697764" w:rsidRDefault="003A69FE" w:rsidP="003A69FE">
      <w:pPr>
        <w:spacing w:after="120" w:line="480" w:lineRule="auto"/>
        <w:ind w:firstLine="720"/>
        <w:jc w:val="both"/>
        <w:rPr>
          <w:rFonts w:cs="Arial"/>
          <w:sz w:val="24"/>
        </w:rPr>
      </w:pPr>
      <w:r w:rsidRPr="00697764">
        <w:rPr>
          <w:rFonts w:cs="Arial"/>
          <w:sz w:val="24"/>
        </w:rPr>
        <w:t xml:space="preserve">Response was graded at each time point for CT/MRI and MIBG lesions and for BM, and these assessments were combined into an overall response per the NANT Response Criteria (v1.0). Overall response was based on central review of the radiological scans and BM biopsies as well as review of institutional reports by one oncologist (AM). </w:t>
      </w:r>
    </w:p>
    <w:p w:rsidR="003A69FE" w:rsidRPr="00697764" w:rsidRDefault="003A69FE" w:rsidP="003A69FE">
      <w:pPr>
        <w:spacing w:after="120" w:line="480" w:lineRule="auto"/>
        <w:ind w:firstLine="720"/>
        <w:jc w:val="both"/>
        <w:rPr>
          <w:rFonts w:cs="Arial"/>
          <w:sz w:val="24"/>
        </w:rPr>
      </w:pPr>
      <w:r w:rsidRPr="00697764">
        <w:rPr>
          <w:rFonts w:cs="Arial"/>
          <w:sz w:val="24"/>
        </w:rPr>
        <w:t xml:space="preserve">Soft tissue lesions that remained stable in size after protocol therapy were considered stable disease (SD) even if MIBG uptake was no longer present within those lesions.  MIBG response was considered complete remission (CR) if all lesions disappeared, partial response (PR) if there was a 50% reduction in the Curie score, SD if the score showed reduction of less than 50%, and progressive disease (PD) for appearance of new lesions or increase in score of &gt;20%. BM response was defined as CR, SD, or PD, with CR defined as no tumor cells on two bilateral BM aspirates and biopsies obtained at least 3 weeks apart.  BM PD was defined as 1) no tumor cells at enrollment and then tumor cells observed on two consecutive examinations at least 3 weeks apart (or one examination at the treating physician’s discretion); or 2) tumor cells at enrollment with a subsequent increase to a minimum of 25% tumor cells and a doubling of the amount at enrollment.  BM SD was any amount of residual BM involvement not qualifying as CR or PD. Central review of BM biopsies and CT/MRI were not available in 14% and 20% of assessments, respectively, in which case institutional data were used. The correlation between central and institutional review of evaluations </w:t>
      </w:r>
      <w:r w:rsidRPr="00697764">
        <w:rPr>
          <w:rFonts w:cs="Arial"/>
          <w:sz w:val="24"/>
        </w:rPr>
        <w:lastRenderedPageBreak/>
        <w:t xml:space="preserve">was high when both were available (Pearson r = 0.73 for CT/MRI LD and r=0.98 for BM tumor cell percent).   </w:t>
      </w:r>
    </w:p>
    <w:p w:rsidR="003A69FE" w:rsidRPr="00697764" w:rsidRDefault="003A69FE" w:rsidP="003A69FE">
      <w:pPr>
        <w:spacing w:after="120" w:line="480" w:lineRule="auto"/>
        <w:ind w:firstLine="720"/>
        <w:jc w:val="both"/>
        <w:rPr>
          <w:rFonts w:cs="Arial"/>
          <w:sz w:val="24"/>
        </w:rPr>
      </w:pPr>
      <w:r w:rsidRPr="00697764">
        <w:rPr>
          <w:rFonts w:cs="Arial"/>
          <w:sz w:val="24"/>
        </w:rPr>
        <w:t xml:space="preserve">The overall response assigned was CR, PR, mixed response (MR) (one site PR or CR while another stable), SD, or PD when compared to baseline or best response.  For patients with multiple disease evaluation time points, each disease progression was considered a new baseline for subsequent response evaluation.  Time to progression was calculated from the first baseline as well as after each subsequent progression.  </w:t>
      </w:r>
    </w:p>
    <w:p w:rsidR="00B95179" w:rsidRDefault="00B95179">
      <w:pPr>
        <w:spacing w:after="200" w:line="276" w:lineRule="auto"/>
      </w:pPr>
      <w:r>
        <w:br w:type="page"/>
      </w:r>
    </w:p>
    <w:p w:rsidR="00B95179" w:rsidRPr="00697764" w:rsidRDefault="00B95179" w:rsidP="00B95179">
      <w:pPr>
        <w:jc w:val="center"/>
        <w:rPr>
          <w:rFonts w:cs="Arial"/>
          <w:b/>
          <w:sz w:val="24"/>
        </w:rPr>
      </w:pPr>
    </w:p>
    <w:p w:rsidR="00B95179" w:rsidRDefault="00B95179" w:rsidP="00B95179">
      <w:pPr>
        <w:rPr>
          <w:rFonts w:cs="Arial"/>
          <w:b/>
          <w:sz w:val="24"/>
        </w:rPr>
      </w:pPr>
      <w:r>
        <w:rPr>
          <w:rFonts w:cs="Arial"/>
          <w:b/>
          <w:sz w:val="24"/>
        </w:rPr>
        <w:t xml:space="preserve">SUPPLEMENTAL TABLES </w:t>
      </w:r>
    </w:p>
    <w:p w:rsidR="00B95179" w:rsidRPr="00697764" w:rsidRDefault="00B95179" w:rsidP="00B95179">
      <w:pPr>
        <w:rPr>
          <w:rFonts w:cs="Arial"/>
          <w:b/>
          <w:sz w:val="24"/>
        </w:rPr>
      </w:pPr>
    </w:p>
    <w:p w:rsidR="00B95179" w:rsidRPr="00697764" w:rsidRDefault="00B95179" w:rsidP="00B95179">
      <w:pPr>
        <w:rPr>
          <w:rFonts w:cs="Arial"/>
          <w:b/>
          <w:sz w:val="24"/>
        </w:rPr>
      </w:pPr>
      <w:r w:rsidRPr="00697764">
        <w:rPr>
          <w:rFonts w:cs="Arial"/>
          <w:b/>
          <w:sz w:val="24"/>
        </w:rPr>
        <w:t xml:space="preserve">Table A1.  </w:t>
      </w:r>
      <w:r w:rsidRPr="00BE6E3D">
        <w:rPr>
          <w:rFonts w:cs="Arial"/>
          <w:sz w:val="24"/>
        </w:rPr>
        <w:t>Therapies received for samples submitted on this study.</w:t>
      </w:r>
      <w:r w:rsidRPr="00697764">
        <w:rPr>
          <w:rFonts w:cs="Arial"/>
          <w:b/>
          <w:sz w:val="24"/>
        </w:rPr>
        <w:t xml:space="preserve"> </w:t>
      </w:r>
    </w:p>
    <w:p w:rsidR="00B95179" w:rsidRPr="00697764" w:rsidRDefault="00B95179" w:rsidP="00B95179">
      <w:pPr>
        <w:rPr>
          <w:rFonts w:cs="Arial"/>
          <w:b/>
          <w:sz w:val="24"/>
        </w:rPr>
      </w:pPr>
    </w:p>
    <w:tbl>
      <w:tblPr>
        <w:tblStyle w:val="GridTable1Light-Accent51"/>
        <w:tblW w:w="11016" w:type="dxa"/>
        <w:tblLayout w:type="fixed"/>
        <w:tblLook w:val="04A0" w:firstRow="1" w:lastRow="0" w:firstColumn="1" w:lastColumn="0" w:noHBand="0" w:noVBand="1"/>
      </w:tblPr>
      <w:tblGrid>
        <w:gridCol w:w="1368"/>
        <w:gridCol w:w="6840"/>
        <w:gridCol w:w="1260"/>
        <w:gridCol w:w="1548"/>
      </w:tblGrid>
      <w:tr w:rsidR="00B95179" w:rsidRPr="00697764" w:rsidTr="0085479A">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68" w:type="dxa"/>
            <w:noWrap/>
            <w:hideMark/>
          </w:tcPr>
          <w:p w:rsidR="00B95179" w:rsidRPr="00CC324B" w:rsidRDefault="00B95179" w:rsidP="0085479A">
            <w:pPr>
              <w:rPr>
                <w:rFonts w:cs="Arial"/>
                <w:bCs w:val="0"/>
                <w:color w:val="000000"/>
                <w:sz w:val="24"/>
              </w:rPr>
            </w:pPr>
            <w:r w:rsidRPr="00CC324B">
              <w:rPr>
                <w:rFonts w:cs="Arial"/>
                <w:bCs w:val="0"/>
                <w:color w:val="000000"/>
                <w:sz w:val="24"/>
              </w:rPr>
              <w:t>Protocol</w:t>
            </w:r>
          </w:p>
        </w:tc>
        <w:tc>
          <w:tcPr>
            <w:tcW w:w="6840" w:type="dxa"/>
            <w:noWrap/>
            <w:hideMark/>
          </w:tcPr>
          <w:p w:rsidR="00B95179" w:rsidRPr="00CC324B" w:rsidRDefault="00B95179" w:rsidP="0085479A">
            <w:pPr>
              <w:tabs>
                <w:tab w:val="left" w:pos="4240"/>
              </w:tabs>
              <w:cnfStyle w:val="100000000000" w:firstRow="1" w:lastRow="0" w:firstColumn="0" w:lastColumn="0" w:oddVBand="0" w:evenVBand="0" w:oddHBand="0" w:evenHBand="0" w:firstRowFirstColumn="0" w:firstRowLastColumn="0" w:lastRowFirstColumn="0" w:lastRowLastColumn="0"/>
              <w:rPr>
                <w:rFonts w:eastAsiaTheme="majorEastAsia" w:cs="Arial"/>
                <w:b w:val="0"/>
                <w:bCs w:val="0"/>
                <w:i/>
                <w:iCs/>
                <w:color w:val="000000"/>
                <w:sz w:val="24"/>
              </w:rPr>
            </w:pPr>
            <w:r w:rsidRPr="00CC324B">
              <w:rPr>
                <w:rFonts w:cs="Arial"/>
                <w:bCs w:val="0"/>
                <w:color w:val="000000"/>
                <w:sz w:val="24"/>
              </w:rPr>
              <w:t>Treatment</w:t>
            </w:r>
            <w:r>
              <w:rPr>
                <w:rFonts w:cs="Arial"/>
                <w:bCs w:val="0"/>
                <w:color w:val="000000"/>
                <w:sz w:val="24"/>
              </w:rPr>
              <w:tab/>
            </w:r>
          </w:p>
        </w:tc>
        <w:tc>
          <w:tcPr>
            <w:tcW w:w="1260" w:type="dxa"/>
          </w:tcPr>
          <w:p w:rsidR="00B95179" w:rsidRPr="00CC324B" w:rsidRDefault="00B95179" w:rsidP="0085479A">
            <w:pPr>
              <w:tabs>
                <w:tab w:val="left" w:pos="4240"/>
              </w:tabs>
              <w:cnfStyle w:val="100000000000" w:firstRow="1" w:lastRow="0" w:firstColumn="0" w:lastColumn="0" w:oddVBand="0" w:evenVBand="0" w:oddHBand="0" w:evenHBand="0" w:firstRowFirstColumn="0" w:firstRowLastColumn="0" w:lastRowFirstColumn="0" w:lastRowLastColumn="0"/>
              <w:rPr>
                <w:rFonts w:cs="Arial"/>
                <w:bCs w:val="0"/>
                <w:color w:val="000000"/>
                <w:sz w:val="24"/>
              </w:rPr>
            </w:pPr>
            <w:r>
              <w:rPr>
                <w:rFonts w:cs="Arial"/>
                <w:bCs w:val="0"/>
                <w:color w:val="000000"/>
                <w:sz w:val="24"/>
              </w:rPr>
              <w:t xml:space="preserve">BM n (%) </w:t>
            </w:r>
          </w:p>
        </w:tc>
        <w:tc>
          <w:tcPr>
            <w:tcW w:w="1548" w:type="dxa"/>
          </w:tcPr>
          <w:p w:rsidR="00B95179" w:rsidRPr="00CC324B" w:rsidRDefault="00B95179" w:rsidP="0085479A">
            <w:pPr>
              <w:tabs>
                <w:tab w:val="left" w:pos="4240"/>
              </w:tabs>
              <w:cnfStyle w:val="100000000000" w:firstRow="1" w:lastRow="0" w:firstColumn="0" w:lastColumn="0" w:oddVBand="0" w:evenVBand="0" w:oddHBand="0" w:evenHBand="0" w:firstRowFirstColumn="0" w:firstRowLastColumn="0" w:lastRowFirstColumn="0" w:lastRowLastColumn="0"/>
              <w:rPr>
                <w:rFonts w:cs="Arial"/>
                <w:bCs w:val="0"/>
                <w:color w:val="000000"/>
                <w:sz w:val="24"/>
              </w:rPr>
            </w:pPr>
            <w:r>
              <w:rPr>
                <w:rFonts w:cs="Arial"/>
                <w:bCs w:val="0"/>
                <w:color w:val="000000"/>
                <w:sz w:val="24"/>
              </w:rPr>
              <w:t xml:space="preserve">Blood </w:t>
            </w:r>
            <w:proofErr w:type="gramStart"/>
            <w:r>
              <w:rPr>
                <w:rFonts w:cs="Arial"/>
                <w:bCs w:val="0"/>
                <w:color w:val="000000"/>
                <w:sz w:val="24"/>
              </w:rPr>
              <w:t>n(</w:t>
            </w:r>
            <w:proofErr w:type="gramEnd"/>
            <w:r>
              <w:rPr>
                <w:rFonts w:cs="Arial"/>
                <w:bCs w:val="0"/>
                <w:color w:val="000000"/>
                <w:sz w:val="24"/>
              </w:rPr>
              <w:t>%)</w:t>
            </w:r>
          </w:p>
        </w:tc>
      </w:tr>
      <w:tr w:rsidR="00B95179" w:rsidRPr="00697764" w:rsidTr="0085479A">
        <w:trPr>
          <w:trHeight w:val="255"/>
        </w:trPr>
        <w:tc>
          <w:tcPr>
            <w:cnfStyle w:val="001000000000" w:firstRow="0" w:lastRow="0" w:firstColumn="1" w:lastColumn="0" w:oddVBand="0" w:evenVBand="0" w:oddHBand="0" w:evenHBand="0" w:firstRowFirstColumn="0" w:firstRowLastColumn="0" w:lastRowFirstColumn="0" w:lastRowLastColumn="0"/>
            <w:tcW w:w="1368" w:type="dxa"/>
            <w:noWrap/>
            <w:hideMark/>
          </w:tcPr>
          <w:p w:rsidR="00B95179" w:rsidRPr="00697764" w:rsidRDefault="00B95179" w:rsidP="0085479A">
            <w:pPr>
              <w:rPr>
                <w:rFonts w:cs="Arial"/>
                <w:sz w:val="24"/>
              </w:rPr>
            </w:pPr>
            <w:r w:rsidRPr="00697764">
              <w:rPr>
                <w:rFonts w:cs="Arial"/>
                <w:sz w:val="24"/>
              </w:rPr>
              <w:t>N1999-02</w:t>
            </w:r>
          </w:p>
        </w:tc>
        <w:tc>
          <w:tcPr>
            <w:tcW w:w="6840" w:type="dxa"/>
            <w:noWrap/>
            <w:hideMark/>
          </w:tcPr>
          <w:p w:rsidR="00B95179" w:rsidRPr="00697764"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697764">
              <w:rPr>
                <w:rFonts w:cs="Arial"/>
                <w:color w:val="000000"/>
                <w:sz w:val="24"/>
              </w:rPr>
              <w:t>Phase I BSO + Melphalan + PBSC</w:t>
            </w:r>
          </w:p>
        </w:tc>
        <w:tc>
          <w:tcPr>
            <w:tcW w:w="1260" w:type="dxa"/>
          </w:tcPr>
          <w:p w:rsidR="00B95179" w:rsidRPr="00697764"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6 (3)</w:t>
            </w:r>
          </w:p>
        </w:tc>
        <w:tc>
          <w:tcPr>
            <w:tcW w:w="1548" w:type="dxa"/>
          </w:tcPr>
          <w:p w:rsidR="00B95179" w:rsidRPr="00697764"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3 (2)</w:t>
            </w:r>
          </w:p>
        </w:tc>
      </w:tr>
      <w:tr w:rsidR="00B95179" w:rsidRPr="00697764" w:rsidTr="0085479A">
        <w:trPr>
          <w:trHeight w:val="255"/>
        </w:trPr>
        <w:tc>
          <w:tcPr>
            <w:cnfStyle w:val="001000000000" w:firstRow="0" w:lastRow="0" w:firstColumn="1" w:lastColumn="0" w:oddVBand="0" w:evenVBand="0" w:oddHBand="0" w:evenHBand="0" w:firstRowFirstColumn="0" w:firstRowLastColumn="0" w:lastRowFirstColumn="0" w:lastRowLastColumn="0"/>
            <w:tcW w:w="1368" w:type="dxa"/>
            <w:noWrap/>
            <w:hideMark/>
          </w:tcPr>
          <w:p w:rsidR="00B95179" w:rsidRPr="00697764" w:rsidRDefault="00B95179" w:rsidP="0085479A">
            <w:pPr>
              <w:rPr>
                <w:rFonts w:cs="Arial"/>
                <w:sz w:val="24"/>
              </w:rPr>
            </w:pPr>
            <w:r w:rsidRPr="00697764">
              <w:rPr>
                <w:rFonts w:cs="Arial"/>
                <w:sz w:val="24"/>
              </w:rPr>
              <w:t>N2004-04</w:t>
            </w:r>
          </w:p>
        </w:tc>
        <w:tc>
          <w:tcPr>
            <w:tcW w:w="6840" w:type="dxa"/>
            <w:noWrap/>
            <w:hideMark/>
          </w:tcPr>
          <w:p w:rsidR="00B95179" w:rsidRPr="00697764"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697764">
              <w:rPr>
                <w:rFonts w:cs="Arial"/>
                <w:color w:val="000000"/>
                <w:sz w:val="24"/>
              </w:rPr>
              <w:t>Phase I Oral Fenretinide</w:t>
            </w:r>
          </w:p>
        </w:tc>
        <w:tc>
          <w:tcPr>
            <w:tcW w:w="1260" w:type="dxa"/>
          </w:tcPr>
          <w:p w:rsidR="00B95179" w:rsidRPr="00697764"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39 (17)</w:t>
            </w:r>
          </w:p>
        </w:tc>
        <w:tc>
          <w:tcPr>
            <w:tcW w:w="1548" w:type="dxa"/>
          </w:tcPr>
          <w:p w:rsidR="00B95179" w:rsidRPr="00697764"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16 (11)</w:t>
            </w:r>
          </w:p>
        </w:tc>
      </w:tr>
      <w:tr w:rsidR="00B95179" w:rsidRPr="00697764" w:rsidTr="0085479A">
        <w:trPr>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rsidR="00B95179" w:rsidRPr="00697764" w:rsidRDefault="00B95179" w:rsidP="0085479A">
            <w:pPr>
              <w:rPr>
                <w:rFonts w:cs="Arial"/>
                <w:sz w:val="24"/>
              </w:rPr>
            </w:pPr>
            <w:r w:rsidRPr="00697764">
              <w:rPr>
                <w:rFonts w:cs="Arial"/>
                <w:sz w:val="24"/>
              </w:rPr>
              <w:t>N2007-02</w:t>
            </w:r>
          </w:p>
        </w:tc>
        <w:tc>
          <w:tcPr>
            <w:tcW w:w="6840" w:type="dxa"/>
            <w:noWrap/>
            <w:hideMark/>
          </w:tcPr>
          <w:p w:rsidR="00B95179" w:rsidRPr="00697764"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697764">
              <w:rPr>
                <w:rFonts w:cs="Arial"/>
                <w:color w:val="000000"/>
                <w:sz w:val="24"/>
              </w:rPr>
              <w:t>Phase I Cyclophosphamide + Bevacizumab + Zoledronic Acid</w:t>
            </w:r>
          </w:p>
        </w:tc>
        <w:tc>
          <w:tcPr>
            <w:tcW w:w="1260" w:type="dxa"/>
          </w:tcPr>
          <w:p w:rsidR="00B95179" w:rsidRPr="00697764"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5 (2)</w:t>
            </w:r>
          </w:p>
        </w:tc>
        <w:tc>
          <w:tcPr>
            <w:tcW w:w="1548" w:type="dxa"/>
          </w:tcPr>
          <w:p w:rsidR="00B95179" w:rsidRPr="00697764"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7 (5)</w:t>
            </w:r>
          </w:p>
        </w:tc>
      </w:tr>
      <w:tr w:rsidR="00B95179" w:rsidRPr="00697764" w:rsidTr="0085479A">
        <w:trPr>
          <w:trHeight w:val="255"/>
        </w:trPr>
        <w:tc>
          <w:tcPr>
            <w:cnfStyle w:val="001000000000" w:firstRow="0" w:lastRow="0" w:firstColumn="1" w:lastColumn="0" w:oddVBand="0" w:evenVBand="0" w:oddHBand="0" w:evenHBand="0" w:firstRowFirstColumn="0" w:firstRowLastColumn="0" w:lastRowFirstColumn="0" w:lastRowLastColumn="0"/>
            <w:tcW w:w="1368" w:type="dxa"/>
            <w:noWrap/>
            <w:hideMark/>
          </w:tcPr>
          <w:p w:rsidR="00B95179" w:rsidRPr="00697764" w:rsidRDefault="00B95179" w:rsidP="0085479A">
            <w:pPr>
              <w:rPr>
                <w:rFonts w:cs="Arial"/>
                <w:sz w:val="24"/>
              </w:rPr>
            </w:pPr>
            <w:r w:rsidRPr="00697764">
              <w:rPr>
                <w:rFonts w:cs="Arial"/>
                <w:sz w:val="24"/>
              </w:rPr>
              <w:t>N2007-03</w:t>
            </w:r>
          </w:p>
        </w:tc>
        <w:tc>
          <w:tcPr>
            <w:tcW w:w="6840" w:type="dxa"/>
            <w:noWrap/>
            <w:hideMark/>
          </w:tcPr>
          <w:p w:rsidR="00B95179" w:rsidRPr="00697764"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697764">
              <w:rPr>
                <w:rFonts w:cs="Arial"/>
                <w:color w:val="000000"/>
                <w:sz w:val="24"/>
              </w:rPr>
              <w:t>Phase I MIBG + Vorinostat + PBSC</w:t>
            </w:r>
          </w:p>
        </w:tc>
        <w:tc>
          <w:tcPr>
            <w:tcW w:w="1260" w:type="dxa"/>
          </w:tcPr>
          <w:p w:rsidR="00B95179" w:rsidRPr="00697764"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12 (5)</w:t>
            </w:r>
          </w:p>
        </w:tc>
        <w:tc>
          <w:tcPr>
            <w:tcW w:w="1548" w:type="dxa"/>
          </w:tcPr>
          <w:p w:rsidR="00B95179" w:rsidRPr="00697764"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5 (4)</w:t>
            </w:r>
          </w:p>
        </w:tc>
      </w:tr>
      <w:tr w:rsidR="00B95179" w:rsidRPr="00697764" w:rsidTr="0085479A">
        <w:trPr>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rsidR="00B95179" w:rsidRPr="00697764" w:rsidRDefault="00B95179" w:rsidP="0085479A">
            <w:pPr>
              <w:rPr>
                <w:rFonts w:cs="Arial"/>
                <w:sz w:val="24"/>
              </w:rPr>
            </w:pPr>
            <w:r w:rsidRPr="00697764">
              <w:rPr>
                <w:rFonts w:cs="Arial"/>
                <w:sz w:val="24"/>
              </w:rPr>
              <w:t>N2008-02</w:t>
            </w:r>
          </w:p>
        </w:tc>
        <w:tc>
          <w:tcPr>
            <w:tcW w:w="6840" w:type="dxa"/>
            <w:noWrap/>
            <w:hideMark/>
          </w:tcPr>
          <w:p w:rsidR="00B95179" w:rsidRPr="00697764"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697764">
              <w:rPr>
                <w:rFonts w:cs="Arial"/>
                <w:color w:val="000000"/>
                <w:sz w:val="24"/>
              </w:rPr>
              <w:t xml:space="preserve">Phase I Isotretinoin + Vorinostat </w:t>
            </w:r>
          </w:p>
        </w:tc>
        <w:tc>
          <w:tcPr>
            <w:tcW w:w="1260" w:type="dxa"/>
          </w:tcPr>
          <w:p w:rsidR="00B95179" w:rsidRPr="00697764"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25 (11)</w:t>
            </w:r>
          </w:p>
        </w:tc>
        <w:tc>
          <w:tcPr>
            <w:tcW w:w="1548" w:type="dxa"/>
          </w:tcPr>
          <w:p w:rsidR="00B95179" w:rsidRPr="00697764"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19 (13)</w:t>
            </w:r>
          </w:p>
        </w:tc>
      </w:tr>
      <w:tr w:rsidR="00B95179" w:rsidRPr="00697764" w:rsidTr="0085479A">
        <w:trPr>
          <w:trHeight w:val="255"/>
        </w:trPr>
        <w:tc>
          <w:tcPr>
            <w:cnfStyle w:val="001000000000" w:firstRow="0" w:lastRow="0" w:firstColumn="1" w:lastColumn="0" w:oddVBand="0" w:evenVBand="0" w:oddHBand="0" w:evenHBand="0" w:firstRowFirstColumn="0" w:firstRowLastColumn="0" w:lastRowFirstColumn="0" w:lastRowLastColumn="0"/>
            <w:tcW w:w="1368" w:type="dxa"/>
            <w:noWrap/>
            <w:hideMark/>
          </w:tcPr>
          <w:p w:rsidR="00B95179" w:rsidRPr="00697764" w:rsidRDefault="00B95179" w:rsidP="0085479A">
            <w:pPr>
              <w:rPr>
                <w:rFonts w:cs="Arial"/>
                <w:sz w:val="24"/>
              </w:rPr>
            </w:pPr>
            <w:r w:rsidRPr="00697764">
              <w:rPr>
                <w:rFonts w:cs="Arial"/>
                <w:sz w:val="24"/>
              </w:rPr>
              <w:t>N2009-03</w:t>
            </w:r>
          </w:p>
        </w:tc>
        <w:tc>
          <w:tcPr>
            <w:tcW w:w="6840" w:type="dxa"/>
            <w:noWrap/>
            <w:hideMark/>
          </w:tcPr>
          <w:p w:rsidR="00B95179" w:rsidRPr="00697764"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697764">
              <w:rPr>
                <w:rFonts w:cs="Arial"/>
                <w:color w:val="000000"/>
                <w:sz w:val="24"/>
              </w:rPr>
              <w:t>Phase I MLN8237 + Irinotecan + Temozolamide</w:t>
            </w:r>
          </w:p>
        </w:tc>
        <w:tc>
          <w:tcPr>
            <w:tcW w:w="1260" w:type="dxa"/>
          </w:tcPr>
          <w:p w:rsidR="00B95179" w:rsidRPr="00697764"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22 (10)</w:t>
            </w:r>
          </w:p>
        </w:tc>
        <w:tc>
          <w:tcPr>
            <w:tcW w:w="1548" w:type="dxa"/>
          </w:tcPr>
          <w:p w:rsidR="00B95179" w:rsidRPr="00697764"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Pr>
                <w:rFonts w:cs="Arial"/>
                <w:color w:val="000000"/>
                <w:sz w:val="24"/>
              </w:rPr>
              <w:t>11 (8)</w:t>
            </w:r>
          </w:p>
        </w:tc>
      </w:tr>
      <w:tr w:rsidR="00B95179" w:rsidRPr="00697764" w:rsidTr="0085479A">
        <w:trPr>
          <w:trHeight w:val="300"/>
        </w:trPr>
        <w:tc>
          <w:tcPr>
            <w:cnfStyle w:val="001000000000" w:firstRow="0" w:lastRow="0" w:firstColumn="1" w:lastColumn="0" w:oddVBand="0" w:evenVBand="0" w:oddHBand="0" w:evenHBand="0" w:firstRowFirstColumn="0" w:firstRowLastColumn="0" w:lastRowFirstColumn="0" w:lastRowLastColumn="0"/>
            <w:tcW w:w="1368" w:type="dxa"/>
            <w:noWrap/>
            <w:hideMark/>
          </w:tcPr>
          <w:p w:rsidR="00B95179" w:rsidRPr="00697764" w:rsidRDefault="00B95179" w:rsidP="0085479A">
            <w:pPr>
              <w:rPr>
                <w:rFonts w:cs="Arial"/>
                <w:sz w:val="24"/>
              </w:rPr>
            </w:pPr>
            <w:r w:rsidRPr="00697764">
              <w:rPr>
                <w:rFonts w:cs="Arial"/>
                <w:sz w:val="24"/>
              </w:rPr>
              <w:t>N2011-04</w:t>
            </w:r>
          </w:p>
        </w:tc>
        <w:tc>
          <w:tcPr>
            <w:tcW w:w="6840" w:type="dxa"/>
            <w:noWrap/>
            <w:hideMark/>
          </w:tcPr>
          <w:p w:rsidR="00B95179" w:rsidRPr="00697764" w:rsidRDefault="00B95179" w:rsidP="0085479A">
            <w:pPr>
              <w:cnfStyle w:val="000000000000" w:firstRow="0" w:lastRow="0" w:firstColumn="0" w:lastColumn="0" w:oddVBand="0" w:evenVBand="0" w:oddHBand="0" w:evenHBand="0" w:firstRowFirstColumn="0" w:firstRowLastColumn="0" w:lastRowFirstColumn="0" w:lastRowLastColumn="0"/>
              <w:rPr>
                <w:rFonts w:cs="Arial"/>
                <w:sz w:val="24"/>
              </w:rPr>
            </w:pPr>
            <w:r w:rsidRPr="00697764">
              <w:rPr>
                <w:rFonts w:cs="Arial"/>
                <w:sz w:val="24"/>
              </w:rPr>
              <w:t>Phase I Lenalidomide + ch14.18 + Isotretinoin</w:t>
            </w:r>
          </w:p>
        </w:tc>
        <w:tc>
          <w:tcPr>
            <w:tcW w:w="1260" w:type="dxa"/>
          </w:tcPr>
          <w:p w:rsidR="00B95179" w:rsidRPr="00697764" w:rsidRDefault="00B95179" w:rsidP="0085479A">
            <w:pPr>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4 (2)</w:t>
            </w:r>
          </w:p>
        </w:tc>
        <w:tc>
          <w:tcPr>
            <w:tcW w:w="1548" w:type="dxa"/>
          </w:tcPr>
          <w:p w:rsidR="00B95179" w:rsidRPr="00697764" w:rsidRDefault="00B95179" w:rsidP="0085479A">
            <w:pPr>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1 (1)</w:t>
            </w:r>
          </w:p>
        </w:tc>
      </w:tr>
      <w:tr w:rsidR="00B95179" w:rsidRPr="00697764" w:rsidTr="0085479A">
        <w:trPr>
          <w:trHeight w:val="300"/>
        </w:trPr>
        <w:tc>
          <w:tcPr>
            <w:cnfStyle w:val="001000000000" w:firstRow="0" w:lastRow="0" w:firstColumn="1" w:lastColumn="0" w:oddVBand="0" w:evenVBand="0" w:oddHBand="0" w:evenHBand="0" w:firstRowFirstColumn="0" w:firstRowLastColumn="0" w:lastRowFirstColumn="0" w:lastRowLastColumn="0"/>
            <w:tcW w:w="1368" w:type="dxa"/>
            <w:noWrap/>
          </w:tcPr>
          <w:p w:rsidR="00B95179" w:rsidRPr="00697764" w:rsidRDefault="00B95179" w:rsidP="0085479A">
            <w:pPr>
              <w:rPr>
                <w:rFonts w:cs="Arial"/>
                <w:sz w:val="24"/>
              </w:rPr>
            </w:pPr>
            <w:r>
              <w:rPr>
                <w:rFonts w:cs="Arial"/>
                <w:sz w:val="24"/>
              </w:rPr>
              <w:t>N2012</w:t>
            </w:r>
            <w:r w:rsidRPr="00697764">
              <w:rPr>
                <w:rFonts w:cs="Arial"/>
                <w:sz w:val="24"/>
              </w:rPr>
              <w:t>-0</w:t>
            </w:r>
            <w:r>
              <w:rPr>
                <w:rFonts w:cs="Arial"/>
                <w:sz w:val="24"/>
              </w:rPr>
              <w:t>1</w:t>
            </w:r>
          </w:p>
        </w:tc>
        <w:tc>
          <w:tcPr>
            <w:tcW w:w="6840" w:type="dxa"/>
            <w:noWrap/>
          </w:tcPr>
          <w:p w:rsidR="00B95179" w:rsidRPr="00697764" w:rsidRDefault="00B95179" w:rsidP="0085479A">
            <w:pPr>
              <w:cnfStyle w:val="000000000000" w:firstRow="0" w:lastRow="0" w:firstColumn="0" w:lastColumn="0" w:oddVBand="0" w:evenVBand="0" w:oddHBand="0" w:evenHBand="0" w:firstRowFirstColumn="0" w:firstRowLastColumn="0" w:lastRowFirstColumn="0" w:lastRowLastColumn="0"/>
              <w:rPr>
                <w:rFonts w:cs="Arial"/>
                <w:sz w:val="24"/>
              </w:rPr>
            </w:pPr>
            <w:r w:rsidRPr="00697764">
              <w:rPr>
                <w:rFonts w:cs="Arial"/>
                <w:sz w:val="24"/>
              </w:rPr>
              <w:t xml:space="preserve">Phase I </w:t>
            </w:r>
            <w:r>
              <w:rPr>
                <w:rFonts w:cs="Arial"/>
                <w:sz w:val="24"/>
              </w:rPr>
              <w:t>DFMO + Cyclophosphamide + Topotecan</w:t>
            </w:r>
          </w:p>
        </w:tc>
        <w:tc>
          <w:tcPr>
            <w:tcW w:w="1260" w:type="dxa"/>
          </w:tcPr>
          <w:p w:rsidR="00B95179" w:rsidRDefault="00B95179" w:rsidP="0085479A">
            <w:pPr>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4 (2)</w:t>
            </w:r>
          </w:p>
        </w:tc>
        <w:tc>
          <w:tcPr>
            <w:tcW w:w="1548" w:type="dxa"/>
          </w:tcPr>
          <w:p w:rsidR="00B95179" w:rsidRPr="00697764" w:rsidRDefault="00B95179" w:rsidP="0085479A">
            <w:pPr>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0</w:t>
            </w:r>
          </w:p>
        </w:tc>
      </w:tr>
      <w:tr w:rsidR="00B95179" w:rsidRPr="00697764" w:rsidTr="0085479A">
        <w:trPr>
          <w:trHeight w:val="300"/>
        </w:trPr>
        <w:tc>
          <w:tcPr>
            <w:cnfStyle w:val="001000000000" w:firstRow="0" w:lastRow="0" w:firstColumn="1" w:lastColumn="0" w:oddVBand="0" w:evenVBand="0" w:oddHBand="0" w:evenHBand="0" w:firstRowFirstColumn="0" w:firstRowLastColumn="0" w:lastRowFirstColumn="0" w:lastRowLastColumn="0"/>
            <w:tcW w:w="1368" w:type="dxa"/>
            <w:noWrap/>
          </w:tcPr>
          <w:p w:rsidR="00B95179" w:rsidRDefault="00B95179" w:rsidP="0085479A">
            <w:pPr>
              <w:rPr>
                <w:rFonts w:cs="Arial"/>
                <w:sz w:val="24"/>
              </w:rPr>
            </w:pPr>
            <w:r>
              <w:rPr>
                <w:rFonts w:cs="Arial"/>
                <w:sz w:val="24"/>
              </w:rPr>
              <w:t>Non NANT therapies*</w:t>
            </w:r>
          </w:p>
        </w:tc>
        <w:tc>
          <w:tcPr>
            <w:tcW w:w="6840" w:type="dxa"/>
            <w:noWrap/>
          </w:tcPr>
          <w:p w:rsidR="00B95179" w:rsidRPr="000638BE" w:rsidRDefault="00B95179" w:rsidP="0085479A">
            <w:pPr>
              <w:keepNext/>
              <w:keepLines/>
              <w:spacing w:before="200"/>
              <w:outlineLvl w:val="3"/>
              <w:cnfStyle w:val="000000000000" w:firstRow="0" w:lastRow="0" w:firstColumn="0" w:lastColumn="0" w:oddVBand="0" w:evenVBand="0" w:oddHBand="0" w:evenHBand="0" w:firstRowFirstColumn="0" w:firstRowLastColumn="0" w:lastRowFirstColumn="0" w:lastRowLastColumn="0"/>
              <w:rPr>
                <w:rFonts w:cs="Arial"/>
                <w:sz w:val="24"/>
              </w:rPr>
            </w:pPr>
            <w:r w:rsidRPr="000638BE">
              <w:rPr>
                <w:rFonts w:cs="Arial"/>
                <w:sz w:val="24"/>
              </w:rPr>
              <w:t>immunotherapy (ANBL1021, compassionate ch14.14), I131-MIBG, cyclophosphamide/</w:t>
            </w:r>
            <w:proofErr w:type="spellStart"/>
            <w:r w:rsidRPr="000638BE">
              <w:rPr>
                <w:rFonts w:cs="Arial"/>
                <w:sz w:val="24"/>
              </w:rPr>
              <w:t>topotecan</w:t>
            </w:r>
            <w:proofErr w:type="spellEnd"/>
            <w:r w:rsidRPr="000638BE">
              <w:rPr>
                <w:rFonts w:cs="Arial"/>
                <w:sz w:val="24"/>
              </w:rPr>
              <w:t xml:space="preserve">, </w:t>
            </w:r>
            <w:proofErr w:type="spellStart"/>
            <w:r w:rsidRPr="000638BE">
              <w:rPr>
                <w:rFonts w:cs="Arial"/>
                <w:sz w:val="24"/>
              </w:rPr>
              <w:t>Ifosfamide</w:t>
            </w:r>
            <w:proofErr w:type="spellEnd"/>
            <w:r w:rsidRPr="000638BE">
              <w:rPr>
                <w:rFonts w:cs="Arial"/>
                <w:sz w:val="24"/>
              </w:rPr>
              <w:t>/carboplatin/</w:t>
            </w:r>
            <w:proofErr w:type="spellStart"/>
            <w:r w:rsidRPr="000638BE">
              <w:rPr>
                <w:rFonts w:cs="Arial"/>
                <w:sz w:val="24"/>
              </w:rPr>
              <w:t>etoposide</w:t>
            </w:r>
            <w:proofErr w:type="spellEnd"/>
            <w:r w:rsidRPr="000638BE">
              <w:rPr>
                <w:rFonts w:cs="Arial"/>
                <w:sz w:val="24"/>
              </w:rPr>
              <w:t xml:space="preserve">, </w:t>
            </w:r>
            <w:proofErr w:type="spellStart"/>
            <w:r w:rsidRPr="000638BE">
              <w:rPr>
                <w:rFonts w:cs="Arial"/>
                <w:sz w:val="24"/>
              </w:rPr>
              <w:t>irirnotecan</w:t>
            </w:r>
            <w:proofErr w:type="spellEnd"/>
            <w:r w:rsidRPr="000638BE">
              <w:rPr>
                <w:rFonts w:cs="Arial"/>
                <w:sz w:val="24"/>
              </w:rPr>
              <w:t>/</w:t>
            </w:r>
            <w:proofErr w:type="spellStart"/>
            <w:r w:rsidRPr="000638BE">
              <w:rPr>
                <w:rFonts w:cs="Arial"/>
                <w:sz w:val="24"/>
              </w:rPr>
              <w:t>temozolamide</w:t>
            </w:r>
            <w:proofErr w:type="spellEnd"/>
            <w:r w:rsidRPr="000638BE">
              <w:rPr>
                <w:rFonts w:cs="Arial"/>
                <w:sz w:val="24"/>
              </w:rPr>
              <w:t>, local radiation</w:t>
            </w:r>
          </w:p>
          <w:p w:rsidR="00B95179" w:rsidRPr="00697764" w:rsidRDefault="00B95179" w:rsidP="0085479A">
            <w:pPr>
              <w:cnfStyle w:val="000000000000" w:firstRow="0" w:lastRow="0" w:firstColumn="0" w:lastColumn="0" w:oddVBand="0" w:evenVBand="0" w:oddHBand="0" w:evenHBand="0" w:firstRowFirstColumn="0" w:firstRowLastColumn="0" w:lastRowFirstColumn="0" w:lastRowLastColumn="0"/>
              <w:rPr>
                <w:rFonts w:cs="Arial"/>
                <w:sz w:val="24"/>
              </w:rPr>
            </w:pPr>
          </w:p>
        </w:tc>
        <w:tc>
          <w:tcPr>
            <w:tcW w:w="1260" w:type="dxa"/>
          </w:tcPr>
          <w:p w:rsidR="00B95179" w:rsidRDefault="00B95179" w:rsidP="0085479A">
            <w:pPr>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106 (48)</w:t>
            </w:r>
          </w:p>
        </w:tc>
        <w:tc>
          <w:tcPr>
            <w:tcW w:w="1548" w:type="dxa"/>
          </w:tcPr>
          <w:p w:rsidR="00B95179" w:rsidRPr="00697764" w:rsidRDefault="00B95179" w:rsidP="0085479A">
            <w:pPr>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80 (56)</w:t>
            </w:r>
          </w:p>
        </w:tc>
      </w:tr>
      <w:tr w:rsidR="00B95179" w:rsidRPr="00697764" w:rsidTr="0085479A">
        <w:trPr>
          <w:trHeight w:val="300"/>
        </w:trPr>
        <w:tc>
          <w:tcPr>
            <w:cnfStyle w:val="001000000000" w:firstRow="0" w:lastRow="0" w:firstColumn="1" w:lastColumn="0" w:oddVBand="0" w:evenVBand="0" w:oddHBand="0" w:evenHBand="0" w:firstRowFirstColumn="0" w:firstRowLastColumn="0" w:lastRowFirstColumn="0" w:lastRowLastColumn="0"/>
            <w:tcW w:w="1368" w:type="dxa"/>
            <w:noWrap/>
          </w:tcPr>
          <w:p w:rsidR="00B95179" w:rsidRDefault="00B95179" w:rsidP="0085479A">
            <w:pPr>
              <w:rPr>
                <w:rFonts w:cs="Arial"/>
                <w:sz w:val="24"/>
              </w:rPr>
            </w:pPr>
            <w:r>
              <w:rPr>
                <w:rFonts w:cs="Arial"/>
                <w:sz w:val="24"/>
              </w:rPr>
              <w:t>All</w:t>
            </w:r>
          </w:p>
        </w:tc>
        <w:tc>
          <w:tcPr>
            <w:tcW w:w="6840" w:type="dxa"/>
            <w:noWrap/>
          </w:tcPr>
          <w:p w:rsidR="00B95179" w:rsidRPr="006971DF" w:rsidRDefault="00B95179" w:rsidP="0085479A">
            <w:pPr>
              <w:cnfStyle w:val="000000000000" w:firstRow="0" w:lastRow="0" w:firstColumn="0" w:lastColumn="0" w:oddVBand="0" w:evenVBand="0" w:oddHBand="0" w:evenHBand="0" w:firstRowFirstColumn="0" w:firstRowLastColumn="0" w:lastRowFirstColumn="0" w:lastRowLastColumn="0"/>
              <w:rPr>
                <w:rFonts w:cs="Arial"/>
                <w:sz w:val="24"/>
              </w:rPr>
            </w:pPr>
          </w:p>
        </w:tc>
        <w:tc>
          <w:tcPr>
            <w:tcW w:w="1260" w:type="dxa"/>
          </w:tcPr>
          <w:p w:rsidR="00B95179" w:rsidRDefault="00B95179" w:rsidP="0085479A">
            <w:pPr>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223 (100)</w:t>
            </w:r>
          </w:p>
        </w:tc>
        <w:tc>
          <w:tcPr>
            <w:tcW w:w="1548" w:type="dxa"/>
          </w:tcPr>
          <w:p w:rsidR="00B95179" w:rsidRPr="00697764" w:rsidRDefault="00B95179" w:rsidP="0085479A">
            <w:pPr>
              <w:cnfStyle w:val="000000000000" w:firstRow="0" w:lastRow="0" w:firstColumn="0" w:lastColumn="0" w:oddVBand="0" w:evenVBand="0" w:oddHBand="0" w:evenHBand="0" w:firstRowFirstColumn="0" w:firstRowLastColumn="0" w:lastRowFirstColumn="0" w:lastRowLastColumn="0"/>
              <w:rPr>
                <w:rFonts w:cs="Arial"/>
                <w:sz w:val="24"/>
              </w:rPr>
            </w:pPr>
            <w:r>
              <w:rPr>
                <w:rFonts w:cs="Arial"/>
                <w:sz w:val="24"/>
              </w:rPr>
              <w:t>142 (100)</w:t>
            </w:r>
          </w:p>
        </w:tc>
      </w:tr>
    </w:tbl>
    <w:p w:rsidR="00B95179" w:rsidRDefault="00B95179" w:rsidP="00B95179">
      <w:pPr>
        <w:rPr>
          <w:rFonts w:cs="Arial"/>
          <w:b/>
          <w:sz w:val="24"/>
        </w:rPr>
      </w:pPr>
    </w:p>
    <w:p w:rsidR="00B95179" w:rsidRDefault="00B95179" w:rsidP="00B95179">
      <w:pPr>
        <w:rPr>
          <w:rFonts w:cs="Arial"/>
          <w:b/>
          <w:sz w:val="24"/>
        </w:rPr>
      </w:pPr>
    </w:p>
    <w:p w:rsidR="00B95179" w:rsidRDefault="00B95179" w:rsidP="00B95179">
      <w:pPr>
        <w:jc w:val="both"/>
        <w:rPr>
          <w:rFonts w:cs="Arial"/>
          <w:b/>
          <w:sz w:val="24"/>
        </w:rPr>
      </w:pPr>
    </w:p>
    <w:p w:rsidR="00B95179" w:rsidRDefault="00B95179" w:rsidP="00B95179">
      <w:pPr>
        <w:jc w:val="both"/>
        <w:rPr>
          <w:rFonts w:cs="Arial"/>
          <w:b/>
          <w:sz w:val="24"/>
        </w:rPr>
      </w:pPr>
    </w:p>
    <w:p w:rsidR="00B95179" w:rsidRPr="00BE6E3D" w:rsidRDefault="00B95179" w:rsidP="00B95179">
      <w:pPr>
        <w:rPr>
          <w:rFonts w:cs="Arial"/>
          <w:b/>
          <w:sz w:val="24"/>
        </w:rPr>
      </w:pPr>
      <w:r w:rsidRPr="00BE6E3D">
        <w:rPr>
          <w:rFonts w:cs="Arial"/>
          <w:b/>
          <w:sz w:val="24"/>
        </w:rPr>
        <w:t xml:space="preserve">Table A2. </w:t>
      </w:r>
      <w:r w:rsidRPr="00BE6E3D">
        <w:rPr>
          <w:rFonts w:cs="Arial"/>
          <w:sz w:val="24"/>
        </w:rPr>
        <w:t>Genes and Primer and Probe Sets for NB5 assay</w:t>
      </w:r>
    </w:p>
    <w:p w:rsidR="00B95179" w:rsidRPr="00B4648F" w:rsidRDefault="00B95179" w:rsidP="00B95179">
      <w:pPr>
        <w:jc w:val="center"/>
        <w:rPr>
          <w:rFonts w:cs="Arial"/>
          <w:b/>
          <w:sz w:val="24"/>
        </w:rPr>
      </w:pPr>
    </w:p>
    <w:tbl>
      <w:tblPr>
        <w:tblStyle w:val="GridTable1Light-Accent51"/>
        <w:tblW w:w="10545" w:type="dxa"/>
        <w:tblLook w:val="04A0" w:firstRow="1" w:lastRow="0" w:firstColumn="1" w:lastColumn="0" w:noHBand="0" w:noVBand="1"/>
      </w:tblPr>
      <w:tblGrid>
        <w:gridCol w:w="1908"/>
        <w:gridCol w:w="5757"/>
        <w:gridCol w:w="2880"/>
      </w:tblGrid>
      <w:tr w:rsidR="00B95179" w:rsidRPr="00B4648F" w:rsidTr="0085479A">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908" w:type="dxa"/>
            <w:noWrap/>
            <w:hideMark/>
          </w:tcPr>
          <w:p w:rsidR="00B95179" w:rsidRPr="00CC324B" w:rsidRDefault="00B95179" w:rsidP="0085479A">
            <w:pPr>
              <w:jc w:val="center"/>
              <w:rPr>
                <w:rFonts w:cs="Arial"/>
                <w:bCs w:val="0"/>
                <w:color w:val="000000"/>
                <w:sz w:val="24"/>
              </w:rPr>
            </w:pPr>
            <w:r w:rsidRPr="00CC324B">
              <w:rPr>
                <w:rFonts w:cs="Arial"/>
                <w:bCs w:val="0"/>
                <w:color w:val="000000"/>
                <w:sz w:val="24"/>
              </w:rPr>
              <w:t>Gene Symbol</w:t>
            </w:r>
          </w:p>
        </w:tc>
        <w:tc>
          <w:tcPr>
            <w:tcW w:w="5757" w:type="dxa"/>
            <w:noWrap/>
            <w:hideMark/>
          </w:tcPr>
          <w:p w:rsidR="00B95179" w:rsidRPr="00CC324B" w:rsidRDefault="00B95179" w:rsidP="0085479A">
            <w:pPr>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4"/>
              </w:rPr>
            </w:pPr>
            <w:r w:rsidRPr="00CC324B">
              <w:rPr>
                <w:rFonts w:cs="Arial"/>
                <w:bCs w:val="0"/>
                <w:color w:val="000000"/>
                <w:sz w:val="24"/>
              </w:rPr>
              <w:t>Gene Name</w:t>
            </w:r>
          </w:p>
        </w:tc>
        <w:tc>
          <w:tcPr>
            <w:tcW w:w="2880" w:type="dxa"/>
            <w:noWrap/>
            <w:hideMark/>
          </w:tcPr>
          <w:p w:rsidR="00B95179" w:rsidRPr="00CC324B" w:rsidRDefault="00B95179" w:rsidP="0085479A">
            <w:pPr>
              <w:jc w:val="center"/>
              <w:cnfStyle w:val="100000000000" w:firstRow="1" w:lastRow="0" w:firstColumn="0" w:lastColumn="0" w:oddVBand="0" w:evenVBand="0" w:oddHBand="0" w:evenHBand="0" w:firstRowFirstColumn="0" w:firstRowLastColumn="0" w:lastRowFirstColumn="0" w:lastRowLastColumn="0"/>
              <w:rPr>
                <w:rFonts w:cs="Arial"/>
                <w:bCs w:val="0"/>
                <w:color w:val="000000"/>
                <w:sz w:val="24"/>
              </w:rPr>
            </w:pPr>
            <w:r w:rsidRPr="00CC324B">
              <w:rPr>
                <w:rFonts w:cs="Arial"/>
                <w:bCs w:val="0"/>
                <w:color w:val="000000"/>
                <w:sz w:val="24"/>
              </w:rPr>
              <w:t>Primer and Probe Set</w:t>
            </w:r>
          </w:p>
        </w:tc>
      </w:tr>
      <w:tr w:rsidR="00B95179" w:rsidRPr="00B4648F" w:rsidTr="0085479A">
        <w:trPr>
          <w:trHeight w:val="255"/>
        </w:trPr>
        <w:tc>
          <w:tcPr>
            <w:cnfStyle w:val="001000000000" w:firstRow="0" w:lastRow="0" w:firstColumn="1" w:lastColumn="0" w:oddVBand="0" w:evenVBand="0" w:oddHBand="0" w:evenHBand="0" w:firstRowFirstColumn="0" w:firstRowLastColumn="0" w:lastRowFirstColumn="0" w:lastRowLastColumn="0"/>
            <w:tcW w:w="1908" w:type="dxa"/>
            <w:noWrap/>
            <w:hideMark/>
          </w:tcPr>
          <w:p w:rsidR="00B95179" w:rsidRPr="00B4648F" w:rsidRDefault="00B95179" w:rsidP="0085479A">
            <w:pPr>
              <w:rPr>
                <w:rFonts w:cs="Arial"/>
                <w:b w:val="0"/>
                <w:bCs w:val="0"/>
                <w:color w:val="000000"/>
                <w:sz w:val="24"/>
              </w:rPr>
            </w:pPr>
            <w:r w:rsidRPr="00B4648F">
              <w:rPr>
                <w:rFonts w:cs="Arial"/>
                <w:b w:val="0"/>
                <w:bCs w:val="0"/>
                <w:color w:val="000000"/>
                <w:sz w:val="24"/>
              </w:rPr>
              <w:t>Neuroblastoma</w:t>
            </w:r>
          </w:p>
        </w:tc>
        <w:tc>
          <w:tcPr>
            <w:tcW w:w="5757" w:type="dxa"/>
            <w:noWrap/>
            <w:hideMark/>
          </w:tcPr>
          <w:p w:rsidR="00B95179" w:rsidRPr="00B4648F" w:rsidRDefault="00B95179" w:rsidP="0085479A">
            <w:pPr>
              <w:jc w:val="center"/>
              <w:cnfStyle w:val="000000000000" w:firstRow="0" w:lastRow="0" w:firstColumn="0" w:lastColumn="0" w:oddVBand="0" w:evenVBand="0" w:oddHBand="0" w:evenHBand="0" w:firstRowFirstColumn="0" w:firstRowLastColumn="0" w:lastRowFirstColumn="0" w:lastRowLastColumn="0"/>
              <w:rPr>
                <w:rFonts w:cs="Arial"/>
                <w:color w:val="000000"/>
                <w:sz w:val="24"/>
              </w:rPr>
            </w:pPr>
          </w:p>
        </w:tc>
        <w:tc>
          <w:tcPr>
            <w:tcW w:w="2880" w:type="dxa"/>
            <w:noWrap/>
            <w:hideMark/>
          </w:tcPr>
          <w:p w:rsidR="00B95179" w:rsidRPr="00B4648F" w:rsidRDefault="00B95179" w:rsidP="0085479A">
            <w:pPr>
              <w:jc w:val="center"/>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B4648F">
              <w:rPr>
                <w:rFonts w:cs="Arial"/>
                <w:color w:val="000000"/>
                <w:sz w:val="24"/>
              </w:rPr>
              <w:t> </w:t>
            </w:r>
          </w:p>
        </w:tc>
      </w:tr>
      <w:tr w:rsidR="00B95179" w:rsidRPr="00B4648F" w:rsidTr="0085479A">
        <w:trPr>
          <w:trHeight w:val="255"/>
        </w:trPr>
        <w:tc>
          <w:tcPr>
            <w:cnfStyle w:val="001000000000" w:firstRow="0" w:lastRow="0" w:firstColumn="1" w:lastColumn="0" w:oddVBand="0" w:evenVBand="0" w:oddHBand="0" w:evenHBand="0" w:firstRowFirstColumn="0" w:firstRowLastColumn="0" w:lastRowFirstColumn="0" w:lastRowLastColumn="0"/>
            <w:tcW w:w="1908" w:type="dxa"/>
            <w:noWrap/>
            <w:hideMark/>
          </w:tcPr>
          <w:p w:rsidR="00B95179" w:rsidRPr="00B4648F" w:rsidRDefault="00B95179" w:rsidP="0085479A">
            <w:pPr>
              <w:rPr>
                <w:rFonts w:cs="Arial"/>
                <w:color w:val="000000"/>
                <w:sz w:val="24"/>
              </w:rPr>
            </w:pPr>
            <w:r w:rsidRPr="00B4648F">
              <w:rPr>
                <w:rFonts w:cs="Arial"/>
                <w:color w:val="000000"/>
                <w:sz w:val="24"/>
              </w:rPr>
              <w:t>CHGA</w:t>
            </w:r>
          </w:p>
        </w:tc>
        <w:tc>
          <w:tcPr>
            <w:tcW w:w="5757" w:type="dxa"/>
            <w:noWrap/>
            <w:hideMark/>
          </w:tcPr>
          <w:p w:rsidR="00B95179" w:rsidRPr="00B4648F"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B4648F">
              <w:rPr>
                <w:rFonts w:cs="Arial"/>
                <w:color w:val="000000"/>
                <w:sz w:val="24"/>
              </w:rPr>
              <w:t>chromogranin A (parathyroid secretory protein 1)</w:t>
            </w:r>
          </w:p>
        </w:tc>
        <w:tc>
          <w:tcPr>
            <w:tcW w:w="2880" w:type="dxa"/>
            <w:noWrap/>
            <w:hideMark/>
          </w:tcPr>
          <w:p w:rsidR="00B95179" w:rsidRPr="00B4648F"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B4648F">
              <w:rPr>
                <w:rFonts w:cs="Arial"/>
                <w:color w:val="000000"/>
                <w:sz w:val="24"/>
              </w:rPr>
              <w:t>CHGA-Hs00154441_m1</w:t>
            </w:r>
          </w:p>
        </w:tc>
      </w:tr>
      <w:tr w:rsidR="00B95179" w:rsidRPr="00B4648F" w:rsidTr="0085479A">
        <w:trPr>
          <w:trHeight w:val="255"/>
        </w:trPr>
        <w:tc>
          <w:tcPr>
            <w:cnfStyle w:val="001000000000" w:firstRow="0" w:lastRow="0" w:firstColumn="1" w:lastColumn="0" w:oddVBand="0" w:evenVBand="0" w:oddHBand="0" w:evenHBand="0" w:firstRowFirstColumn="0" w:firstRowLastColumn="0" w:lastRowFirstColumn="0" w:lastRowLastColumn="0"/>
            <w:tcW w:w="1908" w:type="dxa"/>
            <w:noWrap/>
            <w:hideMark/>
          </w:tcPr>
          <w:p w:rsidR="00B95179" w:rsidRPr="00B4648F" w:rsidRDefault="00B95179" w:rsidP="0085479A">
            <w:pPr>
              <w:rPr>
                <w:rFonts w:cs="Arial"/>
                <w:color w:val="000000"/>
                <w:sz w:val="24"/>
              </w:rPr>
            </w:pPr>
            <w:r w:rsidRPr="00B4648F">
              <w:rPr>
                <w:rFonts w:cs="Arial"/>
                <w:color w:val="000000"/>
                <w:sz w:val="24"/>
              </w:rPr>
              <w:t>DCX</w:t>
            </w:r>
          </w:p>
        </w:tc>
        <w:tc>
          <w:tcPr>
            <w:tcW w:w="5757" w:type="dxa"/>
            <w:noWrap/>
            <w:hideMark/>
          </w:tcPr>
          <w:p w:rsidR="00B95179" w:rsidRPr="00B4648F"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B4648F">
              <w:rPr>
                <w:rFonts w:cs="Arial"/>
                <w:color w:val="000000"/>
                <w:sz w:val="24"/>
              </w:rPr>
              <w:t>doublecortin</w:t>
            </w:r>
          </w:p>
        </w:tc>
        <w:tc>
          <w:tcPr>
            <w:tcW w:w="2880" w:type="dxa"/>
            <w:noWrap/>
            <w:hideMark/>
          </w:tcPr>
          <w:p w:rsidR="00B95179" w:rsidRPr="00B4648F"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B4648F">
              <w:rPr>
                <w:rFonts w:cs="Arial"/>
                <w:color w:val="000000"/>
                <w:sz w:val="24"/>
              </w:rPr>
              <w:t>DCX-Hs00167057_m1</w:t>
            </w:r>
          </w:p>
        </w:tc>
      </w:tr>
      <w:tr w:rsidR="00B95179" w:rsidRPr="00B4648F" w:rsidTr="0085479A">
        <w:trPr>
          <w:trHeight w:val="255"/>
        </w:trPr>
        <w:tc>
          <w:tcPr>
            <w:cnfStyle w:val="001000000000" w:firstRow="0" w:lastRow="0" w:firstColumn="1" w:lastColumn="0" w:oddVBand="0" w:evenVBand="0" w:oddHBand="0" w:evenHBand="0" w:firstRowFirstColumn="0" w:firstRowLastColumn="0" w:lastRowFirstColumn="0" w:lastRowLastColumn="0"/>
            <w:tcW w:w="1908" w:type="dxa"/>
            <w:noWrap/>
            <w:hideMark/>
          </w:tcPr>
          <w:p w:rsidR="00B95179" w:rsidRPr="00B4648F" w:rsidRDefault="00B95179" w:rsidP="0085479A">
            <w:pPr>
              <w:rPr>
                <w:rFonts w:cs="Arial"/>
                <w:color w:val="000000"/>
                <w:sz w:val="24"/>
              </w:rPr>
            </w:pPr>
            <w:r w:rsidRPr="00B4648F">
              <w:rPr>
                <w:rFonts w:cs="Arial"/>
                <w:color w:val="000000"/>
                <w:sz w:val="24"/>
              </w:rPr>
              <w:t>DDC</w:t>
            </w:r>
          </w:p>
        </w:tc>
        <w:tc>
          <w:tcPr>
            <w:tcW w:w="5757" w:type="dxa"/>
            <w:noWrap/>
            <w:hideMark/>
          </w:tcPr>
          <w:p w:rsidR="00B95179" w:rsidRPr="00B4648F"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B4648F">
              <w:rPr>
                <w:rFonts w:cs="Arial"/>
                <w:color w:val="000000"/>
                <w:sz w:val="24"/>
              </w:rPr>
              <w:t>dopa decarboxylase (aromatic L-amino acid decarboxylase)</w:t>
            </w:r>
          </w:p>
        </w:tc>
        <w:tc>
          <w:tcPr>
            <w:tcW w:w="2880" w:type="dxa"/>
            <w:noWrap/>
            <w:hideMark/>
          </w:tcPr>
          <w:p w:rsidR="00B95179" w:rsidRPr="00B4648F"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B4648F">
              <w:rPr>
                <w:rFonts w:cs="Arial"/>
                <w:color w:val="000000"/>
                <w:sz w:val="24"/>
              </w:rPr>
              <w:t>DDC-Hs00168031_m1</w:t>
            </w:r>
          </w:p>
        </w:tc>
      </w:tr>
      <w:tr w:rsidR="00B95179" w:rsidRPr="00B4648F" w:rsidTr="0085479A">
        <w:trPr>
          <w:trHeight w:val="255"/>
        </w:trPr>
        <w:tc>
          <w:tcPr>
            <w:cnfStyle w:val="001000000000" w:firstRow="0" w:lastRow="0" w:firstColumn="1" w:lastColumn="0" w:oddVBand="0" w:evenVBand="0" w:oddHBand="0" w:evenHBand="0" w:firstRowFirstColumn="0" w:firstRowLastColumn="0" w:lastRowFirstColumn="0" w:lastRowLastColumn="0"/>
            <w:tcW w:w="1908" w:type="dxa"/>
            <w:noWrap/>
            <w:hideMark/>
          </w:tcPr>
          <w:p w:rsidR="00B95179" w:rsidRPr="00B4648F" w:rsidRDefault="00B95179" w:rsidP="0085479A">
            <w:pPr>
              <w:rPr>
                <w:rFonts w:cs="Arial"/>
                <w:color w:val="000000"/>
                <w:sz w:val="24"/>
              </w:rPr>
            </w:pPr>
            <w:r w:rsidRPr="00B4648F">
              <w:rPr>
                <w:rFonts w:cs="Arial"/>
                <w:color w:val="000000"/>
                <w:sz w:val="24"/>
              </w:rPr>
              <w:t>PHOX2B</w:t>
            </w:r>
          </w:p>
        </w:tc>
        <w:tc>
          <w:tcPr>
            <w:tcW w:w="5757" w:type="dxa"/>
            <w:noWrap/>
            <w:hideMark/>
          </w:tcPr>
          <w:p w:rsidR="00B95179" w:rsidRPr="00B4648F"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B4648F">
              <w:rPr>
                <w:rFonts w:cs="Arial"/>
                <w:color w:val="000000"/>
                <w:sz w:val="24"/>
              </w:rPr>
              <w:t>paired-like homeobox 2b</w:t>
            </w:r>
          </w:p>
        </w:tc>
        <w:tc>
          <w:tcPr>
            <w:tcW w:w="2880" w:type="dxa"/>
            <w:noWrap/>
            <w:hideMark/>
          </w:tcPr>
          <w:p w:rsidR="00B95179" w:rsidRPr="00B4648F"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B4648F">
              <w:rPr>
                <w:rFonts w:cs="Arial"/>
                <w:color w:val="000000"/>
                <w:sz w:val="24"/>
              </w:rPr>
              <w:t>PHOX2B-Hs00243679_m1</w:t>
            </w:r>
          </w:p>
        </w:tc>
      </w:tr>
      <w:tr w:rsidR="00B95179" w:rsidRPr="00B4648F" w:rsidTr="0085479A">
        <w:trPr>
          <w:trHeight w:val="255"/>
        </w:trPr>
        <w:tc>
          <w:tcPr>
            <w:cnfStyle w:val="001000000000" w:firstRow="0" w:lastRow="0" w:firstColumn="1" w:lastColumn="0" w:oddVBand="0" w:evenVBand="0" w:oddHBand="0" w:evenHBand="0" w:firstRowFirstColumn="0" w:firstRowLastColumn="0" w:lastRowFirstColumn="0" w:lastRowLastColumn="0"/>
            <w:tcW w:w="1908" w:type="dxa"/>
            <w:noWrap/>
            <w:hideMark/>
          </w:tcPr>
          <w:p w:rsidR="00B95179" w:rsidRPr="00B4648F" w:rsidRDefault="00B95179" w:rsidP="0085479A">
            <w:pPr>
              <w:rPr>
                <w:rFonts w:cs="Arial"/>
                <w:color w:val="000000"/>
                <w:sz w:val="24"/>
              </w:rPr>
            </w:pPr>
            <w:r w:rsidRPr="00B4648F">
              <w:rPr>
                <w:rFonts w:cs="Arial"/>
                <w:color w:val="000000"/>
                <w:sz w:val="24"/>
              </w:rPr>
              <w:t>TH</w:t>
            </w:r>
          </w:p>
        </w:tc>
        <w:tc>
          <w:tcPr>
            <w:tcW w:w="5757" w:type="dxa"/>
            <w:noWrap/>
            <w:hideMark/>
          </w:tcPr>
          <w:p w:rsidR="00B95179" w:rsidRPr="00B4648F"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B4648F">
              <w:rPr>
                <w:rFonts w:cs="Arial"/>
                <w:color w:val="000000"/>
                <w:sz w:val="24"/>
              </w:rPr>
              <w:t>tyrosine hydroxylase</w:t>
            </w:r>
          </w:p>
        </w:tc>
        <w:tc>
          <w:tcPr>
            <w:tcW w:w="2880" w:type="dxa"/>
            <w:noWrap/>
            <w:hideMark/>
          </w:tcPr>
          <w:p w:rsidR="00B95179" w:rsidRPr="00B4648F"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B4648F">
              <w:rPr>
                <w:rFonts w:cs="Arial"/>
                <w:color w:val="000000"/>
                <w:sz w:val="24"/>
              </w:rPr>
              <w:t>TH-Hs00165941_m1</w:t>
            </w:r>
          </w:p>
        </w:tc>
      </w:tr>
      <w:tr w:rsidR="00B95179" w:rsidRPr="00B4648F" w:rsidTr="0085479A">
        <w:trPr>
          <w:trHeight w:val="255"/>
        </w:trPr>
        <w:tc>
          <w:tcPr>
            <w:cnfStyle w:val="001000000000" w:firstRow="0" w:lastRow="0" w:firstColumn="1" w:lastColumn="0" w:oddVBand="0" w:evenVBand="0" w:oddHBand="0" w:evenHBand="0" w:firstRowFirstColumn="0" w:firstRowLastColumn="0" w:lastRowFirstColumn="0" w:lastRowLastColumn="0"/>
            <w:tcW w:w="1908" w:type="dxa"/>
            <w:noWrap/>
            <w:hideMark/>
          </w:tcPr>
          <w:p w:rsidR="00B95179" w:rsidRPr="00B4648F" w:rsidRDefault="00B95179" w:rsidP="0085479A">
            <w:pPr>
              <w:rPr>
                <w:rFonts w:cs="Arial"/>
                <w:color w:val="000000"/>
                <w:sz w:val="24"/>
              </w:rPr>
            </w:pPr>
            <w:r w:rsidRPr="00B4648F">
              <w:rPr>
                <w:rFonts w:cs="Arial"/>
                <w:color w:val="000000"/>
                <w:sz w:val="24"/>
              </w:rPr>
              <w:t> </w:t>
            </w:r>
          </w:p>
        </w:tc>
        <w:tc>
          <w:tcPr>
            <w:tcW w:w="5757" w:type="dxa"/>
            <w:noWrap/>
            <w:hideMark/>
          </w:tcPr>
          <w:p w:rsidR="00B95179" w:rsidRPr="00B4648F"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p>
        </w:tc>
        <w:tc>
          <w:tcPr>
            <w:tcW w:w="2880" w:type="dxa"/>
            <w:noWrap/>
            <w:hideMark/>
          </w:tcPr>
          <w:p w:rsidR="00B95179" w:rsidRPr="00B4648F"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B4648F">
              <w:rPr>
                <w:rFonts w:cs="Arial"/>
                <w:color w:val="000000"/>
                <w:sz w:val="24"/>
              </w:rPr>
              <w:t> </w:t>
            </w:r>
          </w:p>
        </w:tc>
      </w:tr>
      <w:tr w:rsidR="00B95179" w:rsidRPr="00B4648F" w:rsidTr="0085479A">
        <w:trPr>
          <w:trHeight w:val="255"/>
        </w:trPr>
        <w:tc>
          <w:tcPr>
            <w:cnfStyle w:val="001000000000" w:firstRow="0" w:lastRow="0" w:firstColumn="1" w:lastColumn="0" w:oddVBand="0" w:evenVBand="0" w:oddHBand="0" w:evenHBand="0" w:firstRowFirstColumn="0" w:firstRowLastColumn="0" w:lastRowFirstColumn="0" w:lastRowLastColumn="0"/>
            <w:tcW w:w="1908" w:type="dxa"/>
            <w:noWrap/>
            <w:hideMark/>
          </w:tcPr>
          <w:p w:rsidR="00B95179" w:rsidRPr="00B4648F" w:rsidRDefault="00B95179" w:rsidP="0085479A">
            <w:pPr>
              <w:rPr>
                <w:rFonts w:cs="Arial"/>
                <w:b w:val="0"/>
                <w:bCs w:val="0"/>
                <w:color w:val="000000"/>
                <w:sz w:val="24"/>
              </w:rPr>
            </w:pPr>
            <w:r w:rsidRPr="00B4648F">
              <w:rPr>
                <w:rFonts w:cs="Arial"/>
                <w:b w:val="0"/>
                <w:bCs w:val="0"/>
                <w:color w:val="000000"/>
                <w:sz w:val="24"/>
              </w:rPr>
              <w:t>Housekeeping</w:t>
            </w:r>
          </w:p>
        </w:tc>
        <w:tc>
          <w:tcPr>
            <w:tcW w:w="5757" w:type="dxa"/>
            <w:noWrap/>
            <w:hideMark/>
          </w:tcPr>
          <w:p w:rsidR="00B95179" w:rsidRPr="00B4648F"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p>
        </w:tc>
        <w:tc>
          <w:tcPr>
            <w:tcW w:w="2880" w:type="dxa"/>
            <w:noWrap/>
            <w:hideMark/>
          </w:tcPr>
          <w:p w:rsidR="00B95179" w:rsidRPr="00B4648F"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B4648F">
              <w:rPr>
                <w:rFonts w:cs="Arial"/>
                <w:color w:val="000000"/>
                <w:sz w:val="24"/>
              </w:rPr>
              <w:t> </w:t>
            </w:r>
          </w:p>
        </w:tc>
      </w:tr>
      <w:tr w:rsidR="00B95179" w:rsidRPr="00B4648F" w:rsidTr="0085479A">
        <w:trPr>
          <w:trHeight w:val="255"/>
        </w:trPr>
        <w:tc>
          <w:tcPr>
            <w:cnfStyle w:val="001000000000" w:firstRow="0" w:lastRow="0" w:firstColumn="1" w:lastColumn="0" w:oddVBand="0" w:evenVBand="0" w:oddHBand="0" w:evenHBand="0" w:firstRowFirstColumn="0" w:firstRowLastColumn="0" w:lastRowFirstColumn="0" w:lastRowLastColumn="0"/>
            <w:tcW w:w="1908" w:type="dxa"/>
            <w:noWrap/>
            <w:hideMark/>
          </w:tcPr>
          <w:p w:rsidR="00B95179" w:rsidRPr="00B4648F" w:rsidRDefault="00B95179" w:rsidP="0085479A">
            <w:pPr>
              <w:rPr>
                <w:rFonts w:cs="Arial"/>
                <w:color w:val="000000"/>
                <w:sz w:val="24"/>
              </w:rPr>
            </w:pPr>
            <w:r w:rsidRPr="00B4648F">
              <w:rPr>
                <w:rFonts w:cs="Arial"/>
                <w:color w:val="000000"/>
                <w:sz w:val="24"/>
              </w:rPr>
              <w:t>B2M</w:t>
            </w:r>
          </w:p>
        </w:tc>
        <w:tc>
          <w:tcPr>
            <w:tcW w:w="5757" w:type="dxa"/>
            <w:noWrap/>
            <w:hideMark/>
          </w:tcPr>
          <w:p w:rsidR="00B95179" w:rsidRPr="00B4648F"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B4648F">
              <w:rPr>
                <w:rFonts w:cs="Arial"/>
                <w:color w:val="000000"/>
                <w:sz w:val="24"/>
              </w:rPr>
              <w:t>beta-2-microglobulin</w:t>
            </w:r>
          </w:p>
        </w:tc>
        <w:tc>
          <w:tcPr>
            <w:tcW w:w="2880" w:type="dxa"/>
            <w:noWrap/>
            <w:hideMark/>
          </w:tcPr>
          <w:p w:rsidR="00B95179" w:rsidRPr="00B4648F"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B4648F">
              <w:rPr>
                <w:rFonts w:cs="Arial"/>
                <w:color w:val="000000"/>
                <w:sz w:val="24"/>
              </w:rPr>
              <w:t>B2M-Hs99999907_m1</w:t>
            </w:r>
          </w:p>
        </w:tc>
      </w:tr>
      <w:tr w:rsidR="00B95179" w:rsidRPr="00B4648F" w:rsidTr="0085479A">
        <w:trPr>
          <w:trHeight w:val="255"/>
        </w:trPr>
        <w:tc>
          <w:tcPr>
            <w:cnfStyle w:val="001000000000" w:firstRow="0" w:lastRow="0" w:firstColumn="1" w:lastColumn="0" w:oddVBand="0" w:evenVBand="0" w:oddHBand="0" w:evenHBand="0" w:firstRowFirstColumn="0" w:firstRowLastColumn="0" w:lastRowFirstColumn="0" w:lastRowLastColumn="0"/>
            <w:tcW w:w="1908" w:type="dxa"/>
            <w:noWrap/>
            <w:hideMark/>
          </w:tcPr>
          <w:p w:rsidR="00B95179" w:rsidRPr="00B4648F" w:rsidRDefault="00B95179" w:rsidP="0085479A">
            <w:pPr>
              <w:rPr>
                <w:rFonts w:cs="Arial"/>
                <w:color w:val="000000"/>
                <w:sz w:val="24"/>
              </w:rPr>
            </w:pPr>
            <w:r w:rsidRPr="00B4648F">
              <w:rPr>
                <w:rFonts w:cs="Arial"/>
                <w:color w:val="000000"/>
                <w:sz w:val="24"/>
              </w:rPr>
              <w:t>GAPDH</w:t>
            </w:r>
          </w:p>
        </w:tc>
        <w:tc>
          <w:tcPr>
            <w:tcW w:w="5757" w:type="dxa"/>
            <w:noWrap/>
            <w:hideMark/>
          </w:tcPr>
          <w:p w:rsidR="00B95179" w:rsidRPr="00B4648F"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B4648F">
              <w:rPr>
                <w:rFonts w:cs="Arial"/>
                <w:color w:val="000000"/>
                <w:sz w:val="24"/>
              </w:rPr>
              <w:t>glyceraldehyde-3-phosphate dehydrogenase</w:t>
            </w:r>
          </w:p>
        </w:tc>
        <w:tc>
          <w:tcPr>
            <w:tcW w:w="2880" w:type="dxa"/>
            <w:noWrap/>
            <w:hideMark/>
          </w:tcPr>
          <w:p w:rsidR="00B95179" w:rsidRPr="00B4648F"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B4648F">
              <w:rPr>
                <w:rFonts w:cs="Arial"/>
                <w:color w:val="000000"/>
                <w:sz w:val="24"/>
              </w:rPr>
              <w:t>GAPDH-Hs99999905_m1</w:t>
            </w:r>
          </w:p>
        </w:tc>
      </w:tr>
      <w:tr w:rsidR="00B95179" w:rsidRPr="00B4648F" w:rsidTr="0085479A">
        <w:trPr>
          <w:trHeight w:val="255"/>
        </w:trPr>
        <w:tc>
          <w:tcPr>
            <w:cnfStyle w:val="001000000000" w:firstRow="0" w:lastRow="0" w:firstColumn="1" w:lastColumn="0" w:oddVBand="0" w:evenVBand="0" w:oddHBand="0" w:evenHBand="0" w:firstRowFirstColumn="0" w:firstRowLastColumn="0" w:lastRowFirstColumn="0" w:lastRowLastColumn="0"/>
            <w:tcW w:w="1908" w:type="dxa"/>
            <w:noWrap/>
            <w:hideMark/>
          </w:tcPr>
          <w:p w:rsidR="00B95179" w:rsidRPr="00B4648F" w:rsidRDefault="00B95179" w:rsidP="0085479A">
            <w:pPr>
              <w:rPr>
                <w:rFonts w:cs="Arial"/>
                <w:color w:val="000000"/>
                <w:sz w:val="24"/>
              </w:rPr>
            </w:pPr>
            <w:r w:rsidRPr="00B4648F">
              <w:rPr>
                <w:rFonts w:cs="Arial"/>
                <w:color w:val="000000"/>
                <w:sz w:val="24"/>
              </w:rPr>
              <w:t>HPRT1</w:t>
            </w:r>
          </w:p>
        </w:tc>
        <w:tc>
          <w:tcPr>
            <w:tcW w:w="5757" w:type="dxa"/>
            <w:noWrap/>
            <w:hideMark/>
          </w:tcPr>
          <w:p w:rsidR="00B95179" w:rsidRPr="00B4648F"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B4648F">
              <w:rPr>
                <w:rFonts w:cs="Arial"/>
                <w:color w:val="000000"/>
                <w:sz w:val="24"/>
              </w:rPr>
              <w:t>hypoxanthine phosphoribosyltransferase 1</w:t>
            </w:r>
          </w:p>
        </w:tc>
        <w:tc>
          <w:tcPr>
            <w:tcW w:w="2880" w:type="dxa"/>
            <w:noWrap/>
            <w:hideMark/>
          </w:tcPr>
          <w:p w:rsidR="00B95179" w:rsidRPr="00B4648F"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B4648F">
              <w:rPr>
                <w:rFonts w:cs="Arial"/>
                <w:color w:val="000000"/>
                <w:sz w:val="24"/>
              </w:rPr>
              <w:t>HPRT1-Hs99999909_m1</w:t>
            </w:r>
          </w:p>
        </w:tc>
      </w:tr>
      <w:tr w:rsidR="00B95179" w:rsidRPr="00B4648F" w:rsidTr="0085479A">
        <w:trPr>
          <w:trHeight w:val="270"/>
        </w:trPr>
        <w:tc>
          <w:tcPr>
            <w:cnfStyle w:val="001000000000" w:firstRow="0" w:lastRow="0" w:firstColumn="1" w:lastColumn="0" w:oddVBand="0" w:evenVBand="0" w:oddHBand="0" w:evenHBand="0" w:firstRowFirstColumn="0" w:firstRowLastColumn="0" w:lastRowFirstColumn="0" w:lastRowLastColumn="0"/>
            <w:tcW w:w="1908" w:type="dxa"/>
            <w:noWrap/>
            <w:hideMark/>
          </w:tcPr>
          <w:p w:rsidR="00B95179" w:rsidRPr="00B4648F" w:rsidRDefault="00B95179" w:rsidP="0085479A">
            <w:pPr>
              <w:rPr>
                <w:rFonts w:cs="Arial"/>
                <w:color w:val="000000"/>
                <w:sz w:val="24"/>
              </w:rPr>
            </w:pPr>
            <w:r w:rsidRPr="00B4648F">
              <w:rPr>
                <w:rFonts w:cs="Arial"/>
                <w:color w:val="000000"/>
                <w:sz w:val="24"/>
              </w:rPr>
              <w:t>SDHA</w:t>
            </w:r>
          </w:p>
        </w:tc>
        <w:tc>
          <w:tcPr>
            <w:tcW w:w="5757" w:type="dxa"/>
            <w:hideMark/>
          </w:tcPr>
          <w:p w:rsidR="00B95179" w:rsidRPr="00B4648F"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B4648F">
              <w:rPr>
                <w:rFonts w:cs="Arial"/>
                <w:color w:val="000000"/>
                <w:sz w:val="24"/>
              </w:rPr>
              <w:t>succinate dehydrogenase complex, subunit A, flavoprotein</w:t>
            </w:r>
          </w:p>
        </w:tc>
        <w:tc>
          <w:tcPr>
            <w:tcW w:w="2880" w:type="dxa"/>
            <w:noWrap/>
            <w:hideMark/>
          </w:tcPr>
          <w:p w:rsidR="00B95179" w:rsidRPr="00B4648F" w:rsidRDefault="00B95179" w:rsidP="0085479A">
            <w:pPr>
              <w:cnfStyle w:val="000000000000" w:firstRow="0" w:lastRow="0" w:firstColumn="0" w:lastColumn="0" w:oddVBand="0" w:evenVBand="0" w:oddHBand="0" w:evenHBand="0" w:firstRowFirstColumn="0" w:firstRowLastColumn="0" w:lastRowFirstColumn="0" w:lastRowLastColumn="0"/>
              <w:rPr>
                <w:rFonts w:cs="Arial"/>
                <w:color w:val="000000"/>
                <w:sz w:val="24"/>
              </w:rPr>
            </w:pPr>
            <w:r w:rsidRPr="00B4648F">
              <w:rPr>
                <w:rFonts w:cs="Arial"/>
                <w:color w:val="000000"/>
                <w:sz w:val="24"/>
              </w:rPr>
              <w:t>SDHA-Hs00417200_m1</w:t>
            </w:r>
          </w:p>
        </w:tc>
      </w:tr>
    </w:tbl>
    <w:p w:rsidR="00B95179" w:rsidRDefault="00B95179" w:rsidP="00B95179">
      <w:pPr>
        <w:jc w:val="both"/>
        <w:rPr>
          <w:rFonts w:cs="Arial"/>
          <w:b/>
          <w:sz w:val="24"/>
        </w:rPr>
      </w:pPr>
    </w:p>
    <w:p w:rsidR="00B95179" w:rsidRDefault="00B95179" w:rsidP="00B95179">
      <w:pPr>
        <w:jc w:val="both"/>
        <w:rPr>
          <w:rFonts w:cs="Arial"/>
          <w:b/>
          <w:sz w:val="24"/>
        </w:rPr>
      </w:pPr>
    </w:p>
    <w:p w:rsidR="00B95179" w:rsidRDefault="00B95179" w:rsidP="00B95179">
      <w:pPr>
        <w:jc w:val="both"/>
        <w:rPr>
          <w:rFonts w:cs="Arial"/>
          <w:b/>
          <w:sz w:val="24"/>
        </w:rPr>
      </w:pPr>
    </w:p>
    <w:p w:rsidR="00B95179" w:rsidRDefault="00B95179" w:rsidP="00B95179">
      <w:pPr>
        <w:jc w:val="both"/>
        <w:rPr>
          <w:rFonts w:cs="Arial"/>
          <w:b/>
          <w:sz w:val="24"/>
        </w:rPr>
      </w:pPr>
    </w:p>
    <w:p w:rsidR="00B95179" w:rsidRDefault="00B95179" w:rsidP="00B95179">
      <w:pPr>
        <w:jc w:val="both"/>
        <w:rPr>
          <w:rFonts w:cs="Arial"/>
          <w:b/>
          <w:sz w:val="24"/>
        </w:rPr>
      </w:pPr>
    </w:p>
    <w:p w:rsidR="00B95179" w:rsidRPr="00B4648F" w:rsidRDefault="00B95179" w:rsidP="00B95179">
      <w:pPr>
        <w:jc w:val="both"/>
        <w:rPr>
          <w:rFonts w:cs="Arial"/>
          <w:sz w:val="24"/>
        </w:rPr>
      </w:pPr>
      <w:r w:rsidRPr="00B4648F">
        <w:rPr>
          <w:rFonts w:cs="Arial"/>
          <w:b/>
          <w:sz w:val="24"/>
        </w:rPr>
        <w:lastRenderedPageBreak/>
        <w:t xml:space="preserve">Table A3.  </w:t>
      </w:r>
      <w:r w:rsidRPr="00B4648F">
        <w:rPr>
          <w:rFonts w:cs="Arial"/>
          <w:sz w:val="24"/>
        </w:rPr>
        <w:t xml:space="preserve">Clinical Evaluations and </w:t>
      </w:r>
      <w:r w:rsidR="004123E4">
        <w:rPr>
          <w:rFonts w:cs="Arial"/>
          <w:sz w:val="24"/>
        </w:rPr>
        <w:t xml:space="preserve">NB5 </w:t>
      </w:r>
      <w:r w:rsidRPr="00B4648F">
        <w:rPr>
          <w:rFonts w:cs="Arial"/>
          <w:sz w:val="24"/>
        </w:rPr>
        <w:t>TLDA Assays Performed</w:t>
      </w:r>
    </w:p>
    <w:p w:rsidR="00B95179" w:rsidRPr="00B4648F" w:rsidRDefault="00B95179" w:rsidP="00B95179">
      <w:pPr>
        <w:jc w:val="both"/>
        <w:rPr>
          <w:rFonts w:cs="Arial"/>
          <w:b/>
          <w:sz w:val="24"/>
        </w:rPr>
      </w:pPr>
    </w:p>
    <w:tbl>
      <w:tblPr>
        <w:tblStyle w:val="GridTable1Light-Accent51"/>
        <w:tblW w:w="7426" w:type="dxa"/>
        <w:tblLook w:val="04A0" w:firstRow="1" w:lastRow="0" w:firstColumn="1" w:lastColumn="0" w:noHBand="0" w:noVBand="1"/>
      </w:tblPr>
      <w:tblGrid>
        <w:gridCol w:w="2268"/>
        <w:gridCol w:w="1134"/>
        <w:gridCol w:w="1203"/>
        <w:gridCol w:w="865"/>
        <w:gridCol w:w="1039"/>
        <w:gridCol w:w="917"/>
      </w:tblGrid>
      <w:tr w:rsidR="00B95179" w:rsidRPr="00B4648F" w:rsidTr="008547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B95179" w:rsidRPr="00B4648F" w:rsidRDefault="00B95179" w:rsidP="0085479A">
            <w:pPr>
              <w:jc w:val="both"/>
              <w:rPr>
                <w:rFonts w:cs="Arial"/>
                <w:bCs w:val="0"/>
                <w:sz w:val="24"/>
              </w:rPr>
            </w:pPr>
            <w:r w:rsidRPr="00B4648F">
              <w:rPr>
                <w:rFonts w:cs="Arial"/>
                <w:sz w:val="24"/>
              </w:rPr>
              <w:t>Clinical Evaluation</w:t>
            </w:r>
          </w:p>
        </w:tc>
        <w:tc>
          <w:tcPr>
            <w:tcW w:w="4241" w:type="dxa"/>
            <w:gridSpan w:val="4"/>
          </w:tcPr>
          <w:p w:rsidR="00B95179" w:rsidRPr="00B4648F" w:rsidRDefault="00B95179" w:rsidP="0085479A">
            <w:pPr>
              <w:jc w:val="center"/>
              <w:cnfStyle w:val="100000000000" w:firstRow="1" w:lastRow="0" w:firstColumn="0" w:lastColumn="0" w:oddVBand="0" w:evenVBand="0" w:oddHBand="0" w:evenHBand="0" w:firstRowFirstColumn="0" w:firstRowLastColumn="0" w:lastRowFirstColumn="0" w:lastRowLastColumn="0"/>
              <w:rPr>
                <w:rFonts w:cs="Arial"/>
                <w:sz w:val="24"/>
              </w:rPr>
            </w:pPr>
            <w:r w:rsidRPr="00B4648F">
              <w:rPr>
                <w:rFonts w:cs="Arial"/>
                <w:sz w:val="24"/>
              </w:rPr>
              <w:t>TLDA Assay</w:t>
            </w:r>
          </w:p>
        </w:tc>
        <w:tc>
          <w:tcPr>
            <w:tcW w:w="917" w:type="dxa"/>
          </w:tcPr>
          <w:p w:rsidR="00B95179" w:rsidRPr="00B4648F" w:rsidRDefault="00B95179" w:rsidP="0085479A">
            <w:pPr>
              <w:jc w:val="both"/>
              <w:cnfStyle w:val="100000000000" w:firstRow="1" w:lastRow="0" w:firstColumn="0" w:lastColumn="0" w:oddVBand="0" w:evenVBand="0" w:oddHBand="0" w:evenHBand="0" w:firstRowFirstColumn="0" w:firstRowLastColumn="0" w:lastRowFirstColumn="0" w:lastRowLastColumn="0"/>
              <w:rPr>
                <w:rFonts w:cs="Arial"/>
                <w:sz w:val="24"/>
              </w:rPr>
            </w:pPr>
          </w:p>
        </w:tc>
      </w:tr>
      <w:tr w:rsidR="00B95179" w:rsidRPr="00B4648F" w:rsidTr="0085479A">
        <w:tc>
          <w:tcPr>
            <w:cnfStyle w:val="001000000000" w:firstRow="0" w:lastRow="0" w:firstColumn="1" w:lastColumn="0" w:oddVBand="0" w:evenVBand="0" w:oddHBand="0" w:evenHBand="0" w:firstRowFirstColumn="0" w:firstRowLastColumn="0" w:lastRowFirstColumn="0" w:lastRowLastColumn="0"/>
            <w:tcW w:w="2268" w:type="dxa"/>
          </w:tcPr>
          <w:p w:rsidR="00B95179" w:rsidRPr="00B4648F" w:rsidRDefault="00B95179" w:rsidP="0085479A">
            <w:pPr>
              <w:jc w:val="both"/>
              <w:rPr>
                <w:rFonts w:cs="Arial"/>
                <w:b w:val="0"/>
                <w:bCs w:val="0"/>
                <w:sz w:val="24"/>
              </w:rPr>
            </w:pPr>
          </w:p>
        </w:tc>
        <w:tc>
          <w:tcPr>
            <w:tcW w:w="1134"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b/>
                <w:bCs/>
                <w:sz w:val="24"/>
              </w:rPr>
            </w:pPr>
            <w:r w:rsidRPr="00B4648F">
              <w:rPr>
                <w:rFonts w:cs="Arial"/>
                <w:sz w:val="24"/>
              </w:rPr>
              <w:t>BM only</w:t>
            </w:r>
          </w:p>
        </w:tc>
        <w:tc>
          <w:tcPr>
            <w:tcW w:w="1203"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b/>
                <w:bCs/>
                <w:sz w:val="24"/>
              </w:rPr>
            </w:pPr>
            <w:r w:rsidRPr="00B4648F">
              <w:rPr>
                <w:rFonts w:cs="Arial"/>
                <w:sz w:val="24"/>
              </w:rPr>
              <w:t>BLD only</w:t>
            </w:r>
          </w:p>
        </w:tc>
        <w:tc>
          <w:tcPr>
            <w:tcW w:w="865"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b/>
                <w:bCs/>
                <w:sz w:val="24"/>
              </w:rPr>
            </w:pPr>
            <w:r w:rsidRPr="00B4648F">
              <w:rPr>
                <w:rFonts w:cs="Arial"/>
                <w:sz w:val="24"/>
              </w:rPr>
              <w:t>Both</w:t>
            </w:r>
          </w:p>
        </w:tc>
        <w:tc>
          <w:tcPr>
            <w:tcW w:w="1039"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b/>
                <w:bCs/>
                <w:sz w:val="24"/>
              </w:rPr>
            </w:pPr>
            <w:r w:rsidRPr="00B4648F">
              <w:rPr>
                <w:rFonts w:cs="Arial"/>
                <w:sz w:val="24"/>
              </w:rPr>
              <w:t>Neither</w:t>
            </w:r>
          </w:p>
        </w:tc>
        <w:tc>
          <w:tcPr>
            <w:tcW w:w="917"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b/>
                <w:bCs/>
                <w:sz w:val="24"/>
              </w:rPr>
            </w:pPr>
            <w:r w:rsidRPr="00B4648F">
              <w:rPr>
                <w:rFonts w:cs="Arial"/>
                <w:sz w:val="24"/>
              </w:rPr>
              <w:t>Total</w:t>
            </w:r>
          </w:p>
        </w:tc>
      </w:tr>
      <w:tr w:rsidR="00B95179" w:rsidRPr="00B4648F" w:rsidTr="0085479A">
        <w:tc>
          <w:tcPr>
            <w:cnfStyle w:val="001000000000" w:firstRow="0" w:lastRow="0" w:firstColumn="1" w:lastColumn="0" w:oddVBand="0" w:evenVBand="0" w:oddHBand="0" w:evenHBand="0" w:firstRowFirstColumn="0" w:firstRowLastColumn="0" w:lastRowFirstColumn="0" w:lastRowLastColumn="0"/>
            <w:tcW w:w="2268" w:type="dxa"/>
          </w:tcPr>
          <w:p w:rsidR="00B95179" w:rsidRPr="00B4648F" w:rsidRDefault="00B95179" w:rsidP="0085479A">
            <w:pPr>
              <w:jc w:val="both"/>
              <w:rPr>
                <w:rFonts w:cs="Arial"/>
                <w:b w:val="0"/>
                <w:bCs w:val="0"/>
                <w:sz w:val="24"/>
              </w:rPr>
            </w:pPr>
            <w:r w:rsidRPr="00B4648F">
              <w:rPr>
                <w:rFonts w:cs="Arial"/>
                <w:sz w:val="24"/>
              </w:rPr>
              <w:t>CT-MRI/MIBG/BM</w:t>
            </w:r>
          </w:p>
        </w:tc>
        <w:tc>
          <w:tcPr>
            <w:tcW w:w="1134"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106</w:t>
            </w:r>
          </w:p>
        </w:tc>
        <w:tc>
          <w:tcPr>
            <w:tcW w:w="1203"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10</w:t>
            </w:r>
          </w:p>
        </w:tc>
        <w:tc>
          <w:tcPr>
            <w:tcW w:w="865"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101</w:t>
            </w:r>
          </w:p>
        </w:tc>
        <w:tc>
          <w:tcPr>
            <w:tcW w:w="1039"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15</w:t>
            </w:r>
          </w:p>
        </w:tc>
        <w:tc>
          <w:tcPr>
            <w:tcW w:w="917"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232</w:t>
            </w:r>
          </w:p>
        </w:tc>
      </w:tr>
      <w:tr w:rsidR="00B95179" w:rsidRPr="00B4648F" w:rsidTr="0085479A">
        <w:tc>
          <w:tcPr>
            <w:cnfStyle w:val="001000000000" w:firstRow="0" w:lastRow="0" w:firstColumn="1" w:lastColumn="0" w:oddVBand="0" w:evenVBand="0" w:oddHBand="0" w:evenHBand="0" w:firstRowFirstColumn="0" w:firstRowLastColumn="0" w:lastRowFirstColumn="0" w:lastRowLastColumn="0"/>
            <w:tcW w:w="2268" w:type="dxa"/>
          </w:tcPr>
          <w:p w:rsidR="00B95179" w:rsidRPr="00B4648F" w:rsidRDefault="00B95179" w:rsidP="0085479A">
            <w:pPr>
              <w:jc w:val="both"/>
              <w:rPr>
                <w:rFonts w:cs="Arial"/>
                <w:b w:val="0"/>
                <w:bCs w:val="0"/>
                <w:sz w:val="24"/>
              </w:rPr>
            </w:pPr>
            <w:r w:rsidRPr="00B4648F">
              <w:rPr>
                <w:rFonts w:cs="Arial"/>
                <w:sz w:val="24"/>
              </w:rPr>
              <w:t>CT-MRI/MIBG</w:t>
            </w:r>
          </w:p>
        </w:tc>
        <w:tc>
          <w:tcPr>
            <w:tcW w:w="1134"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1</w:t>
            </w:r>
          </w:p>
        </w:tc>
        <w:tc>
          <w:tcPr>
            <w:tcW w:w="1203"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24</w:t>
            </w:r>
          </w:p>
        </w:tc>
        <w:tc>
          <w:tcPr>
            <w:tcW w:w="865"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0</w:t>
            </w:r>
          </w:p>
        </w:tc>
        <w:tc>
          <w:tcPr>
            <w:tcW w:w="1039"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20</w:t>
            </w:r>
          </w:p>
        </w:tc>
        <w:tc>
          <w:tcPr>
            <w:tcW w:w="917"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45</w:t>
            </w:r>
          </w:p>
        </w:tc>
      </w:tr>
      <w:tr w:rsidR="00B95179" w:rsidRPr="00B4648F" w:rsidTr="0085479A">
        <w:tc>
          <w:tcPr>
            <w:cnfStyle w:val="001000000000" w:firstRow="0" w:lastRow="0" w:firstColumn="1" w:lastColumn="0" w:oddVBand="0" w:evenVBand="0" w:oddHBand="0" w:evenHBand="0" w:firstRowFirstColumn="0" w:firstRowLastColumn="0" w:lastRowFirstColumn="0" w:lastRowLastColumn="0"/>
            <w:tcW w:w="2268" w:type="dxa"/>
          </w:tcPr>
          <w:p w:rsidR="00B95179" w:rsidRPr="00B4648F" w:rsidRDefault="00B95179" w:rsidP="0085479A">
            <w:pPr>
              <w:jc w:val="both"/>
              <w:rPr>
                <w:rFonts w:cs="Arial"/>
                <w:b w:val="0"/>
                <w:bCs w:val="0"/>
                <w:sz w:val="24"/>
              </w:rPr>
            </w:pPr>
            <w:r w:rsidRPr="00B4648F">
              <w:rPr>
                <w:rFonts w:cs="Arial"/>
                <w:sz w:val="24"/>
              </w:rPr>
              <w:t>CT-MRI/BM</w:t>
            </w:r>
          </w:p>
        </w:tc>
        <w:tc>
          <w:tcPr>
            <w:tcW w:w="1134"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1</w:t>
            </w:r>
          </w:p>
        </w:tc>
        <w:tc>
          <w:tcPr>
            <w:tcW w:w="1203"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0</w:t>
            </w:r>
          </w:p>
        </w:tc>
        <w:tc>
          <w:tcPr>
            <w:tcW w:w="865"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0</w:t>
            </w:r>
          </w:p>
        </w:tc>
        <w:tc>
          <w:tcPr>
            <w:tcW w:w="1039"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0</w:t>
            </w:r>
          </w:p>
        </w:tc>
        <w:tc>
          <w:tcPr>
            <w:tcW w:w="917"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1</w:t>
            </w:r>
          </w:p>
        </w:tc>
      </w:tr>
      <w:tr w:rsidR="00B95179" w:rsidRPr="00B4648F" w:rsidTr="0085479A">
        <w:tc>
          <w:tcPr>
            <w:cnfStyle w:val="001000000000" w:firstRow="0" w:lastRow="0" w:firstColumn="1" w:lastColumn="0" w:oddVBand="0" w:evenVBand="0" w:oddHBand="0" w:evenHBand="0" w:firstRowFirstColumn="0" w:firstRowLastColumn="0" w:lastRowFirstColumn="0" w:lastRowLastColumn="0"/>
            <w:tcW w:w="2268" w:type="dxa"/>
          </w:tcPr>
          <w:p w:rsidR="00B95179" w:rsidRPr="00B4648F" w:rsidRDefault="00B95179" w:rsidP="0085479A">
            <w:pPr>
              <w:jc w:val="both"/>
              <w:rPr>
                <w:rFonts w:cs="Arial"/>
                <w:b w:val="0"/>
                <w:bCs w:val="0"/>
                <w:sz w:val="24"/>
              </w:rPr>
            </w:pPr>
            <w:r w:rsidRPr="00B4648F">
              <w:rPr>
                <w:rFonts w:cs="Arial"/>
                <w:sz w:val="24"/>
              </w:rPr>
              <w:t>MIBG/BM</w:t>
            </w:r>
          </w:p>
        </w:tc>
        <w:tc>
          <w:tcPr>
            <w:tcW w:w="1134"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7</w:t>
            </w:r>
          </w:p>
        </w:tc>
        <w:tc>
          <w:tcPr>
            <w:tcW w:w="1203"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0</w:t>
            </w:r>
          </w:p>
        </w:tc>
        <w:tc>
          <w:tcPr>
            <w:tcW w:w="865"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4</w:t>
            </w:r>
          </w:p>
        </w:tc>
        <w:tc>
          <w:tcPr>
            <w:tcW w:w="1039"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1</w:t>
            </w:r>
          </w:p>
        </w:tc>
        <w:tc>
          <w:tcPr>
            <w:tcW w:w="917"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12</w:t>
            </w:r>
          </w:p>
        </w:tc>
      </w:tr>
      <w:tr w:rsidR="00B95179" w:rsidRPr="00B4648F" w:rsidTr="0085479A">
        <w:tc>
          <w:tcPr>
            <w:cnfStyle w:val="001000000000" w:firstRow="0" w:lastRow="0" w:firstColumn="1" w:lastColumn="0" w:oddVBand="0" w:evenVBand="0" w:oddHBand="0" w:evenHBand="0" w:firstRowFirstColumn="0" w:firstRowLastColumn="0" w:lastRowFirstColumn="0" w:lastRowLastColumn="0"/>
            <w:tcW w:w="2268" w:type="dxa"/>
          </w:tcPr>
          <w:p w:rsidR="00B95179" w:rsidRPr="00B4648F" w:rsidRDefault="00B95179" w:rsidP="0085479A">
            <w:pPr>
              <w:jc w:val="both"/>
              <w:rPr>
                <w:rFonts w:cs="Arial"/>
                <w:b w:val="0"/>
                <w:bCs w:val="0"/>
                <w:sz w:val="24"/>
              </w:rPr>
            </w:pPr>
            <w:r w:rsidRPr="00B4648F">
              <w:rPr>
                <w:rFonts w:cs="Arial"/>
                <w:sz w:val="24"/>
              </w:rPr>
              <w:t>CT-MRI</w:t>
            </w:r>
          </w:p>
        </w:tc>
        <w:tc>
          <w:tcPr>
            <w:tcW w:w="1134"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0</w:t>
            </w:r>
          </w:p>
        </w:tc>
        <w:tc>
          <w:tcPr>
            <w:tcW w:w="1203"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0</w:t>
            </w:r>
          </w:p>
        </w:tc>
        <w:tc>
          <w:tcPr>
            <w:tcW w:w="865"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0</w:t>
            </w:r>
          </w:p>
        </w:tc>
        <w:tc>
          <w:tcPr>
            <w:tcW w:w="1039"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1</w:t>
            </w:r>
          </w:p>
        </w:tc>
        <w:tc>
          <w:tcPr>
            <w:tcW w:w="917"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1</w:t>
            </w:r>
          </w:p>
        </w:tc>
      </w:tr>
      <w:tr w:rsidR="00B95179" w:rsidRPr="00B4648F" w:rsidTr="0085479A">
        <w:tc>
          <w:tcPr>
            <w:cnfStyle w:val="001000000000" w:firstRow="0" w:lastRow="0" w:firstColumn="1" w:lastColumn="0" w:oddVBand="0" w:evenVBand="0" w:oddHBand="0" w:evenHBand="0" w:firstRowFirstColumn="0" w:firstRowLastColumn="0" w:lastRowFirstColumn="0" w:lastRowLastColumn="0"/>
            <w:tcW w:w="2268" w:type="dxa"/>
          </w:tcPr>
          <w:p w:rsidR="00B95179" w:rsidRPr="00B4648F" w:rsidRDefault="00B95179" w:rsidP="0085479A">
            <w:pPr>
              <w:jc w:val="both"/>
              <w:rPr>
                <w:rFonts w:cs="Arial"/>
                <w:b w:val="0"/>
                <w:bCs w:val="0"/>
                <w:sz w:val="24"/>
              </w:rPr>
            </w:pPr>
            <w:r w:rsidRPr="00B4648F">
              <w:rPr>
                <w:rFonts w:cs="Arial"/>
                <w:sz w:val="24"/>
              </w:rPr>
              <w:t>MIBG</w:t>
            </w:r>
          </w:p>
        </w:tc>
        <w:tc>
          <w:tcPr>
            <w:tcW w:w="1134"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0</w:t>
            </w:r>
          </w:p>
        </w:tc>
        <w:tc>
          <w:tcPr>
            <w:tcW w:w="1203"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2</w:t>
            </w:r>
          </w:p>
        </w:tc>
        <w:tc>
          <w:tcPr>
            <w:tcW w:w="865"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0</w:t>
            </w:r>
          </w:p>
        </w:tc>
        <w:tc>
          <w:tcPr>
            <w:tcW w:w="1039"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9</w:t>
            </w:r>
          </w:p>
        </w:tc>
        <w:tc>
          <w:tcPr>
            <w:tcW w:w="917"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11</w:t>
            </w:r>
          </w:p>
        </w:tc>
      </w:tr>
      <w:tr w:rsidR="00B95179" w:rsidRPr="00B4648F" w:rsidTr="0085479A">
        <w:tc>
          <w:tcPr>
            <w:cnfStyle w:val="001000000000" w:firstRow="0" w:lastRow="0" w:firstColumn="1" w:lastColumn="0" w:oddVBand="0" w:evenVBand="0" w:oddHBand="0" w:evenHBand="0" w:firstRowFirstColumn="0" w:firstRowLastColumn="0" w:lastRowFirstColumn="0" w:lastRowLastColumn="0"/>
            <w:tcW w:w="2268" w:type="dxa"/>
          </w:tcPr>
          <w:p w:rsidR="00B95179" w:rsidRPr="00B4648F" w:rsidRDefault="00B95179" w:rsidP="0085479A">
            <w:pPr>
              <w:jc w:val="both"/>
              <w:rPr>
                <w:rFonts w:cs="Arial"/>
                <w:b w:val="0"/>
                <w:bCs w:val="0"/>
                <w:sz w:val="24"/>
              </w:rPr>
            </w:pPr>
            <w:r w:rsidRPr="00B4648F">
              <w:rPr>
                <w:rFonts w:cs="Arial"/>
                <w:sz w:val="24"/>
              </w:rPr>
              <w:t>BM</w:t>
            </w:r>
          </w:p>
        </w:tc>
        <w:tc>
          <w:tcPr>
            <w:tcW w:w="1134"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2</w:t>
            </w:r>
          </w:p>
        </w:tc>
        <w:tc>
          <w:tcPr>
            <w:tcW w:w="1203"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0</w:t>
            </w:r>
          </w:p>
        </w:tc>
        <w:tc>
          <w:tcPr>
            <w:tcW w:w="865"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1</w:t>
            </w:r>
          </w:p>
        </w:tc>
        <w:tc>
          <w:tcPr>
            <w:tcW w:w="1039"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0</w:t>
            </w:r>
          </w:p>
        </w:tc>
        <w:tc>
          <w:tcPr>
            <w:tcW w:w="917"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3</w:t>
            </w:r>
          </w:p>
        </w:tc>
      </w:tr>
      <w:tr w:rsidR="00B95179" w:rsidRPr="00B4648F" w:rsidTr="0085479A">
        <w:tc>
          <w:tcPr>
            <w:cnfStyle w:val="001000000000" w:firstRow="0" w:lastRow="0" w:firstColumn="1" w:lastColumn="0" w:oddVBand="0" w:evenVBand="0" w:oddHBand="0" w:evenHBand="0" w:firstRowFirstColumn="0" w:firstRowLastColumn="0" w:lastRowFirstColumn="0" w:lastRowLastColumn="0"/>
            <w:tcW w:w="2268" w:type="dxa"/>
          </w:tcPr>
          <w:p w:rsidR="00B95179" w:rsidRPr="00B4648F" w:rsidRDefault="00B95179" w:rsidP="0085479A">
            <w:pPr>
              <w:jc w:val="both"/>
              <w:rPr>
                <w:rFonts w:cs="Arial"/>
                <w:b w:val="0"/>
                <w:bCs w:val="0"/>
                <w:sz w:val="24"/>
              </w:rPr>
            </w:pPr>
            <w:r w:rsidRPr="00B4648F">
              <w:rPr>
                <w:rFonts w:cs="Arial"/>
                <w:sz w:val="24"/>
              </w:rPr>
              <w:t>Total</w:t>
            </w:r>
          </w:p>
        </w:tc>
        <w:tc>
          <w:tcPr>
            <w:tcW w:w="1134"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117</w:t>
            </w:r>
          </w:p>
        </w:tc>
        <w:tc>
          <w:tcPr>
            <w:tcW w:w="1203"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36</w:t>
            </w:r>
          </w:p>
        </w:tc>
        <w:tc>
          <w:tcPr>
            <w:tcW w:w="865"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106</w:t>
            </w:r>
          </w:p>
        </w:tc>
        <w:tc>
          <w:tcPr>
            <w:tcW w:w="1039"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46</w:t>
            </w:r>
          </w:p>
        </w:tc>
        <w:tc>
          <w:tcPr>
            <w:tcW w:w="917" w:type="dxa"/>
          </w:tcPr>
          <w:p w:rsidR="00B95179" w:rsidRPr="00B4648F" w:rsidRDefault="00B95179" w:rsidP="0085479A">
            <w:pPr>
              <w:jc w:val="both"/>
              <w:cnfStyle w:val="000000000000" w:firstRow="0" w:lastRow="0" w:firstColumn="0" w:lastColumn="0" w:oddVBand="0" w:evenVBand="0" w:oddHBand="0" w:evenHBand="0" w:firstRowFirstColumn="0" w:firstRowLastColumn="0" w:lastRowFirstColumn="0" w:lastRowLastColumn="0"/>
              <w:rPr>
                <w:rFonts w:cs="Arial"/>
                <w:sz w:val="24"/>
              </w:rPr>
            </w:pPr>
            <w:r w:rsidRPr="00B4648F">
              <w:rPr>
                <w:rFonts w:cs="Arial"/>
                <w:sz w:val="24"/>
              </w:rPr>
              <w:t>305</w:t>
            </w:r>
          </w:p>
        </w:tc>
      </w:tr>
    </w:tbl>
    <w:p w:rsidR="00B95179" w:rsidRPr="00B4648F" w:rsidRDefault="00B95179" w:rsidP="00B95179">
      <w:pPr>
        <w:jc w:val="both"/>
        <w:rPr>
          <w:rFonts w:cs="Arial"/>
          <w:bCs/>
          <w:sz w:val="24"/>
          <w:u w:val="single"/>
        </w:rPr>
      </w:pPr>
    </w:p>
    <w:p w:rsidR="00790CD8" w:rsidRDefault="00D33E04"/>
    <w:p w:rsidR="00D33E04" w:rsidRPr="00B4648F" w:rsidRDefault="00D33E04" w:rsidP="00D33E04">
      <w:pPr>
        <w:jc w:val="both"/>
        <w:rPr>
          <w:rFonts w:cs="Arial"/>
          <w:sz w:val="24"/>
        </w:rPr>
      </w:pPr>
      <w:r>
        <w:rPr>
          <w:rFonts w:cs="Arial"/>
          <w:b/>
          <w:sz w:val="24"/>
        </w:rPr>
        <w:t>Table A4</w:t>
      </w:r>
      <w:r w:rsidRPr="00B4648F">
        <w:rPr>
          <w:rFonts w:cs="Arial"/>
          <w:b/>
          <w:sz w:val="24"/>
        </w:rPr>
        <w:t xml:space="preserve">.  </w:t>
      </w:r>
      <w:r>
        <w:rPr>
          <w:rFonts w:cs="Arial"/>
          <w:sz w:val="24"/>
        </w:rPr>
        <w:t>Contribution of Individual Gene to NB5 Signature and AUC</w:t>
      </w:r>
    </w:p>
    <w:p w:rsidR="00D33E04" w:rsidRDefault="00D33E04"/>
    <w:tbl>
      <w:tblPr>
        <w:tblStyle w:val="GridTable1LightAccent1"/>
        <w:tblW w:w="0" w:type="auto"/>
        <w:tblLook w:val="04A0" w:firstRow="1" w:lastRow="0" w:firstColumn="1" w:lastColumn="0" w:noHBand="0" w:noVBand="1"/>
      </w:tblPr>
      <w:tblGrid>
        <w:gridCol w:w="2331"/>
        <w:gridCol w:w="767"/>
        <w:gridCol w:w="2331"/>
      </w:tblGrid>
      <w:tr w:rsidR="00D33E04" w:rsidTr="00D33E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33E04" w:rsidRDefault="00D33E04" w:rsidP="00D524C7">
            <w:r>
              <w:t>Signature</w:t>
            </w:r>
          </w:p>
        </w:tc>
        <w:tc>
          <w:tcPr>
            <w:tcW w:w="0" w:type="auto"/>
          </w:tcPr>
          <w:p w:rsidR="00D33E04" w:rsidRDefault="00D33E04" w:rsidP="00D524C7">
            <w:pPr>
              <w:jc w:val="center"/>
              <w:cnfStyle w:val="100000000000" w:firstRow="1" w:lastRow="0" w:firstColumn="0" w:lastColumn="0" w:oddVBand="0" w:evenVBand="0" w:oddHBand="0" w:evenHBand="0" w:firstRowFirstColumn="0" w:firstRowLastColumn="0" w:lastRowFirstColumn="0" w:lastRowLastColumn="0"/>
            </w:pPr>
            <w:r>
              <w:t>AUC</w:t>
            </w:r>
          </w:p>
        </w:tc>
        <w:tc>
          <w:tcPr>
            <w:tcW w:w="0" w:type="auto"/>
          </w:tcPr>
          <w:p w:rsidR="00D33E04" w:rsidRDefault="00D33E04" w:rsidP="00D524C7">
            <w:pPr>
              <w:jc w:val="center"/>
              <w:cnfStyle w:val="100000000000" w:firstRow="1" w:lastRow="0" w:firstColumn="0" w:lastColumn="0" w:oddVBand="0" w:evenVBand="0" w:oddHBand="0" w:evenHBand="0" w:firstRowFirstColumn="0" w:firstRowLastColumn="0" w:lastRowFirstColumn="0" w:lastRowLastColumn="0"/>
            </w:pPr>
            <w:r>
              <w:t>% Change from NB5</w:t>
            </w:r>
          </w:p>
        </w:tc>
      </w:tr>
      <w:tr w:rsidR="00D33E04" w:rsidTr="00D33E04">
        <w:tc>
          <w:tcPr>
            <w:cnfStyle w:val="001000000000" w:firstRow="0" w:lastRow="0" w:firstColumn="1" w:lastColumn="0" w:oddVBand="0" w:evenVBand="0" w:oddHBand="0" w:evenHBand="0" w:firstRowFirstColumn="0" w:firstRowLastColumn="0" w:lastRowFirstColumn="0" w:lastRowLastColumn="0"/>
            <w:tcW w:w="0" w:type="auto"/>
          </w:tcPr>
          <w:p w:rsidR="00D33E04" w:rsidRDefault="00D33E04" w:rsidP="00D524C7">
            <w:r>
              <w:t>NB5</w:t>
            </w:r>
          </w:p>
        </w:tc>
        <w:tc>
          <w:tcPr>
            <w:tcW w:w="0" w:type="auto"/>
          </w:tcPr>
          <w:p w:rsidR="00D33E04" w:rsidRDefault="00D33E04" w:rsidP="00D524C7">
            <w:pPr>
              <w:jc w:val="center"/>
              <w:cnfStyle w:val="000000000000" w:firstRow="0" w:lastRow="0" w:firstColumn="0" w:lastColumn="0" w:oddVBand="0" w:evenVBand="0" w:oddHBand="0" w:evenHBand="0" w:firstRowFirstColumn="0" w:firstRowLastColumn="0" w:lastRowFirstColumn="0" w:lastRowLastColumn="0"/>
            </w:pPr>
            <w:r>
              <w:t>0.622</w:t>
            </w:r>
          </w:p>
        </w:tc>
        <w:tc>
          <w:tcPr>
            <w:tcW w:w="0" w:type="auto"/>
          </w:tcPr>
          <w:p w:rsidR="00D33E04" w:rsidRDefault="00D33E04" w:rsidP="00D524C7">
            <w:pPr>
              <w:jc w:val="center"/>
              <w:cnfStyle w:val="000000000000" w:firstRow="0" w:lastRow="0" w:firstColumn="0" w:lastColumn="0" w:oddVBand="0" w:evenVBand="0" w:oddHBand="0" w:evenHBand="0" w:firstRowFirstColumn="0" w:firstRowLastColumn="0" w:lastRowFirstColumn="0" w:lastRowLastColumn="0"/>
            </w:pPr>
            <w:r>
              <w:t>NA</w:t>
            </w:r>
          </w:p>
        </w:tc>
      </w:tr>
      <w:tr w:rsidR="00D33E04" w:rsidTr="00D33E04">
        <w:tc>
          <w:tcPr>
            <w:cnfStyle w:val="001000000000" w:firstRow="0" w:lastRow="0" w:firstColumn="1" w:lastColumn="0" w:oddVBand="0" w:evenVBand="0" w:oddHBand="0" w:evenHBand="0" w:firstRowFirstColumn="0" w:firstRowLastColumn="0" w:lastRowFirstColumn="0" w:lastRowLastColumn="0"/>
            <w:tcW w:w="0" w:type="auto"/>
          </w:tcPr>
          <w:p w:rsidR="00D33E04" w:rsidRDefault="00D33E04" w:rsidP="00D524C7">
            <w:r>
              <w:t>NB5 minus CHGA</w:t>
            </w:r>
          </w:p>
        </w:tc>
        <w:tc>
          <w:tcPr>
            <w:tcW w:w="0" w:type="auto"/>
          </w:tcPr>
          <w:p w:rsidR="00D33E04" w:rsidRDefault="00D33E04" w:rsidP="00D524C7">
            <w:pPr>
              <w:jc w:val="center"/>
              <w:cnfStyle w:val="000000000000" w:firstRow="0" w:lastRow="0" w:firstColumn="0" w:lastColumn="0" w:oddVBand="0" w:evenVBand="0" w:oddHBand="0" w:evenHBand="0" w:firstRowFirstColumn="0" w:firstRowLastColumn="0" w:lastRowFirstColumn="0" w:lastRowLastColumn="0"/>
            </w:pPr>
            <w:r>
              <w:t>0.592</w:t>
            </w:r>
          </w:p>
        </w:tc>
        <w:tc>
          <w:tcPr>
            <w:tcW w:w="0" w:type="auto"/>
          </w:tcPr>
          <w:p w:rsidR="00D33E04" w:rsidRDefault="00D33E04" w:rsidP="00D524C7">
            <w:pPr>
              <w:jc w:val="center"/>
              <w:cnfStyle w:val="000000000000" w:firstRow="0" w:lastRow="0" w:firstColumn="0" w:lastColumn="0" w:oddVBand="0" w:evenVBand="0" w:oddHBand="0" w:evenHBand="0" w:firstRowFirstColumn="0" w:firstRowLastColumn="0" w:lastRowFirstColumn="0" w:lastRowLastColumn="0"/>
            </w:pPr>
            <w:r>
              <w:t>- 4.8%</w:t>
            </w:r>
          </w:p>
        </w:tc>
      </w:tr>
      <w:tr w:rsidR="00D33E04" w:rsidTr="00D33E04">
        <w:tc>
          <w:tcPr>
            <w:cnfStyle w:val="001000000000" w:firstRow="0" w:lastRow="0" w:firstColumn="1" w:lastColumn="0" w:oddVBand="0" w:evenVBand="0" w:oddHBand="0" w:evenHBand="0" w:firstRowFirstColumn="0" w:firstRowLastColumn="0" w:lastRowFirstColumn="0" w:lastRowLastColumn="0"/>
            <w:tcW w:w="0" w:type="auto"/>
          </w:tcPr>
          <w:p w:rsidR="00D33E04" w:rsidRDefault="00D33E04" w:rsidP="00D524C7">
            <w:r>
              <w:t>NB5 minus DDC</w:t>
            </w:r>
          </w:p>
        </w:tc>
        <w:tc>
          <w:tcPr>
            <w:tcW w:w="0" w:type="auto"/>
          </w:tcPr>
          <w:p w:rsidR="00D33E04" w:rsidRDefault="00D33E04" w:rsidP="00D524C7">
            <w:pPr>
              <w:jc w:val="center"/>
              <w:cnfStyle w:val="000000000000" w:firstRow="0" w:lastRow="0" w:firstColumn="0" w:lastColumn="0" w:oddVBand="0" w:evenVBand="0" w:oddHBand="0" w:evenHBand="0" w:firstRowFirstColumn="0" w:firstRowLastColumn="0" w:lastRowFirstColumn="0" w:lastRowLastColumn="0"/>
            </w:pPr>
            <w:r>
              <w:t>0.608</w:t>
            </w:r>
          </w:p>
        </w:tc>
        <w:tc>
          <w:tcPr>
            <w:tcW w:w="0" w:type="auto"/>
          </w:tcPr>
          <w:p w:rsidR="00D33E04" w:rsidRDefault="00D33E04" w:rsidP="00D524C7">
            <w:pPr>
              <w:jc w:val="center"/>
              <w:cnfStyle w:val="000000000000" w:firstRow="0" w:lastRow="0" w:firstColumn="0" w:lastColumn="0" w:oddVBand="0" w:evenVBand="0" w:oddHBand="0" w:evenHBand="0" w:firstRowFirstColumn="0" w:firstRowLastColumn="0" w:lastRowFirstColumn="0" w:lastRowLastColumn="0"/>
            </w:pPr>
            <w:r>
              <w:t>- 2.3%</w:t>
            </w:r>
          </w:p>
        </w:tc>
      </w:tr>
      <w:tr w:rsidR="00D33E04" w:rsidTr="00D33E04">
        <w:tc>
          <w:tcPr>
            <w:cnfStyle w:val="001000000000" w:firstRow="0" w:lastRow="0" w:firstColumn="1" w:lastColumn="0" w:oddVBand="0" w:evenVBand="0" w:oddHBand="0" w:evenHBand="0" w:firstRowFirstColumn="0" w:firstRowLastColumn="0" w:lastRowFirstColumn="0" w:lastRowLastColumn="0"/>
            <w:tcW w:w="0" w:type="auto"/>
          </w:tcPr>
          <w:p w:rsidR="00D33E04" w:rsidRDefault="00D33E04" w:rsidP="00D524C7">
            <w:r>
              <w:t>NB5 minus DCX</w:t>
            </w:r>
          </w:p>
        </w:tc>
        <w:tc>
          <w:tcPr>
            <w:tcW w:w="0" w:type="auto"/>
          </w:tcPr>
          <w:p w:rsidR="00D33E04" w:rsidRDefault="00D33E04" w:rsidP="00D524C7">
            <w:pPr>
              <w:jc w:val="center"/>
              <w:cnfStyle w:val="000000000000" w:firstRow="0" w:lastRow="0" w:firstColumn="0" w:lastColumn="0" w:oddVBand="0" w:evenVBand="0" w:oddHBand="0" w:evenHBand="0" w:firstRowFirstColumn="0" w:firstRowLastColumn="0" w:lastRowFirstColumn="0" w:lastRowLastColumn="0"/>
            </w:pPr>
            <w:r>
              <w:t>0.627</w:t>
            </w:r>
          </w:p>
        </w:tc>
        <w:tc>
          <w:tcPr>
            <w:tcW w:w="0" w:type="auto"/>
          </w:tcPr>
          <w:p w:rsidR="00D33E04" w:rsidRDefault="00D33E04" w:rsidP="00D524C7">
            <w:pPr>
              <w:jc w:val="center"/>
              <w:cnfStyle w:val="000000000000" w:firstRow="0" w:lastRow="0" w:firstColumn="0" w:lastColumn="0" w:oddVBand="0" w:evenVBand="0" w:oddHBand="0" w:evenHBand="0" w:firstRowFirstColumn="0" w:firstRowLastColumn="0" w:lastRowFirstColumn="0" w:lastRowLastColumn="0"/>
            </w:pPr>
            <w:r>
              <w:t>+ 0.8%</w:t>
            </w:r>
          </w:p>
        </w:tc>
      </w:tr>
      <w:tr w:rsidR="00D33E04" w:rsidTr="00D33E04">
        <w:tc>
          <w:tcPr>
            <w:cnfStyle w:val="001000000000" w:firstRow="0" w:lastRow="0" w:firstColumn="1" w:lastColumn="0" w:oddVBand="0" w:evenVBand="0" w:oddHBand="0" w:evenHBand="0" w:firstRowFirstColumn="0" w:firstRowLastColumn="0" w:lastRowFirstColumn="0" w:lastRowLastColumn="0"/>
            <w:tcW w:w="0" w:type="auto"/>
          </w:tcPr>
          <w:p w:rsidR="00D33E04" w:rsidRDefault="00D33E04" w:rsidP="00D524C7">
            <w:r>
              <w:t>NB5 minus PHOX2B</w:t>
            </w:r>
          </w:p>
        </w:tc>
        <w:tc>
          <w:tcPr>
            <w:tcW w:w="0" w:type="auto"/>
          </w:tcPr>
          <w:p w:rsidR="00D33E04" w:rsidRDefault="00D33E04" w:rsidP="00D524C7">
            <w:pPr>
              <w:jc w:val="center"/>
              <w:cnfStyle w:val="000000000000" w:firstRow="0" w:lastRow="0" w:firstColumn="0" w:lastColumn="0" w:oddVBand="0" w:evenVBand="0" w:oddHBand="0" w:evenHBand="0" w:firstRowFirstColumn="0" w:firstRowLastColumn="0" w:lastRowFirstColumn="0" w:lastRowLastColumn="0"/>
            </w:pPr>
            <w:r>
              <w:t>0.609</w:t>
            </w:r>
          </w:p>
        </w:tc>
        <w:tc>
          <w:tcPr>
            <w:tcW w:w="0" w:type="auto"/>
          </w:tcPr>
          <w:p w:rsidR="00D33E04" w:rsidRDefault="00D33E04" w:rsidP="00D524C7">
            <w:pPr>
              <w:jc w:val="center"/>
              <w:cnfStyle w:val="000000000000" w:firstRow="0" w:lastRow="0" w:firstColumn="0" w:lastColumn="0" w:oddVBand="0" w:evenVBand="0" w:oddHBand="0" w:evenHBand="0" w:firstRowFirstColumn="0" w:firstRowLastColumn="0" w:lastRowFirstColumn="0" w:lastRowLastColumn="0"/>
            </w:pPr>
            <w:r>
              <w:t>- 2.1%</w:t>
            </w:r>
          </w:p>
        </w:tc>
      </w:tr>
      <w:tr w:rsidR="00D33E04" w:rsidTr="00D33E04">
        <w:tc>
          <w:tcPr>
            <w:cnfStyle w:val="001000000000" w:firstRow="0" w:lastRow="0" w:firstColumn="1" w:lastColumn="0" w:oddVBand="0" w:evenVBand="0" w:oddHBand="0" w:evenHBand="0" w:firstRowFirstColumn="0" w:firstRowLastColumn="0" w:lastRowFirstColumn="0" w:lastRowLastColumn="0"/>
            <w:tcW w:w="0" w:type="auto"/>
          </w:tcPr>
          <w:p w:rsidR="00D33E04" w:rsidRDefault="00D33E04" w:rsidP="00D524C7">
            <w:r>
              <w:t>NB5 minus TH</w:t>
            </w:r>
          </w:p>
        </w:tc>
        <w:tc>
          <w:tcPr>
            <w:tcW w:w="0" w:type="auto"/>
          </w:tcPr>
          <w:p w:rsidR="00D33E04" w:rsidRDefault="00D33E04" w:rsidP="00D524C7">
            <w:pPr>
              <w:jc w:val="center"/>
              <w:cnfStyle w:val="000000000000" w:firstRow="0" w:lastRow="0" w:firstColumn="0" w:lastColumn="0" w:oddVBand="0" w:evenVBand="0" w:oddHBand="0" w:evenHBand="0" w:firstRowFirstColumn="0" w:firstRowLastColumn="0" w:lastRowFirstColumn="0" w:lastRowLastColumn="0"/>
            </w:pPr>
            <w:r>
              <w:t>0.633</w:t>
            </w:r>
          </w:p>
        </w:tc>
        <w:tc>
          <w:tcPr>
            <w:tcW w:w="0" w:type="auto"/>
          </w:tcPr>
          <w:p w:rsidR="00D33E04" w:rsidRDefault="00D33E04" w:rsidP="00D524C7">
            <w:pPr>
              <w:jc w:val="center"/>
              <w:cnfStyle w:val="000000000000" w:firstRow="0" w:lastRow="0" w:firstColumn="0" w:lastColumn="0" w:oddVBand="0" w:evenVBand="0" w:oddHBand="0" w:evenHBand="0" w:firstRowFirstColumn="0" w:firstRowLastColumn="0" w:lastRowFirstColumn="0" w:lastRowLastColumn="0"/>
            </w:pPr>
            <w:r>
              <w:t>+ 1.8%</w:t>
            </w:r>
          </w:p>
        </w:tc>
      </w:tr>
      <w:tr w:rsidR="00D33E04" w:rsidTr="00D33E04">
        <w:tc>
          <w:tcPr>
            <w:cnfStyle w:val="001000000000" w:firstRow="0" w:lastRow="0" w:firstColumn="1" w:lastColumn="0" w:oddVBand="0" w:evenVBand="0" w:oddHBand="0" w:evenHBand="0" w:firstRowFirstColumn="0" w:firstRowLastColumn="0" w:lastRowFirstColumn="0" w:lastRowLastColumn="0"/>
            <w:tcW w:w="0" w:type="auto"/>
          </w:tcPr>
          <w:p w:rsidR="00D33E04" w:rsidRDefault="00D33E04" w:rsidP="00D524C7"/>
        </w:tc>
        <w:tc>
          <w:tcPr>
            <w:tcW w:w="0" w:type="auto"/>
          </w:tcPr>
          <w:p w:rsidR="00D33E04" w:rsidRDefault="00D33E04" w:rsidP="00D524C7">
            <w:pPr>
              <w:jc w:val="center"/>
              <w:cnfStyle w:val="000000000000" w:firstRow="0" w:lastRow="0" w:firstColumn="0" w:lastColumn="0" w:oddVBand="0" w:evenVBand="0" w:oddHBand="0" w:evenHBand="0" w:firstRowFirstColumn="0" w:firstRowLastColumn="0" w:lastRowFirstColumn="0" w:lastRowLastColumn="0"/>
            </w:pPr>
          </w:p>
        </w:tc>
        <w:tc>
          <w:tcPr>
            <w:tcW w:w="0" w:type="auto"/>
          </w:tcPr>
          <w:p w:rsidR="00D33E04" w:rsidRDefault="00D33E04" w:rsidP="00D524C7">
            <w:pPr>
              <w:jc w:val="center"/>
              <w:cnfStyle w:val="000000000000" w:firstRow="0" w:lastRow="0" w:firstColumn="0" w:lastColumn="0" w:oddVBand="0" w:evenVBand="0" w:oddHBand="0" w:evenHBand="0" w:firstRowFirstColumn="0" w:firstRowLastColumn="0" w:lastRowFirstColumn="0" w:lastRowLastColumn="0"/>
            </w:pPr>
          </w:p>
        </w:tc>
      </w:tr>
      <w:tr w:rsidR="00D33E04" w:rsidTr="00D33E04">
        <w:tc>
          <w:tcPr>
            <w:cnfStyle w:val="001000000000" w:firstRow="0" w:lastRow="0" w:firstColumn="1" w:lastColumn="0" w:oddVBand="0" w:evenVBand="0" w:oddHBand="0" w:evenHBand="0" w:firstRowFirstColumn="0" w:firstRowLastColumn="0" w:lastRowFirstColumn="0" w:lastRowLastColumn="0"/>
            <w:tcW w:w="0" w:type="auto"/>
          </w:tcPr>
          <w:p w:rsidR="00D33E04" w:rsidRDefault="00D33E04" w:rsidP="00D524C7">
            <w:r>
              <w:t>TH/DCX</w:t>
            </w:r>
          </w:p>
        </w:tc>
        <w:tc>
          <w:tcPr>
            <w:tcW w:w="0" w:type="auto"/>
          </w:tcPr>
          <w:p w:rsidR="00D33E04" w:rsidRDefault="00D33E04" w:rsidP="00D524C7">
            <w:pPr>
              <w:jc w:val="center"/>
              <w:cnfStyle w:val="000000000000" w:firstRow="0" w:lastRow="0" w:firstColumn="0" w:lastColumn="0" w:oddVBand="0" w:evenVBand="0" w:oddHBand="0" w:evenHBand="0" w:firstRowFirstColumn="0" w:firstRowLastColumn="0" w:lastRowFirstColumn="0" w:lastRowLastColumn="0"/>
            </w:pPr>
            <w:r>
              <w:t>0.497</w:t>
            </w:r>
          </w:p>
        </w:tc>
        <w:tc>
          <w:tcPr>
            <w:tcW w:w="0" w:type="auto"/>
          </w:tcPr>
          <w:p w:rsidR="00D33E04" w:rsidRDefault="00D33E04" w:rsidP="00D524C7">
            <w:pPr>
              <w:jc w:val="center"/>
              <w:cnfStyle w:val="000000000000" w:firstRow="0" w:lastRow="0" w:firstColumn="0" w:lastColumn="0" w:oddVBand="0" w:evenVBand="0" w:oddHBand="0" w:evenHBand="0" w:firstRowFirstColumn="0" w:firstRowLastColumn="0" w:lastRowFirstColumn="0" w:lastRowLastColumn="0"/>
            </w:pPr>
            <w:r>
              <w:t>- 20%</w:t>
            </w:r>
          </w:p>
        </w:tc>
        <w:bookmarkStart w:id="0" w:name="_GoBack"/>
        <w:bookmarkEnd w:id="0"/>
      </w:tr>
      <w:tr w:rsidR="00D33E04" w:rsidTr="00D33E04">
        <w:tc>
          <w:tcPr>
            <w:cnfStyle w:val="001000000000" w:firstRow="0" w:lastRow="0" w:firstColumn="1" w:lastColumn="0" w:oddVBand="0" w:evenVBand="0" w:oddHBand="0" w:evenHBand="0" w:firstRowFirstColumn="0" w:firstRowLastColumn="0" w:lastRowFirstColumn="0" w:lastRowLastColumn="0"/>
            <w:tcW w:w="0" w:type="auto"/>
          </w:tcPr>
          <w:p w:rsidR="00D33E04" w:rsidRDefault="00D33E04" w:rsidP="00D524C7">
            <w:r>
              <w:t>PHOX2B/TH/DDC</w:t>
            </w:r>
          </w:p>
        </w:tc>
        <w:tc>
          <w:tcPr>
            <w:tcW w:w="0" w:type="auto"/>
          </w:tcPr>
          <w:p w:rsidR="00D33E04" w:rsidRDefault="00D33E04" w:rsidP="00D524C7">
            <w:pPr>
              <w:jc w:val="center"/>
              <w:cnfStyle w:val="000000000000" w:firstRow="0" w:lastRow="0" w:firstColumn="0" w:lastColumn="0" w:oddVBand="0" w:evenVBand="0" w:oddHBand="0" w:evenHBand="0" w:firstRowFirstColumn="0" w:firstRowLastColumn="0" w:lastRowFirstColumn="0" w:lastRowLastColumn="0"/>
            </w:pPr>
            <w:r>
              <w:t>0.595</w:t>
            </w:r>
          </w:p>
        </w:tc>
        <w:tc>
          <w:tcPr>
            <w:tcW w:w="0" w:type="auto"/>
          </w:tcPr>
          <w:p w:rsidR="00D33E04" w:rsidRDefault="00D33E04" w:rsidP="00D524C7">
            <w:pPr>
              <w:jc w:val="center"/>
              <w:cnfStyle w:val="000000000000" w:firstRow="0" w:lastRow="0" w:firstColumn="0" w:lastColumn="0" w:oddVBand="0" w:evenVBand="0" w:oddHBand="0" w:evenHBand="0" w:firstRowFirstColumn="0" w:firstRowLastColumn="0" w:lastRowFirstColumn="0" w:lastRowLastColumn="0"/>
            </w:pPr>
            <w:r>
              <w:t>- 4.3%</w:t>
            </w:r>
          </w:p>
        </w:tc>
      </w:tr>
      <w:tr w:rsidR="00D33E04" w:rsidTr="00D33E04">
        <w:tc>
          <w:tcPr>
            <w:cnfStyle w:val="001000000000" w:firstRow="0" w:lastRow="0" w:firstColumn="1" w:lastColumn="0" w:oddVBand="0" w:evenVBand="0" w:oddHBand="0" w:evenHBand="0" w:firstRowFirstColumn="0" w:firstRowLastColumn="0" w:lastRowFirstColumn="0" w:lastRowLastColumn="0"/>
            <w:tcW w:w="0" w:type="auto"/>
          </w:tcPr>
          <w:p w:rsidR="00D33E04" w:rsidRDefault="00D33E04" w:rsidP="00D524C7">
            <w:r>
              <w:t>PHOX2B/TH/DCX</w:t>
            </w:r>
          </w:p>
        </w:tc>
        <w:tc>
          <w:tcPr>
            <w:tcW w:w="0" w:type="auto"/>
          </w:tcPr>
          <w:p w:rsidR="00D33E04" w:rsidRDefault="00D33E04" w:rsidP="00D524C7">
            <w:pPr>
              <w:jc w:val="center"/>
              <w:cnfStyle w:val="000000000000" w:firstRow="0" w:lastRow="0" w:firstColumn="0" w:lastColumn="0" w:oddVBand="0" w:evenVBand="0" w:oddHBand="0" w:evenHBand="0" w:firstRowFirstColumn="0" w:firstRowLastColumn="0" w:lastRowFirstColumn="0" w:lastRowLastColumn="0"/>
            </w:pPr>
            <w:r>
              <w:t>0.565</w:t>
            </w:r>
          </w:p>
        </w:tc>
        <w:tc>
          <w:tcPr>
            <w:tcW w:w="0" w:type="auto"/>
          </w:tcPr>
          <w:p w:rsidR="00D33E04" w:rsidRDefault="00D33E04" w:rsidP="00D524C7">
            <w:pPr>
              <w:jc w:val="center"/>
              <w:cnfStyle w:val="000000000000" w:firstRow="0" w:lastRow="0" w:firstColumn="0" w:lastColumn="0" w:oddVBand="0" w:evenVBand="0" w:oddHBand="0" w:evenHBand="0" w:firstRowFirstColumn="0" w:firstRowLastColumn="0" w:lastRowFirstColumn="0" w:lastRowLastColumn="0"/>
            </w:pPr>
            <w:r>
              <w:t>- 9.2%</w:t>
            </w:r>
          </w:p>
        </w:tc>
      </w:tr>
      <w:tr w:rsidR="00D33E04" w:rsidTr="00D33E04">
        <w:tc>
          <w:tcPr>
            <w:cnfStyle w:val="001000000000" w:firstRow="0" w:lastRow="0" w:firstColumn="1" w:lastColumn="0" w:oddVBand="0" w:evenVBand="0" w:oddHBand="0" w:evenHBand="0" w:firstRowFirstColumn="0" w:firstRowLastColumn="0" w:lastRowFirstColumn="0" w:lastRowLastColumn="0"/>
            <w:tcW w:w="0" w:type="auto"/>
          </w:tcPr>
          <w:p w:rsidR="00D33E04" w:rsidRDefault="00D33E04" w:rsidP="00D524C7">
            <w:r>
              <w:t>PHOX2B/TH</w:t>
            </w:r>
          </w:p>
        </w:tc>
        <w:tc>
          <w:tcPr>
            <w:tcW w:w="0" w:type="auto"/>
          </w:tcPr>
          <w:p w:rsidR="00D33E04" w:rsidRDefault="00D33E04" w:rsidP="00D524C7">
            <w:pPr>
              <w:jc w:val="center"/>
              <w:cnfStyle w:val="000000000000" w:firstRow="0" w:lastRow="0" w:firstColumn="0" w:lastColumn="0" w:oddVBand="0" w:evenVBand="0" w:oddHBand="0" w:evenHBand="0" w:firstRowFirstColumn="0" w:firstRowLastColumn="0" w:lastRowFirstColumn="0" w:lastRowLastColumn="0"/>
            </w:pPr>
            <w:r>
              <w:t>0.572</w:t>
            </w:r>
          </w:p>
        </w:tc>
        <w:tc>
          <w:tcPr>
            <w:tcW w:w="0" w:type="auto"/>
          </w:tcPr>
          <w:p w:rsidR="00D33E04" w:rsidRDefault="00D33E04" w:rsidP="00D524C7">
            <w:pPr>
              <w:jc w:val="center"/>
              <w:cnfStyle w:val="000000000000" w:firstRow="0" w:lastRow="0" w:firstColumn="0" w:lastColumn="0" w:oddVBand="0" w:evenVBand="0" w:oddHBand="0" w:evenHBand="0" w:firstRowFirstColumn="0" w:firstRowLastColumn="0" w:lastRowFirstColumn="0" w:lastRowLastColumn="0"/>
            </w:pPr>
            <w:r>
              <w:t>- 8.0%</w:t>
            </w:r>
          </w:p>
        </w:tc>
      </w:tr>
    </w:tbl>
    <w:p w:rsidR="00D33E04" w:rsidRDefault="00D33E04"/>
    <w:sectPr w:rsidR="00D33E04" w:rsidSect="003A69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FE"/>
    <w:rsid w:val="00203FAA"/>
    <w:rsid w:val="003A69FE"/>
    <w:rsid w:val="004123E4"/>
    <w:rsid w:val="00607B0D"/>
    <w:rsid w:val="006A70F6"/>
    <w:rsid w:val="00816E1F"/>
    <w:rsid w:val="00B95179"/>
    <w:rsid w:val="00D33E04"/>
    <w:rsid w:val="00E3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FE"/>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51">
    <w:name w:val="Grid Table 1 Light - Accent 51"/>
    <w:basedOn w:val="TableNormal"/>
    <w:uiPriority w:val="46"/>
    <w:rsid w:val="00B95179"/>
    <w:pPr>
      <w:spacing w:after="0" w:line="240" w:lineRule="auto"/>
    </w:pPr>
    <w:rPr>
      <w:rFonts w:ascii="Times New Roman" w:eastAsia="Times New Roman" w:hAnsi="Times New Roman" w:cs="Times New Roman"/>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33E0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FE"/>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51">
    <w:name w:val="Grid Table 1 Light - Accent 51"/>
    <w:basedOn w:val="TableNormal"/>
    <w:uiPriority w:val="46"/>
    <w:rsid w:val="00B95179"/>
    <w:pPr>
      <w:spacing w:after="0" w:line="240" w:lineRule="auto"/>
    </w:pPr>
    <w:rPr>
      <w:rFonts w:ascii="Times New Roman" w:eastAsia="Times New Roman" w:hAnsi="Times New Roman" w:cs="Times New Roman"/>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D33E0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CHLA</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Courtney</dc:creator>
  <cp:lastModifiedBy>Lane, Courtney</cp:lastModifiedBy>
  <cp:revision>3</cp:revision>
  <dcterms:created xsi:type="dcterms:W3CDTF">2017-02-08T17:55:00Z</dcterms:created>
  <dcterms:modified xsi:type="dcterms:W3CDTF">2017-03-31T19:49:00Z</dcterms:modified>
</cp:coreProperties>
</file>