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C8CA96" w14:textId="77777777" w:rsidR="00965E5D" w:rsidRPr="00DF3508" w:rsidRDefault="00965E5D" w:rsidP="00965E5D">
      <w:pPr>
        <w:jc w:val="center"/>
        <w:rPr>
          <w:rFonts w:ascii="Times New Roman" w:hAnsi="Times New Roman" w:cs="Times New Roman"/>
          <w:b/>
          <w:bCs/>
        </w:rPr>
      </w:pPr>
      <w:r w:rsidRPr="00DF3508">
        <w:rPr>
          <w:rFonts w:ascii="Times New Roman" w:hAnsi="Times New Roman" w:cs="Times New Roman"/>
          <w:b/>
          <w:bCs/>
          <w:sz w:val="28"/>
        </w:rPr>
        <w:t>Sensitivity and Specificity of Cetuximab-IRDye800CW to Identify Regional Metastatic Disease in Head and Neck Cancer</w:t>
      </w:r>
    </w:p>
    <w:p w14:paraId="3710C7DE" w14:textId="77777777" w:rsidR="00965E5D" w:rsidRPr="00DF3508" w:rsidRDefault="00965E5D" w:rsidP="00965E5D">
      <w:pPr>
        <w:jc w:val="both"/>
        <w:rPr>
          <w:rFonts w:ascii="Times New Roman" w:hAnsi="Times New Roman" w:cs="Times New Roman"/>
          <w:b/>
          <w:bCs/>
        </w:rPr>
      </w:pPr>
    </w:p>
    <w:p w14:paraId="00AEB1CF" w14:textId="77777777" w:rsidR="00F60D51" w:rsidRPr="00A64595" w:rsidRDefault="00F60D51" w:rsidP="00F60D51">
      <w:pPr>
        <w:jc w:val="both"/>
        <w:rPr>
          <w:rFonts w:ascii="Times New Roman" w:hAnsi="Times New Roman" w:cs="Times New Roman"/>
          <w:sz w:val="22"/>
          <w:szCs w:val="22"/>
          <w:vertAlign w:val="superscript"/>
        </w:rPr>
      </w:pPr>
      <w:r w:rsidRPr="008C6055">
        <w:rPr>
          <w:rFonts w:ascii="Times New Roman" w:hAnsi="Times New Roman" w:cs="Times New Roman"/>
          <w:sz w:val="22"/>
          <w:szCs w:val="22"/>
        </w:rPr>
        <w:t>Eben L. Rosenthal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A64595">
        <w:rPr>
          <w:rFonts w:ascii="Times New Roman" w:hAnsi="Times New Roman" w:cs="Times New Roman"/>
          <w:sz w:val="22"/>
          <w:szCs w:val="22"/>
        </w:rPr>
        <w:t>, Lindsay S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A64595">
        <w:rPr>
          <w:rFonts w:ascii="Times New Roman" w:hAnsi="Times New Roman" w:cs="Times New Roman"/>
          <w:sz w:val="22"/>
          <w:szCs w:val="22"/>
        </w:rPr>
        <w:t xml:space="preserve"> Moore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A64595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A64595">
        <w:rPr>
          <w:rFonts w:ascii="Times New Roman" w:hAnsi="Times New Roman" w:cs="Times New Roman"/>
          <w:sz w:val="22"/>
          <w:szCs w:val="22"/>
        </w:rPr>
        <w:t>K</w:t>
      </w:r>
      <w:r>
        <w:rPr>
          <w:rFonts w:ascii="Times New Roman" w:hAnsi="Times New Roman" w:cs="Times New Roman"/>
          <w:sz w:val="22"/>
          <w:szCs w:val="22"/>
        </w:rPr>
        <w:t>iranya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Tipirne</w:t>
      </w:r>
      <w:r w:rsidRPr="00A64595">
        <w:rPr>
          <w:rFonts w:ascii="Times New Roman" w:hAnsi="Times New Roman" w:cs="Times New Roman"/>
          <w:sz w:val="22"/>
          <w:szCs w:val="22"/>
        </w:rPr>
        <w:t>ni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A64595">
        <w:rPr>
          <w:rFonts w:ascii="Times New Roman" w:hAnsi="Times New Roman" w:cs="Times New Roman"/>
          <w:sz w:val="22"/>
          <w:szCs w:val="22"/>
        </w:rPr>
        <w:t>, Esther de Boer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4</w:t>
      </w:r>
      <w:r w:rsidRPr="00A64595">
        <w:rPr>
          <w:rFonts w:ascii="Times New Roman" w:hAnsi="Times New Roman" w:cs="Times New Roman"/>
          <w:sz w:val="22"/>
          <w:szCs w:val="22"/>
        </w:rPr>
        <w:t>, Todd M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A64595">
        <w:rPr>
          <w:rFonts w:ascii="Times New Roman" w:hAnsi="Times New Roman" w:cs="Times New Roman"/>
          <w:sz w:val="22"/>
          <w:szCs w:val="22"/>
        </w:rPr>
        <w:t xml:space="preserve"> Stevens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5</w:t>
      </w:r>
      <w:r w:rsidRPr="00A64595">
        <w:rPr>
          <w:rFonts w:ascii="Times New Roman" w:hAnsi="Times New Roman" w:cs="Times New Roman"/>
          <w:sz w:val="22"/>
          <w:szCs w:val="22"/>
        </w:rPr>
        <w:t>, Yolanda E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A64595">
        <w:rPr>
          <w:rFonts w:ascii="Times New Roman" w:hAnsi="Times New Roman" w:cs="Times New Roman"/>
          <w:sz w:val="22"/>
          <w:szCs w:val="22"/>
        </w:rPr>
        <w:t xml:space="preserve"> Hartman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A64595">
        <w:rPr>
          <w:rFonts w:ascii="Times New Roman" w:hAnsi="Times New Roman" w:cs="Times New Roman"/>
          <w:sz w:val="22"/>
          <w:szCs w:val="22"/>
        </w:rPr>
        <w:t>, William R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A64595">
        <w:rPr>
          <w:rFonts w:ascii="Times New Roman" w:hAnsi="Times New Roman" w:cs="Times New Roman"/>
          <w:sz w:val="22"/>
          <w:szCs w:val="22"/>
        </w:rPr>
        <w:t xml:space="preserve"> Carroll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A64595">
        <w:rPr>
          <w:rFonts w:ascii="Times New Roman" w:hAnsi="Times New Roman" w:cs="Times New Roman"/>
          <w:sz w:val="22"/>
          <w:szCs w:val="22"/>
        </w:rPr>
        <w:t>, Kurt R. Zinn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6</w:t>
      </w:r>
      <w:r w:rsidRPr="00A64595">
        <w:rPr>
          <w:rFonts w:ascii="Times New Roman" w:hAnsi="Times New Roman" w:cs="Times New Roman"/>
          <w:sz w:val="22"/>
          <w:szCs w:val="22"/>
        </w:rPr>
        <w:t>, Jason M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A64595">
        <w:rPr>
          <w:rFonts w:ascii="Times New Roman" w:hAnsi="Times New Roman" w:cs="Times New Roman"/>
          <w:sz w:val="22"/>
          <w:szCs w:val="22"/>
        </w:rPr>
        <w:t xml:space="preserve"> Warram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</w:p>
    <w:p w14:paraId="48E80FA4" w14:textId="77777777" w:rsidR="00F60D51" w:rsidRDefault="00F60D51" w:rsidP="00F60D51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9ACDE53" w14:textId="77777777" w:rsidR="00F60D51" w:rsidRPr="00A64595" w:rsidRDefault="00F60D51" w:rsidP="00F60D51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A64595">
        <w:rPr>
          <w:rFonts w:ascii="Times New Roman" w:hAnsi="Times New Roman" w:cs="Times New Roman"/>
          <w:sz w:val="22"/>
          <w:szCs w:val="22"/>
        </w:rPr>
        <w:t>Department of Otolaryngology, Stanford University</w:t>
      </w:r>
    </w:p>
    <w:p w14:paraId="47D9C9A1" w14:textId="77777777" w:rsidR="00F60D51" w:rsidRPr="00A64595" w:rsidRDefault="00F60D51" w:rsidP="00F60D51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A64595">
        <w:rPr>
          <w:rFonts w:ascii="Times New Roman" w:hAnsi="Times New Roman" w:cs="Times New Roman"/>
          <w:sz w:val="22"/>
          <w:szCs w:val="22"/>
        </w:rPr>
        <w:t>Department of Otolaryngology, University of Alabama at Birmingham</w:t>
      </w:r>
    </w:p>
    <w:p w14:paraId="0918F72A" w14:textId="77777777" w:rsidR="00F60D51" w:rsidRDefault="00F60D51" w:rsidP="00F60D51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A64595">
        <w:rPr>
          <w:rFonts w:ascii="Times New Roman" w:hAnsi="Times New Roman" w:cs="Times New Roman"/>
          <w:sz w:val="22"/>
          <w:szCs w:val="22"/>
        </w:rPr>
        <w:t>Department of Surgery, University of Alabama at Birmingham</w:t>
      </w:r>
    </w:p>
    <w:p w14:paraId="1DCEB949" w14:textId="77777777" w:rsidR="00F60D51" w:rsidRPr="00A64595" w:rsidRDefault="00F60D51" w:rsidP="00F60D51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vertAlign w:val="superscript"/>
        </w:rPr>
        <w:t>4</w:t>
      </w:r>
      <w:r w:rsidRPr="00A64595">
        <w:rPr>
          <w:rFonts w:ascii="Times New Roman" w:hAnsi="Times New Roman" w:cs="Times New Roman"/>
          <w:sz w:val="22"/>
          <w:szCs w:val="22"/>
        </w:rPr>
        <w:t>Department of Surgery, University Medical Center Groningen University of Groningen, Groningen, The Netherlands</w:t>
      </w:r>
    </w:p>
    <w:p w14:paraId="1EA6F3BF" w14:textId="77777777" w:rsidR="00F60D51" w:rsidRPr="00405CF6" w:rsidRDefault="00F60D51" w:rsidP="00F60D51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vertAlign w:val="superscript"/>
        </w:rPr>
        <w:t>5</w:t>
      </w:r>
      <w:r w:rsidRPr="00405CF6">
        <w:rPr>
          <w:rFonts w:ascii="Times New Roman" w:hAnsi="Times New Roman" w:cs="Times New Roman"/>
          <w:sz w:val="22"/>
          <w:szCs w:val="22"/>
        </w:rPr>
        <w:t>Department of Pathology, University of Alabama at Birmingham</w:t>
      </w:r>
    </w:p>
    <w:p w14:paraId="05E1B225" w14:textId="77777777" w:rsidR="00F60D51" w:rsidRPr="00405CF6" w:rsidRDefault="00F60D51" w:rsidP="00F60D51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vertAlign w:val="superscript"/>
        </w:rPr>
        <w:t>6</w:t>
      </w:r>
      <w:r w:rsidRPr="00405CF6">
        <w:rPr>
          <w:rFonts w:ascii="Times New Roman" w:hAnsi="Times New Roman" w:cs="Times New Roman"/>
          <w:sz w:val="22"/>
          <w:szCs w:val="22"/>
        </w:rPr>
        <w:t>Department of Radiology, University of Alabama at Birmingham</w:t>
      </w:r>
    </w:p>
    <w:p w14:paraId="46D9BB6D" w14:textId="77777777" w:rsidR="00F72051" w:rsidRDefault="00F72051" w:rsidP="00F72051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9F81E23" w14:textId="77777777" w:rsidR="00F72051" w:rsidRDefault="00F72051" w:rsidP="00F72051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EA900E1" w14:textId="77777777" w:rsidR="00F72051" w:rsidRDefault="00F72051" w:rsidP="00F72051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37B40" w14:textId="77777777" w:rsidR="00F72051" w:rsidRDefault="00F72051" w:rsidP="00F72051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8EC12FA" w14:textId="77777777" w:rsidR="00F72051" w:rsidRPr="00F72051" w:rsidRDefault="00F72051" w:rsidP="00F72051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F72051">
        <w:rPr>
          <w:rFonts w:ascii="Times New Roman" w:hAnsi="Times New Roman" w:cs="Times New Roman"/>
          <w:b/>
          <w:sz w:val="22"/>
          <w:szCs w:val="22"/>
        </w:rPr>
        <w:t>SUPPLIMENTAL MATERIAL</w:t>
      </w:r>
    </w:p>
    <w:p w14:paraId="23A0DAA9" w14:textId="77777777" w:rsidR="00F72051" w:rsidRDefault="00F72051" w:rsidP="00F72051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CF15710" w14:textId="77777777" w:rsidR="00F72051" w:rsidRDefault="00F72051" w:rsidP="00F72051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1A60092" w14:textId="24EDDEF9" w:rsidR="00F72051" w:rsidRDefault="00F23C29" w:rsidP="00F72051">
      <w:pPr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53DFC8" wp14:editId="697CA3D4">
                <wp:simplePos x="0" y="0"/>
                <wp:positionH relativeFrom="column">
                  <wp:posOffset>2743200</wp:posOffset>
                </wp:positionH>
                <wp:positionV relativeFrom="paragraph">
                  <wp:posOffset>2743200</wp:posOffset>
                </wp:positionV>
                <wp:extent cx="2743200" cy="2286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845F9" w14:textId="619CFB38" w:rsidR="00F23C29" w:rsidRDefault="00F23C29" w:rsidP="00F23C29">
                            <w:pPr>
                              <w:jc w:val="both"/>
                            </w:pPr>
                            <w:r w:rsidRPr="005F76BF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  <w:t xml:space="preserve">Supplementary Figure 1 </w:t>
                            </w:r>
                            <w:r w:rsidRPr="005F76BF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Fluorescence acquisitions of grossed lymph nodes. Closed-field images of whole dissected lymph nodes and fluorescence slide scanner images of histological section with adjacent histological staining of representative true positive, false positive, and true negative for (</w:t>
                            </w:r>
                            <w:r w:rsidRPr="005F76BF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  <w:t>a</w:t>
                            </w:r>
                            <w:r w:rsidRPr="005F76BF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) cohort 1 – 2.5mg/m</w:t>
                            </w:r>
                            <w:r w:rsidRPr="005F76BF">
                              <w:rPr>
                                <w:rFonts w:ascii="Times New Roman" w:hAnsi="Times New Roman" w:cs="Times New Roman"/>
                                <w:sz w:val="22"/>
                                <w:vertAlign w:val="superscript"/>
                              </w:rPr>
                              <w:t>2</w:t>
                            </w:r>
                            <w:r w:rsidRPr="005F76BF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dose group, (</w:t>
                            </w:r>
                            <w:r w:rsidRPr="005F76BF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  <w:t>b</w:t>
                            </w:r>
                            <w:r w:rsidRPr="005F76BF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) cohort 2 – 25mg/m</w:t>
                            </w:r>
                            <w:r w:rsidRPr="005F76BF">
                              <w:rPr>
                                <w:rFonts w:ascii="Times New Roman" w:hAnsi="Times New Roman" w:cs="Times New Roman"/>
                                <w:sz w:val="22"/>
                                <w:vertAlign w:val="superscript"/>
                              </w:rPr>
                              <w:t>2</w:t>
                            </w:r>
                            <w:r w:rsidRPr="005F76BF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dose group, and (</w:t>
                            </w:r>
                            <w:r w:rsidRPr="005F76BF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  <w:t>c</w:t>
                            </w:r>
                            <w:r w:rsidRPr="005F76BF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) cohort 2 – 62.5mg/m</w:t>
                            </w:r>
                            <w:r w:rsidRPr="005F76BF">
                              <w:rPr>
                                <w:rFonts w:ascii="Times New Roman" w:hAnsi="Times New Roman" w:cs="Times New Roman"/>
                                <w:sz w:val="22"/>
                                <w:vertAlign w:val="superscript"/>
                              </w:rPr>
                              <w:t>2</w:t>
                            </w:r>
                            <w:r w:rsidRPr="005F76BF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dose group. Color bar repr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esents closed-field acquisition</w:t>
                            </w:r>
                            <w:r w:rsidRPr="005F76BF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threshold matching for each cohort shown.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in;margin-top:3in;width:3in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" filled="f" stroked="f">
                <v:textbox>
                  <w:txbxContent>
                    <w:p w14:paraId="787845F9" w14:textId="619CFB38" w:rsidR="00F23C29" w:rsidRDefault="00F23C29" w:rsidP="00F23C29">
                      <w:pPr>
                        <w:jc w:val="both"/>
                      </w:pPr>
                      <w:r w:rsidRPr="005F76BF"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  <w:t xml:space="preserve">Supplementary Figure 1 </w:t>
                      </w:r>
                      <w:r w:rsidRPr="005F76BF">
                        <w:rPr>
                          <w:rFonts w:ascii="Times New Roman" w:hAnsi="Times New Roman" w:cs="Times New Roman"/>
                          <w:sz w:val="22"/>
                        </w:rPr>
                        <w:t>Fluorescence acquisitions of grossed lymph nodes. Closed-field images of whole dissected lymph nodes and fluorescence slide scanner images of histological section with adjacent histological staining of representative true positive, false positive, and true negative for (</w:t>
                      </w:r>
                      <w:r w:rsidRPr="005F76BF"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  <w:t>a</w:t>
                      </w:r>
                      <w:r w:rsidRPr="005F76BF">
                        <w:rPr>
                          <w:rFonts w:ascii="Times New Roman" w:hAnsi="Times New Roman" w:cs="Times New Roman"/>
                          <w:sz w:val="22"/>
                        </w:rPr>
                        <w:t>) cohort 1 – 2.5mg/m</w:t>
                      </w:r>
                      <w:r w:rsidRPr="005F76BF">
                        <w:rPr>
                          <w:rFonts w:ascii="Times New Roman" w:hAnsi="Times New Roman" w:cs="Times New Roman"/>
                          <w:sz w:val="22"/>
                          <w:vertAlign w:val="superscript"/>
                        </w:rPr>
                        <w:t>2</w:t>
                      </w:r>
                      <w:r w:rsidRPr="005F76BF">
                        <w:rPr>
                          <w:rFonts w:ascii="Times New Roman" w:hAnsi="Times New Roman" w:cs="Times New Roman"/>
                          <w:sz w:val="22"/>
                        </w:rPr>
                        <w:t xml:space="preserve"> dose group, (</w:t>
                      </w:r>
                      <w:r w:rsidRPr="005F76BF"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  <w:t>b</w:t>
                      </w:r>
                      <w:r w:rsidRPr="005F76BF">
                        <w:rPr>
                          <w:rFonts w:ascii="Times New Roman" w:hAnsi="Times New Roman" w:cs="Times New Roman"/>
                          <w:sz w:val="22"/>
                        </w:rPr>
                        <w:t>) cohort 2 – 25mg/m</w:t>
                      </w:r>
                      <w:r w:rsidRPr="005F76BF">
                        <w:rPr>
                          <w:rFonts w:ascii="Times New Roman" w:hAnsi="Times New Roman" w:cs="Times New Roman"/>
                          <w:sz w:val="22"/>
                          <w:vertAlign w:val="superscript"/>
                        </w:rPr>
                        <w:t>2</w:t>
                      </w:r>
                      <w:r w:rsidRPr="005F76BF">
                        <w:rPr>
                          <w:rFonts w:ascii="Times New Roman" w:hAnsi="Times New Roman" w:cs="Times New Roman"/>
                          <w:sz w:val="22"/>
                        </w:rPr>
                        <w:t xml:space="preserve"> dose group, and (</w:t>
                      </w:r>
                      <w:r w:rsidRPr="005F76BF"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  <w:t>c</w:t>
                      </w:r>
                      <w:r w:rsidRPr="005F76BF">
                        <w:rPr>
                          <w:rFonts w:ascii="Times New Roman" w:hAnsi="Times New Roman" w:cs="Times New Roman"/>
                          <w:sz w:val="22"/>
                        </w:rPr>
                        <w:t>) cohort 2 – 62.5mg/m</w:t>
                      </w:r>
                      <w:r w:rsidRPr="005F76BF">
                        <w:rPr>
                          <w:rFonts w:ascii="Times New Roman" w:hAnsi="Times New Roman" w:cs="Times New Roman"/>
                          <w:sz w:val="22"/>
                          <w:vertAlign w:val="superscript"/>
                        </w:rPr>
                        <w:t>2</w:t>
                      </w:r>
                      <w:r w:rsidRPr="005F76BF">
                        <w:rPr>
                          <w:rFonts w:ascii="Times New Roman" w:hAnsi="Times New Roman" w:cs="Times New Roman"/>
                          <w:sz w:val="22"/>
                        </w:rPr>
                        <w:t xml:space="preserve"> dose group. Color bar repr</w:t>
                      </w:r>
                      <w:r>
                        <w:rPr>
                          <w:rFonts w:ascii="Times New Roman" w:hAnsi="Times New Roman" w:cs="Times New Roman"/>
                          <w:sz w:val="22"/>
                        </w:rPr>
                        <w:t>esents closed-field acquisition</w:t>
                      </w:r>
                      <w:r w:rsidRPr="005F76BF">
                        <w:rPr>
                          <w:rFonts w:ascii="Times New Roman" w:hAnsi="Times New Roman" w:cs="Times New Roman"/>
                          <w:sz w:val="22"/>
                        </w:rPr>
                        <w:t xml:space="preserve"> threshold matching for each cohort shown.</w:t>
                      </w:r>
                    </w:p>
                  </w:txbxContent>
                </v:textbox>
              </v:shape>
            </w:pict>
          </mc:Fallback>
        </mc:AlternateContent>
      </w:r>
      <w:r w:rsidR="00F72051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5FFD5EF6" wp14:editId="1630FD94">
            <wp:extent cx="5486400" cy="51549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Fig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88FA" w14:textId="4FF1EF29" w:rsidR="00F72051" w:rsidRDefault="00F72051" w:rsidP="00F72051">
      <w:pPr>
        <w:jc w:val="both"/>
        <w:rPr>
          <w:rFonts w:ascii="Times New Roman" w:hAnsi="Times New Roman" w:cs="Times New Roman"/>
          <w:b/>
          <w:sz w:val="22"/>
        </w:rPr>
      </w:pPr>
    </w:p>
    <w:p w14:paraId="6FFEF4D0" w14:textId="3D37E8E1" w:rsidR="00F72051" w:rsidRDefault="00F72051" w:rsidP="00F72051">
      <w:pPr>
        <w:jc w:val="both"/>
        <w:rPr>
          <w:rFonts w:ascii="Times New Roman" w:hAnsi="Times New Roman" w:cs="Times New Roman"/>
          <w:sz w:val="22"/>
        </w:rPr>
      </w:pPr>
    </w:p>
    <w:p w14:paraId="2302CF2B" w14:textId="77777777" w:rsidR="00F72051" w:rsidRDefault="00F72051" w:rsidP="00F72051">
      <w:pPr>
        <w:jc w:val="both"/>
        <w:rPr>
          <w:rFonts w:ascii="Times New Roman" w:hAnsi="Times New Roman" w:cs="Times New Roman"/>
          <w:sz w:val="22"/>
        </w:rPr>
      </w:pPr>
    </w:p>
    <w:p w14:paraId="3DD264FC" w14:textId="77777777" w:rsidR="00F72051" w:rsidRDefault="00F72051" w:rsidP="00F72051">
      <w:pPr>
        <w:jc w:val="both"/>
        <w:rPr>
          <w:rFonts w:ascii="Times New Roman" w:hAnsi="Times New Roman" w:cs="Times New Roman"/>
          <w:sz w:val="22"/>
        </w:rPr>
      </w:pPr>
    </w:p>
    <w:p w14:paraId="4B78F282" w14:textId="77777777" w:rsidR="00F72051" w:rsidRDefault="00F72051" w:rsidP="00F72051">
      <w:p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707CD40E" wp14:editId="7FE00D40">
            <wp:extent cx="5486400" cy="2586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Fig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C52B2" w14:textId="77777777" w:rsidR="00832BA4" w:rsidRDefault="00F72051" w:rsidP="0008192D">
      <w:pPr>
        <w:rPr>
          <w:rFonts w:ascii="Times New Roman" w:hAnsi="Times New Roman" w:cs="Times New Roman"/>
          <w:sz w:val="22"/>
        </w:rPr>
      </w:pPr>
      <w:bookmarkStart w:id="0" w:name="_GoBack"/>
      <w:r w:rsidRPr="00635CE5">
        <w:rPr>
          <w:rFonts w:ascii="Times New Roman" w:hAnsi="Times New Roman" w:cs="Times New Roman"/>
          <w:b/>
          <w:sz w:val="22"/>
        </w:rPr>
        <w:t xml:space="preserve">Supplementary Figure 2 </w:t>
      </w:r>
      <w:r w:rsidRPr="00635CE5">
        <w:rPr>
          <w:rFonts w:ascii="Times New Roman" w:hAnsi="Times New Roman" w:cs="Times New Roman"/>
          <w:sz w:val="22"/>
        </w:rPr>
        <w:t>Analysis of false positive fluorescence. (</w:t>
      </w:r>
      <w:r w:rsidRPr="00635CE5">
        <w:rPr>
          <w:rFonts w:ascii="Times New Roman" w:hAnsi="Times New Roman" w:cs="Times New Roman"/>
          <w:b/>
          <w:sz w:val="22"/>
        </w:rPr>
        <w:t>a</w:t>
      </w:r>
      <w:r w:rsidRPr="00635CE5">
        <w:rPr>
          <w:rFonts w:ascii="Times New Roman" w:hAnsi="Times New Roman" w:cs="Times New Roman"/>
          <w:sz w:val="22"/>
        </w:rPr>
        <w:t>) Representative fluorescence slide scan of tissue-</w:t>
      </w:r>
      <w:bookmarkEnd w:id="0"/>
      <w:r w:rsidRPr="00635CE5">
        <w:rPr>
          <w:rFonts w:ascii="Times New Roman" w:hAnsi="Times New Roman" w:cs="Times New Roman"/>
          <w:sz w:val="22"/>
        </w:rPr>
        <w:t>mounted section from cohort 3 with (</w:t>
      </w:r>
      <w:r w:rsidRPr="00635CE5">
        <w:rPr>
          <w:rFonts w:ascii="Times New Roman" w:hAnsi="Times New Roman" w:cs="Times New Roman"/>
          <w:b/>
          <w:sz w:val="22"/>
        </w:rPr>
        <w:t>b</w:t>
      </w:r>
      <w:r w:rsidRPr="00635CE5">
        <w:rPr>
          <w:rFonts w:ascii="Times New Roman" w:hAnsi="Times New Roman" w:cs="Times New Roman"/>
          <w:sz w:val="22"/>
        </w:rPr>
        <w:t xml:space="preserve">) adjacent histology. Inset image </w:t>
      </w:r>
      <w:r>
        <w:rPr>
          <w:rFonts w:ascii="Times New Roman" w:hAnsi="Times New Roman" w:cs="Times New Roman"/>
          <w:sz w:val="22"/>
        </w:rPr>
        <w:t xml:space="preserve">displays </w:t>
      </w:r>
      <w:r w:rsidRPr="00635CE5">
        <w:rPr>
          <w:rFonts w:ascii="Times New Roman" w:hAnsi="Times New Roman" w:cs="Times New Roman"/>
          <w:sz w:val="22"/>
        </w:rPr>
        <w:t>CD68 positive cells with adjacent histology highlighting areas of prominent sinus histiocytosis.</w:t>
      </w:r>
    </w:p>
    <w:p w14:paraId="6357ED47" w14:textId="77777777" w:rsidR="00BB3744" w:rsidRDefault="00BB3744" w:rsidP="0008192D">
      <w:pPr>
        <w:rPr>
          <w:rFonts w:ascii="Times New Roman" w:hAnsi="Times New Roman" w:cs="Times New Roman"/>
          <w:sz w:val="22"/>
        </w:rPr>
      </w:pPr>
    </w:p>
    <w:p w14:paraId="1302AB65" w14:textId="77777777" w:rsidR="00BB3744" w:rsidRDefault="00BB3744" w:rsidP="0008192D">
      <w:pPr>
        <w:rPr>
          <w:rFonts w:ascii="Times New Roman" w:hAnsi="Times New Roman" w:cs="Times New Roman"/>
          <w:sz w:val="22"/>
        </w:rPr>
      </w:pPr>
    </w:p>
    <w:p w14:paraId="6875FF21" w14:textId="77777777" w:rsidR="00BB3744" w:rsidRDefault="00BB3744" w:rsidP="0008192D">
      <w:pPr>
        <w:rPr>
          <w:rFonts w:ascii="Times New Roman" w:hAnsi="Times New Roman" w:cs="Times New Roman"/>
          <w:sz w:val="22"/>
        </w:rPr>
      </w:pPr>
    </w:p>
    <w:p w14:paraId="18490C63" w14:textId="77777777" w:rsidR="0008192D" w:rsidRPr="00B34300" w:rsidRDefault="0008192D" w:rsidP="0008192D">
      <w:pPr>
        <w:jc w:val="both"/>
        <w:rPr>
          <w:rFonts w:ascii="Times New Roman" w:hAnsi="Times New Roman" w:cs="Times New Roman"/>
          <w:sz w:val="22"/>
        </w:rPr>
      </w:pPr>
      <w:r w:rsidRPr="00DB2586">
        <w:rPr>
          <w:rFonts w:ascii="Times New Roman" w:hAnsi="Times New Roman" w:cs="Times New Roman"/>
          <w:b/>
          <w:sz w:val="22"/>
        </w:rPr>
        <w:t>Supplementary video 1</w:t>
      </w:r>
      <w:r>
        <w:rPr>
          <w:rFonts w:ascii="Times New Roman" w:hAnsi="Times New Roman" w:cs="Times New Roman"/>
          <w:b/>
          <w:sz w:val="22"/>
        </w:rPr>
        <w:t xml:space="preserve"> </w:t>
      </w:r>
      <w:r w:rsidRPr="00B34300">
        <w:rPr>
          <w:rFonts w:ascii="Times New Roman" w:hAnsi="Times New Roman" w:cs="Times New Roman"/>
          <w:sz w:val="22"/>
        </w:rPr>
        <w:t>Representative video is shown of open-field imaging during intraoperative neck dissection from the 25mg/m</w:t>
      </w:r>
      <w:r w:rsidRPr="00B34300">
        <w:rPr>
          <w:rFonts w:ascii="Times New Roman" w:hAnsi="Times New Roman" w:cs="Times New Roman"/>
          <w:sz w:val="22"/>
          <w:vertAlign w:val="superscript"/>
        </w:rPr>
        <w:t>2</w:t>
      </w:r>
      <w:r w:rsidRPr="00B34300">
        <w:rPr>
          <w:rFonts w:ascii="Times New Roman" w:hAnsi="Times New Roman" w:cs="Times New Roman"/>
          <w:sz w:val="22"/>
        </w:rPr>
        <w:t xml:space="preserve"> dose cohort.</w:t>
      </w:r>
    </w:p>
    <w:p w14:paraId="11C99319" w14:textId="77777777" w:rsidR="00BB3744" w:rsidRDefault="00BB3744" w:rsidP="00F72051">
      <w:pPr>
        <w:rPr>
          <w:rFonts w:ascii="Times New Roman" w:hAnsi="Times New Roman" w:cs="Times New Roman"/>
          <w:sz w:val="22"/>
        </w:rPr>
      </w:pPr>
    </w:p>
    <w:p w14:paraId="2D4BCA5E" w14:textId="77777777" w:rsidR="00BB3744" w:rsidRDefault="00BB3744" w:rsidP="00F72051"/>
    <w:sectPr w:rsidR="00BB3744" w:rsidSect="00BB3744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051"/>
    <w:rsid w:val="0003042D"/>
    <w:rsid w:val="0008192D"/>
    <w:rsid w:val="00832679"/>
    <w:rsid w:val="00832BA4"/>
    <w:rsid w:val="00911ED8"/>
    <w:rsid w:val="00965E5D"/>
    <w:rsid w:val="00BB3744"/>
    <w:rsid w:val="00EF62F8"/>
    <w:rsid w:val="00F23C29"/>
    <w:rsid w:val="00F60D51"/>
    <w:rsid w:val="00F72051"/>
    <w:rsid w:val="00F908D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C789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color w:val="000000" w:themeColor="text1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051"/>
    <w:rPr>
      <w:rFonts w:asciiTheme="minorHAnsi" w:eastAsiaTheme="minorHAnsi" w:hAnsiTheme="minorHAnsi"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0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51"/>
    <w:rPr>
      <w:rFonts w:ascii="Lucida Grande" w:eastAsiaTheme="minorHAnsi" w:hAnsi="Lucida Grande" w:cs="Lucida Grande"/>
      <w:color w:val="auto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color w:val="000000" w:themeColor="text1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051"/>
    <w:rPr>
      <w:rFonts w:asciiTheme="minorHAnsi" w:eastAsiaTheme="minorHAnsi" w:hAnsiTheme="minorHAnsi"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0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51"/>
    <w:rPr>
      <w:rFonts w:ascii="Lucida Grande" w:eastAsiaTheme="minorHAnsi" w:hAnsi="Lucida Grande" w:cs="Lucida Grande"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"/><Relationship Id="rId7" Type="http://schemas.openxmlformats.org/officeDocument/2006/relationships/image" Target="media/image2.ti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904AE8-361E-534F-A8E8-7D6C2CB81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175</Words>
  <Characters>1003</Characters>
  <Application>Microsoft Macintosh Word</Application>
  <DocSecurity>0</DocSecurity>
  <Lines>8</Lines>
  <Paragraphs>2</Paragraphs>
  <ScaleCrop>false</ScaleCrop>
  <Company>UAB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Warram</dc:creator>
  <cp:keywords/>
  <dc:description/>
  <cp:lastModifiedBy>Jason Warram</cp:lastModifiedBy>
  <cp:revision>4</cp:revision>
  <dcterms:created xsi:type="dcterms:W3CDTF">2016-11-25T16:59:00Z</dcterms:created>
  <dcterms:modified xsi:type="dcterms:W3CDTF">2016-11-25T17:02:00Z</dcterms:modified>
</cp:coreProperties>
</file>