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AA" w:rsidRPr="00517A31" w:rsidRDefault="00F41AAA" w:rsidP="00F41AAA">
      <w:pPr>
        <w:spacing w:after="160" w:line="259" w:lineRule="auto"/>
        <w:rPr>
          <w:rFonts w:ascii="Times New Roman" w:eastAsia="Times New Roman" w:hAnsi="Times New Roman"/>
          <w:b/>
          <w:sz w:val="22"/>
        </w:rPr>
      </w:pPr>
      <w:r w:rsidRPr="00517A31">
        <w:rPr>
          <w:rFonts w:ascii="Times New Roman" w:eastAsia="Times New Roman" w:hAnsi="Times New Roman"/>
          <w:b/>
          <w:sz w:val="22"/>
        </w:rPr>
        <w:t>Table 2: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Pr="00517A31">
        <w:rPr>
          <w:rFonts w:ascii="Times New Roman" w:eastAsia="Times New Roman" w:hAnsi="Times New Roman"/>
          <w:b/>
          <w:sz w:val="22"/>
        </w:rPr>
        <w:t>Active Clinical Trials in Myeloma Using Minimal Residual Disease Assessment as Exploratory or Secondary Endpoints</w:t>
      </w:r>
    </w:p>
    <w:p w:rsidR="00F41AAA" w:rsidRPr="00517A31" w:rsidRDefault="00F41AAA" w:rsidP="00F41AAA">
      <w:pPr>
        <w:rPr>
          <w:rFonts w:ascii="Times New Roman" w:eastAsia="Times New Roman" w:hAnsi="Times New Roman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0"/>
        <w:gridCol w:w="1665"/>
        <w:gridCol w:w="900"/>
        <w:gridCol w:w="1890"/>
        <w:gridCol w:w="1425"/>
      </w:tblGrid>
      <w:tr w:rsidR="00F41AAA" w:rsidRPr="00517A31" w:rsidTr="00C71C3E">
        <w:trPr>
          <w:cantSplit/>
          <w:tblHeader/>
        </w:trPr>
        <w:tc>
          <w:tcPr>
            <w:tcW w:w="3450" w:type="dxa"/>
            <w:tcBorders>
              <w:top w:val="double" w:sz="4" w:space="0" w:color="auto"/>
              <w:bottom w:val="double" w:sz="4" w:space="0" w:color="auto"/>
            </w:tcBorders>
          </w:tcPr>
          <w:p w:rsidR="00F41AAA" w:rsidRPr="00517A31" w:rsidRDefault="00F41AAA" w:rsidP="00C71C3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A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Trial </w:t>
            </w: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</w:tcBorders>
          </w:tcPr>
          <w:p w:rsidR="00F41AAA" w:rsidRPr="00517A31" w:rsidRDefault="00F41AAA" w:rsidP="00C71C3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A31">
              <w:rPr>
                <w:rFonts w:ascii="Times New Roman" w:eastAsia="Times New Roman" w:hAnsi="Times New Roman"/>
                <w:b/>
                <w:sz w:val="20"/>
                <w:szCs w:val="20"/>
              </w:rPr>
              <w:t>Phase/Design (Method)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F41AAA" w:rsidRPr="00517A31" w:rsidRDefault="00F41AAA" w:rsidP="00C71C3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A31">
              <w:rPr>
                <w:rFonts w:ascii="Times New Roman" w:eastAsia="Times New Roman" w:hAnsi="Times New Roman"/>
                <w:b/>
                <w:sz w:val="20"/>
                <w:szCs w:val="20"/>
              </w:rPr>
              <w:t>Sample Size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F41AAA" w:rsidRPr="00517A31" w:rsidRDefault="00F41AAA" w:rsidP="00C71C3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A31">
              <w:rPr>
                <w:rFonts w:ascii="Times New Roman" w:eastAsia="Times New Roman" w:hAnsi="Times New Roman"/>
                <w:b/>
                <w:sz w:val="20"/>
                <w:szCs w:val="20"/>
              </w:rPr>
              <w:t>Sponsor/Location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F41AAA" w:rsidRPr="00517A31" w:rsidRDefault="00F41AAA" w:rsidP="00C71C3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A31">
              <w:rPr>
                <w:rFonts w:ascii="Times New Roman" w:eastAsia="Times New Roman" w:hAnsi="Times New Roman"/>
                <w:b/>
                <w:sz w:val="20"/>
                <w:szCs w:val="20"/>
              </w:rPr>
              <w:t>ClinicalTrials.gov ID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Comparison of Three Methods to Evaluate Residual Disease in MM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Observational/(flow, NGS, PBL)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 xml:space="preserve">Hospices </w:t>
            </w:r>
            <w:proofErr w:type="spellStart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Civiles</w:t>
            </w:r>
            <w:proofErr w:type="spellEnd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 xml:space="preserve"> de Lyon, Fr /Janssen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NCT02627261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Genomic-Based Diagnosis, Classification and Targeted Treatment of MM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Observational/(</w:t>
            </w:r>
            <w:r w:rsidRPr="00BD1615">
              <w:rPr>
                <w:rFonts w:ascii="Times New Roman" w:hAnsi="Times New Roman"/>
                <w:sz w:val="20"/>
                <w:szCs w:val="20"/>
              </w:rPr>
              <w:t xml:space="preserve">PCR, flow, </w:t>
            </w:r>
            <w:proofErr w:type="spellStart"/>
            <w:r w:rsidRPr="00BD1615">
              <w:rPr>
                <w:rFonts w:ascii="Times New Roman" w:hAnsi="Times New Roman"/>
                <w:sz w:val="20"/>
                <w:szCs w:val="20"/>
              </w:rPr>
              <w:t>sFLC</w:t>
            </w:r>
            <w:proofErr w:type="spellEnd"/>
            <w:r w:rsidRPr="00BD1615">
              <w:rPr>
                <w:rFonts w:ascii="Times New Roman" w:hAnsi="Times New Roman"/>
                <w:sz w:val="20"/>
                <w:szCs w:val="20"/>
              </w:rPr>
              <w:t xml:space="preserve">, Serum </w:t>
            </w:r>
            <w:proofErr w:type="spellStart"/>
            <w:r w:rsidRPr="00BD1615">
              <w:rPr>
                <w:rFonts w:ascii="Times New Roman" w:hAnsi="Times New Roman"/>
                <w:sz w:val="20"/>
                <w:szCs w:val="20"/>
              </w:rPr>
              <w:t>Heavylite</w:t>
            </w:r>
            <w:proofErr w:type="spellEnd"/>
            <w:r w:rsidRPr="00BD16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Singapore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NCT01619358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Study of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Bendamustine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and IXAZOMIB (MLN9708) Plus Dexamethasone in Relapsed/Refractory MM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I/II dose-escalation, single-arm (MRD?)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Medical College of Wisconsin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NCT02477215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Phase I Dose Escalation of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i.v.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and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s.c.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BI 836909 Monotherapy in Last Line MM Patients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I/dose-escalation (MRD?)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Boehringer</w:t>
            </w:r>
            <w:proofErr w:type="spellEnd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Ingelheim</w:t>
            </w:r>
            <w:proofErr w:type="spellEnd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. Fr, Ge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NCT02514239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Phase 1-2 Study of Total Bone Marrow Irradiation With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Helicoidal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Tomotherapy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in 1st Myeloma Relapse (TOMMY)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I/II irradiation dose-escalation +</w:t>
            </w:r>
            <w:proofErr w:type="spellStart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Melphalan</w:t>
            </w:r>
            <w:proofErr w:type="spellEnd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 xml:space="preserve"> (MRD?, FDG-PET)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Institut</w:t>
            </w:r>
            <w:proofErr w:type="spellEnd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Cancerologie</w:t>
            </w:r>
            <w:proofErr w:type="spellEnd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l'Ouest</w:t>
            </w:r>
            <w:proofErr w:type="spellEnd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, Fr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NCT01794572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Sequential Trial on Reduced Intensity Conditioning (RIC) Allogeneic Transplantation (EMN-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alloRIC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)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I/II (MRD?, FDG-PET)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European Myeloma Network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NCT01460420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Phase 1 Study to Assess Safety &amp; Tolerability of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Tremelimumab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&amp;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Durvalumab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, Administered With High Dose Chemotherapy and Autologous Stem Cell Transplant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I, 4-arms/ (flow, genetic?)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Ludwig Institute for Cancer Research, NY/Medimmune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NCT02716805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Dose Escalation Trial of WT1-specific Donor-derived T Cells Following T-Cell Depleted Allogeneic Hematopoietic Stem Cell Transplantation for Patients With Relapsed/Refractory MM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I/dose-escalation (MRD?)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MSKCC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NCT01758328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Study Evaluating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Venetoclax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in Subjects With Hematological Malignancies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I/dose-escalation (MRD?)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 xml:space="preserve">AbbVie/Genentech, </w:t>
            </w:r>
            <w:proofErr w:type="spellStart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Jp</w:t>
            </w:r>
            <w:proofErr w:type="spellEnd"/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NCT02265731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Study of Gene Modified Donor T Cell Infusion in Patients With Recurrent Disease After Allogeneic Transplant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I/dose-escalation, BPX-501 and AP1903 (MRD?)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Bellicum</w:t>
            </w:r>
            <w:proofErr w:type="spellEnd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 xml:space="preserve"> Pharmaceuticals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NCT02477878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Elotuzumab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in Autologous Stem Cell Transplantation (ASCT) and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Lenalidomide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Maintenance for MM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I/</w:t>
            </w:r>
            <w:r w:rsidRPr="00BD1615">
              <w:rPr>
                <w:rFonts w:ascii="Times New Roman" w:hAnsi="Times New Roman"/>
                <w:sz w:val="20"/>
                <w:szCs w:val="20"/>
              </w:rPr>
              <w:t xml:space="preserve">(MRD, </w:t>
            </w:r>
            <w:proofErr w:type="spellStart"/>
            <w:r w:rsidRPr="00BD1615">
              <w:rPr>
                <w:rFonts w:ascii="Times New Roman" w:hAnsi="Times New Roman"/>
                <w:sz w:val="20"/>
                <w:szCs w:val="20"/>
              </w:rPr>
              <w:t>immunofixation</w:t>
            </w:r>
            <w:proofErr w:type="spellEnd"/>
            <w:r w:rsidRPr="00BD16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D1615">
              <w:rPr>
                <w:rFonts w:ascii="Times New Roman" w:hAnsi="Times New Roman"/>
                <w:sz w:val="20"/>
                <w:szCs w:val="20"/>
              </w:rPr>
              <w:t>sFLC</w:t>
            </w:r>
            <w:proofErr w:type="spellEnd"/>
            <w:r w:rsidRPr="00BD16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Mount Sinai/ Bristol-Myers Squibb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NCT02655458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Pembrolizumab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(MK-3475) in MM Patients With Residual Disease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II/single arm (flow)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PETHEMA/Merck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NCT02636010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A Single Arm Study of Carfilzomib in Transplant Eligible High Risk MM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II/single arm (flow)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Singapore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NCT02217163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Safety And Efficacy Of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Lenalidomide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As Maintenance Therapy In Patients With Newly Diagnosed MM Following A Tandem Autologous-Allogeneic Transplant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II/single arm (PCR?)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Fondazione Neoplasie Sangue Onlus, It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NCT01264315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lastRenderedPageBreak/>
              <w:t>Phase II Study of IRD (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Ixazomib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Lenalidomide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, Dexamethasone) Post Autologous Stem Cell Transplantation Followed by Maintenance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Ixazomib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or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Lenalidomide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for MM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II/RCT for maintenance (NGS or flow)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Washington University/ Millennium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NCT02253316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Exploratory Trial to Estimate Proportion of Patients With Tumor Cell Contaminated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Leukapheresis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Products With and Without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Bortezomib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With In-vivo Purging - MM (MM)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II/ RCT (flow)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University of Kansas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NCT02703779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Dendritic Cell/Myeloma Fusion Vaccine for MM (BMT CTN 1401)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 /RCT-3 arm (flow)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NHLBI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NCT02728102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Busulfan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&amp;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Melphalan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Conditioning for Autologous Stem Cell Transplant (ASCT) and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Lenalidomide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Maintenance (BuMelMCRN001)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 xml:space="preserve">II/single arm (MRD?, </w:t>
            </w:r>
            <w:r w:rsidRPr="00BD1615">
              <w:rPr>
                <w:rFonts w:ascii="Times New Roman" w:hAnsi="Times New Roman"/>
                <w:sz w:val="20"/>
                <w:szCs w:val="20"/>
              </w:rPr>
              <w:t xml:space="preserve">Serum </w:t>
            </w:r>
            <w:proofErr w:type="spellStart"/>
            <w:r w:rsidRPr="00BD1615">
              <w:rPr>
                <w:rFonts w:ascii="Times New Roman" w:hAnsi="Times New Roman"/>
                <w:sz w:val="20"/>
                <w:szCs w:val="20"/>
              </w:rPr>
              <w:t>Heavylite</w:t>
            </w:r>
            <w:proofErr w:type="spellEnd"/>
            <w:r w:rsidRPr="00BD16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D1615">
              <w:rPr>
                <w:rFonts w:ascii="Times New Roman" w:hAnsi="Times New Roman"/>
                <w:sz w:val="20"/>
                <w:szCs w:val="20"/>
              </w:rPr>
              <w:t>cfDNA</w:t>
            </w:r>
            <w:proofErr w:type="spellEnd"/>
            <w:r w:rsidRPr="00BD16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University Toronto, Ca/ Otsuka/Celgene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NCT01702831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A Trial Evaluating Efficacy &amp; Safety of RVD ± Panobinostat in Transplant Eligible, Newly Diagnosed MM (NDMM) (PANORAMA4)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II/RCT (NGS)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Novartis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NCT02720510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Nonmyeloablative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Allogeneic Stem Cell Transplant Followed by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Bortezomib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in High-risk MM Patients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II/ single-arm (flow)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Maisonneuve-Rosemont Hospital, Ca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NCT02308280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A Study to Evaluate 3 Dose Schedules of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Daratumumab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in Participants With Smoldering MM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II/3-arm (MRD?)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Janssen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NCT02316106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Carfilzomib/Cyclophosphamide/Dexamethasone With Maintenance Carfilzomib in MM (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Cardamon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)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II/RCT (MRD?)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University College, London/ Onyx Pharmaceuticals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NCT02315716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Trial of Carfilzomib,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Lenalidomide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, Dexamethasone Versus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Lenalidomide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Alone After Stem-cell Transplant for MM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III/ RCT (MRD?)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University of Chicago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NCT02659293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Study Comparing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Daratumumab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Lenalidomide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, and Dexamethasone With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Lenalidomide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and Dexamethasone in Participants With Previously Untreated MM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III/RCT (NGS)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Janssen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NCT02252172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Evaluation of the Safety and the</w:t>
            </w:r>
            <w:r w:rsidRPr="00BD1615"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Efficacy of Carfilzomib Combined With Cyclophosphamide and Dexamethasone (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CCyd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) or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Lenalidomide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and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Dex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(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CRd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) Followed by ASCT or 12 Cycles of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Carf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Combined With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Dex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and Len for Patients Eligible for ASCT With Newly Diagnosed MM. (FORTE)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II/RCT 3 arm (MRD?)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University of Turin, It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NCT02203643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A Study to Evaluate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Daratumumab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in Transplant Eligible Participants With Previously Untreated MM (Cassiopeia)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III/4-arm (MRD?)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Intergroupe</w:t>
            </w:r>
            <w:proofErr w:type="spellEnd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 xml:space="preserve"> Francophone du </w:t>
            </w:r>
            <w:proofErr w:type="spellStart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Myelome</w:t>
            </w:r>
            <w:proofErr w:type="spellEnd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Hovon</w:t>
            </w:r>
            <w:proofErr w:type="spellEnd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/Janssen, Fr, Ne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NCT02541383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lastRenderedPageBreak/>
              <w:t xml:space="preserve">Trial Studying Maintenance Treatment With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Lenalidomide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and Dexamethasone Versus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Lenalidomide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, Dexamethasone and MLN9708 After Autologous Hematopoietic Stem Cell Transplantation in Patients With Newly-diagnosed Symptomatic MM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III/(MRD by NGF and NGS)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PETHEMA/Celgene/Takeda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NCT02406144</w:t>
            </w:r>
          </w:p>
        </w:tc>
      </w:tr>
      <w:tr w:rsidR="00F41AAA" w:rsidRPr="00517A31" w:rsidTr="00C71C3E">
        <w:trPr>
          <w:trHeight w:val="1160"/>
        </w:trPr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A Study of Combination of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Daratumumab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and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Velcade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(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Bortezomib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)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Melphalan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-Prednisone (DVMP) Compared to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Velcade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Melphalan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-Prednisone (VMP) in Participants With Previously Untreated MM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  <w:proofErr w:type="gramStart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/(</w:t>
            </w:r>
            <w:proofErr w:type="gramEnd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MRD?)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Janssen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NCT02195479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A Study of Oral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Ixazomib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Maintenance Therapy in Patients With Newly Diagnosed MM Not Treated With Stem Cell Transplantation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III/(MRD/BMA) by Flow and NGS))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Takeda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NCT02312258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665" w:type="dxa"/>
          </w:tcPr>
          <w:p w:rsidR="00F41AAA" w:rsidRPr="00BD1615" w:rsidRDefault="00F41AAA" w:rsidP="00C71C3E">
            <w:pPr>
              <w:spacing w:before="100" w:beforeAutospacing="1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A Study of Oral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Ixazomib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Maintenance Therapy in Patients With Newly Diagnosed MM Treated With Stem Cell Transplantation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III (MRD (BMA) by flow and NGS and MRD (Blood) by NGS)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Takeda</w:t>
            </w: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NCT021181413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D1615">
              <w:rPr>
                <w:rFonts w:ascii="Times New Roman" w:hAnsi="Times New Roman"/>
                <w:sz w:val="20"/>
                <w:szCs w:val="20"/>
                <w:lang w:val="en"/>
              </w:rPr>
              <w:t xml:space="preserve">Phase 3, randomized, double-blind, multicenter study to evaluate the safety and efficacy of </w:t>
            </w:r>
            <w:proofErr w:type="spellStart"/>
            <w:r w:rsidRPr="00BD1615">
              <w:rPr>
                <w:rFonts w:ascii="Times New Roman" w:hAnsi="Times New Roman"/>
                <w:bCs/>
                <w:sz w:val="20"/>
                <w:szCs w:val="20"/>
                <w:shd w:val="clear" w:color="auto" w:fill="FFEEDD"/>
                <w:lang w:val="en"/>
              </w:rPr>
              <w:t>ixazomib</w:t>
            </w:r>
            <w:proofErr w:type="spellEnd"/>
            <w:r w:rsidRPr="00BD1615">
              <w:rPr>
                <w:rFonts w:ascii="Times New Roman" w:hAnsi="Times New Roman"/>
                <w:sz w:val="20"/>
                <w:szCs w:val="20"/>
                <w:lang w:val="en"/>
              </w:rPr>
              <w:t xml:space="preserve"> versus placebo when added to </w:t>
            </w:r>
            <w:proofErr w:type="spellStart"/>
            <w:r w:rsidRPr="00BD1615">
              <w:rPr>
                <w:rFonts w:ascii="Times New Roman" w:hAnsi="Times New Roman"/>
                <w:sz w:val="20"/>
                <w:szCs w:val="20"/>
                <w:lang w:val="en"/>
              </w:rPr>
              <w:t>lenalidomide</w:t>
            </w:r>
            <w:proofErr w:type="spellEnd"/>
            <w:r w:rsidRPr="00BD1615">
              <w:rPr>
                <w:rFonts w:ascii="Times New Roman" w:hAnsi="Times New Roman"/>
                <w:sz w:val="20"/>
                <w:szCs w:val="20"/>
                <w:lang w:val="en"/>
              </w:rPr>
              <w:t xml:space="preserve"> and dexamethasone (</w:t>
            </w:r>
            <w:proofErr w:type="spellStart"/>
            <w:r w:rsidRPr="00BD1615">
              <w:rPr>
                <w:rFonts w:ascii="Times New Roman" w:hAnsi="Times New Roman"/>
                <w:sz w:val="20"/>
                <w:szCs w:val="20"/>
                <w:lang w:val="en"/>
              </w:rPr>
              <w:t>LenDex</w:t>
            </w:r>
            <w:proofErr w:type="spellEnd"/>
            <w:r w:rsidRPr="00BD1615">
              <w:rPr>
                <w:rFonts w:ascii="Times New Roman" w:hAnsi="Times New Roman"/>
                <w:sz w:val="20"/>
                <w:szCs w:val="20"/>
                <w:lang w:val="en"/>
              </w:rPr>
              <w:t>) in patients with Newly Diagnosed MM (NDMM) who are not eligible for stem cell transplant.</w:t>
            </w:r>
          </w:p>
        </w:tc>
        <w:tc>
          <w:tcPr>
            <w:tcW w:w="166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III (MRD (BMA) by flow)</w:t>
            </w: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Takeda</w:t>
            </w:r>
          </w:p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NCT01850524</w:t>
            </w:r>
          </w:p>
        </w:tc>
      </w:tr>
      <w:tr w:rsidR="00F41AAA" w:rsidRPr="00517A31" w:rsidTr="00C71C3E">
        <w:tc>
          <w:tcPr>
            <w:tcW w:w="3450" w:type="dxa"/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1665" w:type="dxa"/>
          </w:tcPr>
          <w:p w:rsidR="00F41AAA" w:rsidRPr="00BD1615" w:rsidRDefault="00F41AAA" w:rsidP="00C71C3E">
            <w:pPr>
              <w:spacing w:before="100" w:beforeAutospacing="1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AA" w:rsidRPr="00517A31" w:rsidTr="00C71C3E">
        <w:tc>
          <w:tcPr>
            <w:tcW w:w="3450" w:type="dxa"/>
            <w:tcBorders>
              <w:bottom w:val="double" w:sz="4" w:space="0" w:color="auto"/>
            </w:tcBorders>
          </w:tcPr>
          <w:p w:rsidR="00F41AAA" w:rsidRPr="00BD1615" w:rsidRDefault="00F41AAA" w:rsidP="00C71C3E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Bortezomib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(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Velcade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  <w:vertAlign w:val="superscript"/>
              </w:rPr>
              <w:t>®</w:t>
            </w: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),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Lenalidomide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(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Revlimid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  <w:vertAlign w:val="superscript"/>
              </w:rPr>
              <w:t>®</w:t>
            </w: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) and IV 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Busulfan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(</w:t>
            </w:r>
            <w:proofErr w:type="spellStart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Busilvex</w:t>
            </w:r>
            <w:proofErr w:type="spellEnd"/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  <w:vertAlign w:val="superscript"/>
              </w:rPr>
              <w:t>®</w:t>
            </w:r>
            <w:r w:rsidRPr="00BD161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) in Patients Under 65 Years Old (GEM2012MENOS65)</w:t>
            </w:r>
          </w:p>
        </w:tc>
        <w:tc>
          <w:tcPr>
            <w:tcW w:w="1665" w:type="dxa"/>
            <w:tcBorders>
              <w:bottom w:val="double" w:sz="4" w:space="0" w:color="auto"/>
            </w:tcBorders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 xml:space="preserve">III/ (MRD?, </w:t>
            </w:r>
            <w:proofErr w:type="spellStart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immunofixation</w:t>
            </w:r>
            <w:proofErr w:type="spellEnd"/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-negative)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PETHEMA/Celgene/Janssen</w:t>
            </w:r>
          </w:p>
        </w:tc>
        <w:tc>
          <w:tcPr>
            <w:tcW w:w="1425" w:type="dxa"/>
            <w:tcBorders>
              <w:bottom w:val="double" w:sz="4" w:space="0" w:color="auto"/>
            </w:tcBorders>
          </w:tcPr>
          <w:p w:rsidR="00F41AAA" w:rsidRPr="00BD1615" w:rsidRDefault="00F41AAA" w:rsidP="00C71C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615">
              <w:rPr>
                <w:rFonts w:ascii="Times New Roman" w:eastAsia="Times New Roman" w:hAnsi="Times New Roman"/>
                <w:sz w:val="20"/>
                <w:szCs w:val="20"/>
              </w:rPr>
              <w:t>NCT01916252</w:t>
            </w:r>
          </w:p>
        </w:tc>
      </w:tr>
    </w:tbl>
    <w:p w:rsidR="00E20352" w:rsidRDefault="00E20352">
      <w:bookmarkStart w:id="0" w:name="_GoBack"/>
      <w:bookmarkEnd w:id="0"/>
    </w:p>
    <w:sectPr w:rsidR="00E20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AA"/>
    <w:rsid w:val="003024B2"/>
    <w:rsid w:val="005B3F85"/>
    <w:rsid w:val="00E20352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FAA5F-0655-4C2D-9740-4257F85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AA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Higley</dc:creator>
  <cp:keywords/>
  <dc:description/>
  <cp:lastModifiedBy>Lydia Montagnese</cp:lastModifiedBy>
  <cp:revision>3</cp:revision>
  <dcterms:created xsi:type="dcterms:W3CDTF">2017-02-10T22:26:00Z</dcterms:created>
  <dcterms:modified xsi:type="dcterms:W3CDTF">2017-02-10T23:05:00Z</dcterms:modified>
</cp:coreProperties>
</file>