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43D8F" w14:textId="799A1B69" w:rsidR="00D72CDE" w:rsidRPr="00E94A8C" w:rsidRDefault="00F474A2" w:rsidP="005F33FE">
      <w:pPr>
        <w:jc w:val="center"/>
        <w:rPr>
          <w:rFonts w:ascii="Arial" w:hAnsi="Arial" w:cs="Arial"/>
          <w:b/>
        </w:rPr>
      </w:pPr>
      <w:bookmarkStart w:id="0" w:name="_GoBack"/>
      <w:bookmarkEnd w:id="0"/>
      <w:r w:rsidRPr="00E94A8C">
        <w:rPr>
          <w:rFonts w:ascii="Arial" w:hAnsi="Arial" w:cs="Arial"/>
          <w:b/>
        </w:rPr>
        <w:t>Supplementary Materials</w:t>
      </w:r>
    </w:p>
    <w:p w14:paraId="36550681" w14:textId="77777777" w:rsidR="00F474A2" w:rsidRPr="00E94A8C" w:rsidRDefault="00F474A2">
      <w:pPr>
        <w:rPr>
          <w:rFonts w:ascii="Arial" w:hAnsi="Arial" w:cs="Arial"/>
        </w:rPr>
      </w:pPr>
    </w:p>
    <w:p w14:paraId="76E75B5A" w14:textId="74FA974D" w:rsidR="00F474A2" w:rsidRPr="00E94A8C" w:rsidRDefault="00524FCB" w:rsidP="005F33FE">
      <w:pPr>
        <w:spacing w:line="276" w:lineRule="auto"/>
        <w:rPr>
          <w:rFonts w:ascii="Arial" w:hAnsi="Arial" w:cs="Arial"/>
          <w:b/>
          <w:szCs w:val="20"/>
        </w:rPr>
      </w:pPr>
      <w:r w:rsidRPr="00E94A8C">
        <w:rPr>
          <w:rFonts w:ascii="Arial" w:hAnsi="Arial" w:cs="Arial"/>
          <w:b/>
          <w:szCs w:val="20"/>
          <w:u w:val="single"/>
        </w:rPr>
        <w:t xml:space="preserve">Inclusion and </w:t>
      </w:r>
      <w:r w:rsidR="00761825" w:rsidRPr="00E94A8C">
        <w:rPr>
          <w:rFonts w:ascii="Arial" w:hAnsi="Arial" w:cs="Arial"/>
          <w:b/>
          <w:szCs w:val="20"/>
          <w:u w:val="single"/>
        </w:rPr>
        <w:t>Exclusion Criteria</w:t>
      </w:r>
    </w:p>
    <w:p w14:paraId="24933C5E" w14:textId="77777777" w:rsidR="00242354" w:rsidRPr="00E94A8C" w:rsidRDefault="00242354" w:rsidP="005F33FE">
      <w:pPr>
        <w:spacing w:line="276" w:lineRule="auto"/>
        <w:rPr>
          <w:rFonts w:ascii="Arial" w:hAnsi="Arial" w:cs="Arial"/>
          <w:b/>
          <w:szCs w:val="20"/>
        </w:rPr>
      </w:pPr>
    </w:p>
    <w:p w14:paraId="37E1ECA6" w14:textId="77777777" w:rsidR="00524FCB" w:rsidRPr="00E94A8C" w:rsidRDefault="00524FCB" w:rsidP="005F33FE">
      <w:pPr>
        <w:spacing w:line="276" w:lineRule="auto"/>
        <w:rPr>
          <w:rFonts w:ascii="Arial" w:hAnsi="Arial" w:cs="Arial"/>
          <w:noProof/>
        </w:rPr>
      </w:pPr>
      <w:r w:rsidRPr="00E94A8C">
        <w:rPr>
          <w:rFonts w:ascii="Arial" w:hAnsi="Arial" w:cs="Arial"/>
          <w:noProof/>
        </w:rPr>
        <w:t>Eligibility criteria included the following, with “close relatives” defined as first- or second-degree blood relatives:</w:t>
      </w:r>
    </w:p>
    <w:p w14:paraId="71406E93" w14:textId="621419D8" w:rsidR="00524FCB" w:rsidRPr="00E94A8C" w:rsidRDefault="00524FCB" w:rsidP="005F33FE">
      <w:pPr>
        <w:pStyle w:val="ListParagraph"/>
        <w:numPr>
          <w:ilvl w:val="0"/>
          <w:numId w:val="2"/>
        </w:numPr>
        <w:spacing w:line="276" w:lineRule="auto"/>
        <w:rPr>
          <w:rFonts w:cs="Arial"/>
          <w:szCs w:val="20"/>
        </w:rPr>
      </w:pPr>
      <w:r w:rsidRPr="00E94A8C">
        <w:rPr>
          <w:rFonts w:cs="Arial"/>
          <w:noProof/>
        </w:rPr>
        <w:t xml:space="preserve">the subject or close relative </w:t>
      </w:r>
      <w:r w:rsidR="005D784E" w:rsidRPr="00E94A8C">
        <w:rPr>
          <w:rFonts w:cs="Arial"/>
          <w:noProof/>
        </w:rPr>
        <w:t>(del</w:t>
      </w:r>
      <w:r w:rsidR="007B2000" w:rsidRPr="00E94A8C">
        <w:rPr>
          <w:rFonts w:cs="Arial"/>
          <w:noProof/>
        </w:rPr>
        <w:t>e</w:t>
      </w:r>
      <w:r w:rsidR="005D784E" w:rsidRPr="00E94A8C">
        <w:rPr>
          <w:rFonts w:cs="Arial"/>
          <w:noProof/>
        </w:rPr>
        <w:t xml:space="preserve">terious mutation in a first-degree relative confers a 50% prior probabiliy of an untested subject being a mutation carrier, while deleterious mutation in a second-degree relative confers a 25% prior probability of an untested subject being a mutation carrier ) </w:t>
      </w:r>
      <w:r w:rsidRPr="00E94A8C">
        <w:rPr>
          <w:rFonts w:cs="Arial"/>
          <w:noProof/>
        </w:rPr>
        <w:t xml:space="preserve">had a known, deleterious </w:t>
      </w:r>
      <w:r w:rsidRPr="00E94A8C">
        <w:rPr>
          <w:rFonts w:cs="Arial"/>
          <w:i/>
          <w:noProof/>
        </w:rPr>
        <w:t>BRCA1</w:t>
      </w:r>
      <w:r w:rsidRPr="00E94A8C">
        <w:rPr>
          <w:rFonts w:cs="Arial"/>
          <w:noProof/>
        </w:rPr>
        <w:t xml:space="preserve"> or </w:t>
      </w:r>
      <w:r w:rsidRPr="00E94A8C">
        <w:rPr>
          <w:rFonts w:cs="Arial"/>
          <w:i/>
          <w:noProof/>
        </w:rPr>
        <w:t>BRCA2</w:t>
      </w:r>
      <w:r w:rsidRPr="00E94A8C">
        <w:rPr>
          <w:rFonts w:cs="Arial"/>
          <w:noProof/>
        </w:rPr>
        <w:t xml:space="preserve"> mutation; or</w:t>
      </w:r>
    </w:p>
    <w:p w14:paraId="4FDEE82D" w14:textId="77777777" w:rsidR="00524FCB" w:rsidRPr="00E94A8C" w:rsidRDefault="00524FCB" w:rsidP="005F33FE">
      <w:pPr>
        <w:pStyle w:val="ListParagraph"/>
        <w:numPr>
          <w:ilvl w:val="0"/>
          <w:numId w:val="2"/>
        </w:numPr>
        <w:spacing w:line="276" w:lineRule="auto"/>
        <w:rPr>
          <w:rFonts w:cs="Arial"/>
          <w:szCs w:val="20"/>
        </w:rPr>
      </w:pPr>
      <w:r w:rsidRPr="00E94A8C">
        <w:rPr>
          <w:rFonts w:cs="Arial"/>
          <w:noProof/>
        </w:rPr>
        <w:t>at least two ovarian or breast cancers (including DCIS) had been diagnosed among the subject or close relatives within the same lineage; or</w:t>
      </w:r>
    </w:p>
    <w:p w14:paraId="357DDA0B" w14:textId="77777777" w:rsidR="00524FCB" w:rsidRPr="00E94A8C" w:rsidRDefault="00524FCB" w:rsidP="005F33FE">
      <w:pPr>
        <w:pStyle w:val="ListParagraph"/>
        <w:numPr>
          <w:ilvl w:val="0"/>
          <w:numId w:val="2"/>
        </w:numPr>
        <w:spacing w:line="276" w:lineRule="auto"/>
        <w:rPr>
          <w:rFonts w:cs="Arial"/>
          <w:szCs w:val="20"/>
        </w:rPr>
      </w:pPr>
      <w:r w:rsidRPr="00E94A8C">
        <w:rPr>
          <w:rFonts w:cs="Arial"/>
          <w:szCs w:val="20"/>
        </w:rPr>
        <w:t>the subject was of Ashkenazi Jewish ethnicity, with one first-degree or two-second degree relatives with ovarian or breast cancer; or</w:t>
      </w:r>
    </w:p>
    <w:p w14:paraId="3822ADB7" w14:textId="77777777" w:rsidR="00524FCB" w:rsidRPr="00E94A8C" w:rsidRDefault="00524FCB" w:rsidP="005F33FE">
      <w:pPr>
        <w:pStyle w:val="ListParagraph"/>
        <w:numPr>
          <w:ilvl w:val="0"/>
          <w:numId w:val="2"/>
        </w:numPr>
        <w:spacing w:line="276" w:lineRule="auto"/>
        <w:rPr>
          <w:rFonts w:cs="Arial"/>
          <w:szCs w:val="20"/>
        </w:rPr>
      </w:pPr>
      <w:r w:rsidRPr="00E94A8C">
        <w:rPr>
          <w:rFonts w:cs="Arial"/>
          <w:szCs w:val="20"/>
        </w:rPr>
        <w:t>the subject was of Ashkenazi Jewish ethnicity and had a personal history of breast cancer; or</w:t>
      </w:r>
    </w:p>
    <w:p w14:paraId="256F1787" w14:textId="5AF4C7B0" w:rsidR="00524FCB" w:rsidRPr="00E94A8C" w:rsidRDefault="00524FCB" w:rsidP="005F33FE">
      <w:pPr>
        <w:pStyle w:val="ListParagraph"/>
        <w:numPr>
          <w:ilvl w:val="0"/>
          <w:numId w:val="2"/>
        </w:numPr>
        <w:spacing w:line="276" w:lineRule="auto"/>
        <w:rPr>
          <w:rFonts w:cs="Arial"/>
          <w:szCs w:val="20"/>
        </w:rPr>
      </w:pPr>
      <w:r w:rsidRPr="00E94A8C">
        <w:rPr>
          <w:rFonts w:cs="Arial"/>
          <w:szCs w:val="20"/>
        </w:rPr>
        <w:t xml:space="preserve">the probability of carrying a </w:t>
      </w:r>
      <w:r w:rsidRPr="00E94A8C">
        <w:rPr>
          <w:rFonts w:cs="Arial"/>
          <w:i/>
          <w:szCs w:val="20"/>
        </w:rPr>
        <w:t>BRCA1</w:t>
      </w:r>
      <w:r w:rsidRPr="00E94A8C">
        <w:rPr>
          <w:rFonts w:cs="Arial"/>
          <w:szCs w:val="20"/>
        </w:rPr>
        <w:t xml:space="preserve"> or </w:t>
      </w:r>
      <w:r w:rsidRPr="00E94A8C">
        <w:rPr>
          <w:rFonts w:cs="Arial"/>
          <w:i/>
          <w:szCs w:val="20"/>
        </w:rPr>
        <w:t xml:space="preserve">BRCA2 </w:t>
      </w:r>
      <w:r w:rsidRPr="00E94A8C">
        <w:rPr>
          <w:rFonts w:cs="Arial"/>
          <w:szCs w:val="20"/>
        </w:rPr>
        <w:t xml:space="preserve">mutation given family pedigree of breast and ovarian cancers as calculated by BRCAPRO </w:t>
      </w:r>
      <w:r w:rsidRPr="00E94A8C">
        <w:rPr>
          <w:rFonts w:cs="Arial"/>
          <w:szCs w:val="20"/>
        </w:rPr>
        <w:fldChar w:fldCharType="begin">
          <w:fldData xml:space="preserve">PEVuZE5vdGU+PENpdGU+PEF1dGhvcj5CZXJyeTwvQXV0aG9yPjxZZWFyPjIwMDI8L1llYXI+PFJl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</w:fldData>
        </w:fldChar>
      </w:r>
      <w:r w:rsidR="00E94A8C">
        <w:rPr>
          <w:rFonts w:cs="Arial"/>
          <w:szCs w:val="20"/>
        </w:rPr>
        <w:instrText xml:space="preserve"> ADDIN EN.CITE </w:instrText>
      </w:r>
      <w:r w:rsidR="00E94A8C">
        <w:rPr>
          <w:rFonts w:cs="Arial"/>
          <w:szCs w:val="20"/>
        </w:rPr>
        <w:fldChar w:fldCharType="begin">
          <w:fldData xml:space="preserve">PEVuZE5vdGU+PENpdGU+PEF1dGhvcj5CZXJyeTwvQXV0aG9yPjxZZWFyPjIwMDI8L1llYXI+PFJl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</w:fldData>
        </w:fldChar>
      </w:r>
      <w:r w:rsidR="00E94A8C">
        <w:rPr>
          <w:rFonts w:cs="Arial"/>
          <w:szCs w:val="20"/>
        </w:rPr>
        <w:instrText xml:space="preserve"> ADDIN EN.CITE.DATA </w:instrText>
      </w:r>
      <w:r w:rsidR="00E94A8C">
        <w:rPr>
          <w:rFonts w:cs="Arial"/>
          <w:szCs w:val="20"/>
        </w:rPr>
      </w:r>
      <w:r w:rsidR="00E94A8C">
        <w:rPr>
          <w:rFonts w:cs="Arial"/>
          <w:szCs w:val="20"/>
        </w:rPr>
        <w:fldChar w:fldCharType="end"/>
      </w:r>
      <w:r w:rsidRPr="00E94A8C">
        <w:rPr>
          <w:rFonts w:cs="Arial"/>
          <w:szCs w:val="20"/>
        </w:rPr>
      </w:r>
      <w:r w:rsidRPr="00E94A8C">
        <w:rPr>
          <w:rFonts w:cs="Arial"/>
          <w:szCs w:val="20"/>
        </w:rPr>
        <w:fldChar w:fldCharType="separate"/>
      </w:r>
      <w:r w:rsidR="00723060" w:rsidRPr="00E94A8C">
        <w:rPr>
          <w:rFonts w:cs="Arial"/>
          <w:noProof/>
          <w:szCs w:val="20"/>
        </w:rPr>
        <w:t>[1]</w:t>
      </w:r>
      <w:r w:rsidRPr="00E94A8C">
        <w:rPr>
          <w:rFonts w:cs="Arial"/>
          <w:szCs w:val="20"/>
        </w:rPr>
        <w:fldChar w:fldCharType="end"/>
      </w:r>
      <w:r w:rsidRPr="00E94A8C">
        <w:rPr>
          <w:rFonts w:cs="Arial"/>
          <w:szCs w:val="20"/>
        </w:rPr>
        <w:t xml:space="preserve"> exceeded 20%.</w:t>
      </w:r>
    </w:p>
    <w:p w14:paraId="24A87964" w14:textId="60148A9C" w:rsidR="00F474A2" w:rsidRPr="00E94A8C" w:rsidRDefault="00524FCB" w:rsidP="005F33FE">
      <w:pPr>
        <w:spacing w:line="276" w:lineRule="auto"/>
        <w:rPr>
          <w:rFonts w:ascii="Arial" w:hAnsi="Arial" w:cs="Arial"/>
          <w:szCs w:val="20"/>
        </w:rPr>
      </w:pPr>
      <w:r w:rsidRPr="00E94A8C">
        <w:rPr>
          <w:rFonts w:ascii="Arial" w:hAnsi="Arial" w:cs="Arial"/>
          <w:szCs w:val="20"/>
        </w:rPr>
        <w:t xml:space="preserve">When a diagnosis of breast cancer was required to meet any of these criteria, at least one breast cancer must have been pre-menopausal or, if menopausal status was unknown at time of diagnosis, then age at diagnosis was required to be </w:t>
      </w:r>
      <w:r w:rsidRPr="00E94A8C">
        <w:rPr>
          <w:rFonts w:ascii="Arial" w:hAnsi="Arial" w:cs="Arial"/>
        </w:rPr>
        <w:sym w:font="Symbol" w:char="F0A3"/>
      </w:r>
      <w:r w:rsidRPr="00E94A8C">
        <w:rPr>
          <w:rFonts w:ascii="Arial" w:hAnsi="Arial" w:cs="Arial"/>
          <w:szCs w:val="20"/>
        </w:rPr>
        <w:t xml:space="preserve"> 50 years.</w:t>
      </w:r>
    </w:p>
    <w:p w14:paraId="0F166C19" w14:textId="6A3DC45C" w:rsidR="00F14BCA" w:rsidRPr="00E94A8C" w:rsidRDefault="00F14BCA" w:rsidP="005F33FE">
      <w:pPr>
        <w:spacing w:line="276" w:lineRule="auto"/>
        <w:rPr>
          <w:rFonts w:ascii="Arial" w:hAnsi="Arial" w:cs="Arial"/>
          <w:szCs w:val="20"/>
        </w:rPr>
      </w:pPr>
    </w:p>
    <w:p w14:paraId="5EA2EFFC" w14:textId="254C3181" w:rsidR="00F14BCA" w:rsidRPr="00E94A8C" w:rsidRDefault="00F14BCA" w:rsidP="00F14BCA">
      <w:pPr>
        <w:spacing w:line="276" w:lineRule="auto"/>
        <w:rPr>
          <w:rFonts w:ascii="Arial" w:hAnsi="Arial" w:cs="Arial"/>
          <w:szCs w:val="20"/>
        </w:rPr>
      </w:pPr>
      <w:r w:rsidRPr="00E94A8C">
        <w:rPr>
          <w:rFonts w:ascii="Arial" w:hAnsi="Arial" w:cs="Arial"/>
          <w:szCs w:val="20"/>
        </w:rPr>
        <w:t xml:space="preserve">It has since become apparent that some of these women are now known to </w:t>
      </w:r>
      <w:r w:rsidRPr="00E94A8C">
        <w:rPr>
          <w:rFonts w:ascii="Arial" w:hAnsi="Arial" w:cs="Arial"/>
          <w:b/>
          <w:i/>
          <w:szCs w:val="20"/>
        </w:rPr>
        <w:t>not</w:t>
      </w:r>
      <w:r w:rsidRPr="00E94A8C">
        <w:rPr>
          <w:rFonts w:ascii="Arial" w:hAnsi="Arial" w:cs="Arial"/>
          <w:szCs w:val="20"/>
        </w:rPr>
        <w:t xml:space="preserve"> be at increased risk for ovarian cancer – </w:t>
      </w:r>
      <w:r w:rsidRPr="00E94A8C">
        <w:rPr>
          <w:rFonts w:ascii="Arial" w:hAnsi="Arial" w:cs="Arial"/>
          <w:i/>
          <w:szCs w:val="20"/>
        </w:rPr>
        <w:t>e.g.,</w:t>
      </w:r>
      <w:r w:rsidRPr="00E94A8C">
        <w:rPr>
          <w:rFonts w:ascii="Arial" w:hAnsi="Arial" w:cs="Arial"/>
          <w:szCs w:val="20"/>
        </w:rPr>
        <w:t xml:space="preserve"> women with a site-specific breast cancer family history whose families lack a deleterious </w:t>
      </w:r>
      <w:r w:rsidRPr="00E94A8C">
        <w:rPr>
          <w:rFonts w:ascii="Arial" w:hAnsi="Arial" w:cs="Arial"/>
          <w:i/>
          <w:szCs w:val="20"/>
        </w:rPr>
        <w:t>BRCA1/2</w:t>
      </w:r>
      <w:r w:rsidRPr="00E94A8C">
        <w:rPr>
          <w:rFonts w:ascii="Arial" w:hAnsi="Arial" w:cs="Arial"/>
          <w:szCs w:val="20"/>
        </w:rPr>
        <w:t xml:space="preserve"> mutation ([2] [3]), but they are nonetheless included in our analysis in line with the principle of “intention to treat.”</w:t>
      </w:r>
    </w:p>
    <w:p w14:paraId="6FC6A9A0" w14:textId="77777777" w:rsidR="00524FCB" w:rsidRPr="00E94A8C" w:rsidRDefault="00524FCB" w:rsidP="005F33FE">
      <w:pPr>
        <w:spacing w:line="276" w:lineRule="auto"/>
        <w:rPr>
          <w:rFonts w:ascii="Arial" w:hAnsi="Arial" w:cs="Arial"/>
          <w:szCs w:val="20"/>
        </w:rPr>
      </w:pPr>
    </w:p>
    <w:p w14:paraId="6E45C82B" w14:textId="079BDA57" w:rsidR="00F474A2" w:rsidRPr="00E94A8C" w:rsidRDefault="00F474A2" w:rsidP="005F33FE">
      <w:pPr>
        <w:spacing w:line="276" w:lineRule="auto"/>
        <w:rPr>
          <w:rFonts w:ascii="Arial" w:hAnsi="Arial" w:cs="Arial"/>
          <w:szCs w:val="20"/>
        </w:rPr>
      </w:pPr>
      <w:r w:rsidRPr="00E94A8C">
        <w:rPr>
          <w:rFonts w:ascii="Arial" w:hAnsi="Arial" w:cs="Arial"/>
          <w:szCs w:val="20"/>
        </w:rPr>
        <w:t>The subject was excluded</w:t>
      </w:r>
      <w:r w:rsidR="005D784E" w:rsidRPr="00E94A8C">
        <w:rPr>
          <w:rFonts w:ascii="Arial" w:hAnsi="Arial" w:cs="Arial"/>
          <w:szCs w:val="20"/>
        </w:rPr>
        <w:t xml:space="preserve"> from study participation</w:t>
      </w:r>
      <w:r w:rsidRPr="00E94A8C">
        <w:rPr>
          <w:rFonts w:ascii="Arial" w:hAnsi="Arial" w:cs="Arial"/>
          <w:szCs w:val="20"/>
        </w:rPr>
        <w:t xml:space="preserve"> if she:</w:t>
      </w:r>
    </w:p>
    <w:p w14:paraId="061D0778" w14:textId="77777777" w:rsidR="00F474A2" w:rsidRPr="00E94A8C" w:rsidRDefault="00F474A2" w:rsidP="005F33FE">
      <w:pPr>
        <w:pStyle w:val="ListParagraph"/>
        <w:numPr>
          <w:ilvl w:val="0"/>
          <w:numId w:val="1"/>
        </w:numPr>
        <w:spacing w:line="276" w:lineRule="auto"/>
        <w:rPr>
          <w:rFonts w:cs="Arial"/>
          <w:szCs w:val="20"/>
        </w:rPr>
      </w:pPr>
      <w:r w:rsidRPr="00E94A8C">
        <w:rPr>
          <w:rFonts w:cs="Arial"/>
          <w:szCs w:val="20"/>
        </w:rPr>
        <w:t>had a personal history of ovarian cancer, including low malignant potential cancers (LMP), or primary papillary serous carcinoma of the peritoneum; or</w:t>
      </w:r>
    </w:p>
    <w:p w14:paraId="22B44529" w14:textId="5A67AC07" w:rsidR="00F474A2" w:rsidRPr="00E94A8C" w:rsidRDefault="00F474A2" w:rsidP="005F33FE">
      <w:pPr>
        <w:pStyle w:val="ListParagraph"/>
        <w:numPr>
          <w:ilvl w:val="0"/>
          <w:numId w:val="1"/>
        </w:numPr>
        <w:spacing w:line="276" w:lineRule="auto"/>
        <w:rPr>
          <w:rFonts w:cs="Arial"/>
          <w:szCs w:val="20"/>
        </w:rPr>
      </w:pPr>
      <w:r w:rsidRPr="00E94A8C">
        <w:rPr>
          <w:rFonts w:cs="Arial"/>
          <w:szCs w:val="20"/>
        </w:rPr>
        <w:t>had a close relative with a</w:t>
      </w:r>
      <w:r w:rsidR="005D784E" w:rsidRPr="00E94A8C">
        <w:rPr>
          <w:rFonts w:cs="Arial"/>
          <w:szCs w:val="20"/>
        </w:rPr>
        <w:t xml:space="preserve"> deleterious</w:t>
      </w:r>
      <w:r w:rsidRPr="00E94A8C">
        <w:rPr>
          <w:rFonts w:cs="Arial"/>
          <w:szCs w:val="20"/>
        </w:rPr>
        <w:t xml:space="preserve"> </w:t>
      </w:r>
      <w:r w:rsidRPr="00E94A8C">
        <w:rPr>
          <w:rFonts w:cs="Arial"/>
          <w:i/>
          <w:szCs w:val="20"/>
        </w:rPr>
        <w:t>BRCA1/2</w:t>
      </w:r>
      <w:r w:rsidRPr="00E94A8C">
        <w:rPr>
          <w:rFonts w:cs="Arial"/>
          <w:szCs w:val="20"/>
        </w:rPr>
        <w:t xml:space="preserve"> mutation and the subject had tested </w:t>
      </w:r>
      <w:r w:rsidRPr="00E94A8C">
        <w:rPr>
          <w:rFonts w:cs="Arial"/>
          <w:i/>
          <w:szCs w:val="20"/>
        </w:rPr>
        <w:t>negative</w:t>
      </w:r>
      <w:r w:rsidRPr="00E94A8C">
        <w:rPr>
          <w:rFonts w:cs="Arial"/>
          <w:szCs w:val="20"/>
        </w:rPr>
        <w:t xml:space="preserve"> for the same mutation; or</w:t>
      </w:r>
    </w:p>
    <w:p w14:paraId="78CE0311" w14:textId="77777777" w:rsidR="00F474A2" w:rsidRPr="00E94A8C" w:rsidRDefault="00F474A2" w:rsidP="005F33FE">
      <w:pPr>
        <w:pStyle w:val="ListParagraph"/>
        <w:numPr>
          <w:ilvl w:val="0"/>
          <w:numId w:val="1"/>
        </w:numPr>
        <w:spacing w:line="276" w:lineRule="auto"/>
        <w:rPr>
          <w:rFonts w:cs="Arial"/>
          <w:szCs w:val="20"/>
        </w:rPr>
      </w:pPr>
      <w:r w:rsidRPr="00E94A8C">
        <w:rPr>
          <w:rFonts w:cs="Arial"/>
          <w:szCs w:val="20"/>
        </w:rPr>
        <w:t>was less than 30 years of age; or</w:t>
      </w:r>
    </w:p>
    <w:p w14:paraId="1258A6D4" w14:textId="77777777" w:rsidR="00F474A2" w:rsidRPr="00E94A8C" w:rsidRDefault="00F474A2" w:rsidP="005F33FE">
      <w:pPr>
        <w:pStyle w:val="ListParagraph"/>
        <w:numPr>
          <w:ilvl w:val="0"/>
          <w:numId w:val="1"/>
        </w:numPr>
        <w:spacing w:line="276" w:lineRule="auto"/>
        <w:rPr>
          <w:rFonts w:cs="Arial"/>
          <w:szCs w:val="20"/>
        </w:rPr>
      </w:pPr>
      <w:r w:rsidRPr="00E94A8C">
        <w:rPr>
          <w:rFonts w:cs="Arial"/>
          <w:szCs w:val="20"/>
        </w:rPr>
        <w:t xml:space="preserve">was currently pregnant or anticipating pregnancy during the study; or </w:t>
      </w:r>
    </w:p>
    <w:p w14:paraId="6E04CC09" w14:textId="77777777" w:rsidR="00F474A2" w:rsidRPr="00E94A8C" w:rsidRDefault="00F474A2" w:rsidP="005F33FE">
      <w:pPr>
        <w:pStyle w:val="ListParagraph"/>
        <w:numPr>
          <w:ilvl w:val="0"/>
          <w:numId w:val="1"/>
        </w:numPr>
        <w:spacing w:line="276" w:lineRule="auto"/>
        <w:rPr>
          <w:rFonts w:cs="Arial"/>
          <w:szCs w:val="20"/>
        </w:rPr>
      </w:pPr>
      <w:r w:rsidRPr="00E94A8C">
        <w:rPr>
          <w:rFonts w:cs="Arial"/>
          <w:szCs w:val="20"/>
        </w:rPr>
        <w:t>was participating in other ovarian cancer early detection trials; or</w:t>
      </w:r>
    </w:p>
    <w:p w14:paraId="491457E0" w14:textId="77777777" w:rsidR="00F474A2" w:rsidRPr="00E94A8C" w:rsidRDefault="00F474A2" w:rsidP="005F33FE">
      <w:pPr>
        <w:pStyle w:val="ListParagraph"/>
        <w:numPr>
          <w:ilvl w:val="0"/>
          <w:numId w:val="1"/>
        </w:numPr>
        <w:spacing w:line="276" w:lineRule="auto"/>
        <w:rPr>
          <w:rFonts w:cs="Arial"/>
          <w:szCs w:val="20"/>
        </w:rPr>
      </w:pPr>
      <w:r w:rsidRPr="00E94A8C">
        <w:rPr>
          <w:rFonts w:cs="Arial"/>
          <w:szCs w:val="20"/>
        </w:rPr>
        <w:t>had a current active malignancy (other than non-melanoma skin cancer); or</w:t>
      </w:r>
    </w:p>
    <w:p w14:paraId="2C7C07B7" w14:textId="77777777" w:rsidR="00F474A2" w:rsidRPr="00E94A8C" w:rsidRDefault="00F474A2" w:rsidP="005F33FE">
      <w:pPr>
        <w:pStyle w:val="ListParagraph"/>
        <w:numPr>
          <w:ilvl w:val="0"/>
          <w:numId w:val="1"/>
        </w:numPr>
        <w:spacing w:line="276" w:lineRule="auto"/>
        <w:rPr>
          <w:rFonts w:cs="Arial"/>
          <w:szCs w:val="20"/>
        </w:rPr>
      </w:pPr>
      <w:r w:rsidRPr="00E94A8C">
        <w:rPr>
          <w:rFonts w:cs="Arial"/>
          <w:szCs w:val="20"/>
        </w:rPr>
        <w:t>had been treated for metastatic malignancy within the prior five years (excluding hormonal therapies); or</w:t>
      </w:r>
    </w:p>
    <w:p w14:paraId="2D40BB11" w14:textId="77777777" w:rsidR="00F474A2" w:rsidRPr="00E94A8C" w:rsidRDefault="00F474A2" w:rsidP="005F33FE">
      <w:pPr>
        <w:pStyle w:val="ListParagraph"/>
        <w:numPr>
          <w:ilvl w:val="0"/>
          <w:numId w:val="1"/>
        </w:numPr>
        <w:spacing w:line="276" w:lineRule="auto"/>
        <w:rPr>
          <w:rFonts w:cs="Arial"/>
          <w:szCs w:val="20"/>
        </w:rPr>
      </w:pPr>
      <w:r w:rsidRPr="00E94A8C">
        <w:rPr>
          <w:rFonts w:cs="Arial"/>
          <w:szCs w:val="20"/>
        </w:rPr>
        <w:t>had undergone intra-peritoneal surgery within the prior 3 months (laparoscopy or laparotomy); or</w:t>
      </w:r>
    </w:p>
    <w:p w14:paraId="27554EDF" w14:textId="77777777" w:rsidR="00F474A2" w:rsidRPr="00E94A8C" w:rsidRDefault="00F474A2" w:rsidP="005F33FE">
      <w:pPr>
        <w:pStyle w:val="ListParagraph"/>
        <w:numPr>
          <w:ilvl w:val="0"/>
          <w:numId w:val="1"/>
        </w:numPr>
        <w:spacing w:line="276" w:lineRule="auto"/>
        <w:rPr>
          <w:rFonts w:cs="Arial"/>
          <w:szCs w:val="20"/>
        </w:rPr>
      </w:pPr>
      <w:r w:rsidRPr="00E94A8C">
        <w:rPr>
          <w:rFonts w:cs="Arial"/>
          <w:szCs w:val="20"/>
        </w:rPr>
        <w:t>had a history of any medical conditions that would place the subject at risk related to phlebotomy, including but not limited to hemophilia or other bleeding disorders, chronic infectious disease, emphysema or serious anemia.</w:t>
      </w:r>
    </w:p>
    <w:p w14:paraId="0EBF96BC" w14:textId="6642F374" w:rsidR="00F474A2" w:rsidRPr="00E94A8C" w:rsidRDefault="00F474A2" w:rsidP="005F33FE">
      <w:pPr>
        <w:spacing w:line="276" w:lineRule="auto"/>
        <w:rPr>
          <w:rFonts w:ascii="Arial" w:hAnsi="Arial" w:cs="Arial"/>
          <w:szCs w:val="20"/>
        </w:rPr>
      </w:pPr>
      <w:r w:rsidRPr="00E94A8C">
        <w:rPr>
          <w:rFonts w:ascii="Arial" w:hAnsi="Arial" w:cs="Arial"/>
          <w:b/>
          <w:i/>
          <w:szCs w:val="20"/>
        </w:rPr>
        <w:t>Women who had</w:t>
      </w:r>
      <w:r w:rsidR="00F14BCA" w:rsidRPr="00E94A8C">
        <w:rPr>
          <w:rFonts w:ascii="Arial" w:hAnsi="Arial" w:cs="Arial"/>
          <w:b/>
          <w:i/>
          <w:szCs w:val="20"/>
        </w:rPr>
        <w:t xml:space="preserve"> clinical</w:t>
      </w:r>
      <w:r w:rsidRPr="00E94A8C">
        <w:rPr>
          <w:rFonts w:ascii="Arial" w:hAnsi="Arial" w:cs="Arial"/>
          <w:b/>
          <w:i/>
          <w:szCs w:val="20"/>
        </w:rPr>
        <w:t xml:space="preserve"> symptoms suggestive of ovarian cancer were also excluded</w:t>
      </w:r>
      <w:r w:rsidRPr="00E94A8C">
        <w:rPr>
          <w:rFonts w:ascii="Arial" w:hAnsi="Arial" w:cs="Arial"/>
          <w:szCs w:val="20"/>
        </w:rPr>
        <w:t xml:space="preserve">. </w:t>
      </w:r>
    </w:p>
    <w:p w14:paraId="670655FA" w14:textId="77777777" w:rsidR="00F474A2" w:rsidRDefault="00F474A2" w:rsidP="005F33FE">
      <w:pPr>
        <w:spacing w:line="276" w:lineRule="auto"/>
        <w:rPr>
          <w:rFonts w:ascii="Arial" w:hAnsi="Arial" w:cs="Arial"/>
        </w:rPr>
      </w:pPr>
    </w:p>
    <w:p w14:paraId="5F924CD7" w14:textId="77777777" w:rsidR="006D22DA" w:rsidRPr="00E94A8C" w:rsidRDefault="006D22DA" w:rsidP="005F33FE">
      <w:pPr>
        <w:spacing w:line="276" w:lineRule="auto"/>
        <w:rPr>
          <w:rFonts w:ascii="Arial" w:hAnsi="Arial" w:cs="Arial"/>
        </w:rPr>
      </w:pPr>
    </w:p>
    <w:p w14:paraId="791D540C" w14:textId="7202FBA2" w:rsidR="001426D0" w:rsidRPr="00E94A8C" w:rsidRDefault="005C3D86" w:rsidP="005F33FE">
      <w:pPr>
        <w:spacing w:line="276" w:lineRule="auto"/>
        <w:rPr>
          <w:rFonts w:ascii="Arial" w:hAnsi="Arial" w:cs="Arial"/>
          <w:b/>
          <w:u w:val="single"/>
        </w:rPr>
      </w:pPr>
      <w:r w:rsidRPr="00E94A8C">
        <w:rPr>
          <w:rFonts w:ascii="Arial" w:hAnsi="Arial" w:cs="Arial"/>
          <w:b/>
          <w:u w:val="single"/>
        </w:rPr>
        <w:lastRenderedPageBreak/>
        <w:t>ROCA Methods</w:t>
      </w:r>
    </w:p>
    <w:p w14:paraId="328DC815" w14:textId="77777777" w:rsidR="002D5FCB" w:rsidRPr="00E94A8C" w:rsidRDefault="002D5FCB" w:rsidP="005F33FE">
      <w:pPr>
        <w:spacing w:line="276" w:lineRule="auto"/>
        <w:rPr>
          <w:rFonts w:ascii="Arial" w:hAnsi="Arial" w:cs="Arial"/>
        </w:rPr>
      </w:pPr>
    </w:p>
    <w:p w14:paraId="04418D2C" w14:textId="2C58A3D7" w:rsidR="002D5FCB" w:rsidRPr="00E94A8C" w:rsidRDefault="002D5FCB" w:rsidP="005F33FE">
      <w:pPr>
        <w:spacing w:line="276" w:lineRule="auto"/>
        <w:rPr>
          <w:rFonts w:ascii="Arial" w:hAnsi="Arial" w:cs="Arial"/>
        </w:rPr>
      </w:pPr>
      <w:r w:rsidRPr="00E94A8C">
        <w:rPr>
          <w:rFonts w:ascii="Arial" w:hAnsi="Arial" w:cs="Arial"/>
        </w:rPr>
        <w:t xml:space="preserve">ROCA builds on statistical models that incorporate a doubling time for each tumor and an individual CA125 baseline for each woman. </w:t>
      </w:r>
      <w:r w:rsidRPr="00E94A8C">
        <w:rPr>
          <w:rFonts w:ascii="Arial" w:hAnsi="Arial" w:cs="Arial"/>
        </w:rPr>
        <w:fldChar w:fldCharType="begin"/>
      </w:r>
      <w:r w:rsidR="00E94A8C">
        <w:rPr>
          <w:rFonts w:ascii="Arial" w:hAnsi="Arial" w:cs="Arial"/>
        </w:rPr>
        <w:instrText xml:space="preserve"> ADDIN EN.CITE &lt;EndNote&gt;&lt;Cite&gt;&lt;Author&gt;Skates&lt;/Author&gt;&lt;Year&gt;2001&lt;/Year&gt;&lt;RecNum&gt;17&lt;/RecNum&gt;&lt;DisplayText&gt;[2]&lt;/DisplayText&gt;&lt;record&gt;&lt;rec-number&gt;17&lt;/rec-number&gt;&lt;foreign-keys&gt;&lt;key app="EN" db-id="z0xe0ewxp2wrt4epswzx22p6wzzx5zvrez9e" timestamp="1386736523"&gt;17&lt;/key&gt;&lt;/foreign-keys&gt;&lt;ref-type name="Journal Article"&gt;17&lt;/ref-type&gt;&lt;contributors&gt;&lt;authors&gt;&lt;author&gt;Skates, S. J.&lt;/author&gt;&lt;author&gt;Pauler, D. K.&lt;/author&gt;&lt;author&gt;Jacobs, I. J.&lt;/author&gt;&lt;/authors&gt;&lt;/contributors&gt;&lt;titles&gt;&lt;title&gt;Screening Based on the Risk of Cancer Calculation From Bayesian Hierarchical Changepoint and Mixture Models of Longitudinal Markers&lt;/title&gt;&lt;secondary-title&gt;Journal of the American Statistical Association&lt;/secondary-title&gt;&lt;/titles&gt;&lt;periodical&gt;&lt;full-title&gt;Journal of the American Statistical Association&lt;/full-title&gt;&lt;/periodical&gt;&lt;pages&gt;429-439&lt;/pages&gt;&lt;volume&gt;96&lt;/volume&gt;&lt;number&gt;454&lt;/number&gt;&lt;dates&gt;&lt;year&gt;2001&lt;/year&gt;&lt;pub-dates&gt;&lt;date&gt;June 2001&lt;/date&gt;&lt;/pub-dates&gt;&lt;/dates&gt;&lt;urls&gt;&lt;/urls&gt;&lt;/record&gt;&lt;/Cite&gt;&lt;/EndNote&gt;</w:instrText>
      </w:r>
      <w:r w:rsidRPr="00E94A8C">
        <w:rPr>
          <w:rFonts w:ascii="Arial" w:hAnsi="Arial" w:cs="Arial"/>
        </w:rPr>
        <w:fldChar w:fldCharType="separate"/>
      </w:r>
      <w:r w:rsidR="00E94A8C">
        <w:rPr>
          <w:rFonts w:ascii="Arial" w:hAnsi="Arial" w:cs="Arial"/>
          <w:noProof/>
        </w:rPr>
        <w:t>[2]</w:t>
      </w:r>
      <w:r w:rsidRPr="00E94A8C">
        <w:rPr>
          <w:rFonts w:ascii="Arial" w:hAnsi="Arial" w:cs="Arial"/>
        </w:rPr>
        <w:fldChar w:fldCharType="end"/>
      </w:r>
      <w:r w:rsidRPr="00E94A8C">
        <w:rPr>
          <w:rFonts w:ascii="Arial" w:hAnsi="Arial" w:cs="Arial"/>
        </w:rPr>
        <w:t xml:space="preserve"> </w:t>
      </w:r>
      <w:r w:rsidR="006D22DA">
        <w:rPr>
          <w:rFonts w:ascii="Arial" w:hAnsi="Arial" w:cs="Arial"/>
        </w:rPr>
        <w:t xml:space="preserve">The baseline is the expected value of CA125 (after natural log transformation) prior to the change-point. The doubling time </w:t>
      </w:r>
      <w:r w:rsidR="006D22DA" w:rsidRPr="008557C0">
        <w:rPr>
          <w:rFonts w:ascii="Arial" w:hAnsi="Arial" w:cs="Arial"/>
          <w:i/>
        </w:rPr>
        <w:t>D</w:t>
      </w:r>
      <w:r w:rsidR="006D22DA">
        <w:rPr>
          <w:rFonts w:ascii="Arial" w:hAnsi="Arial" w:cs="Arial"/>
        </w:rPr>
        <w:t xml:space="preserve"> is related to the slope </w:t>
      </w:r>
      <w:r w:rsidR="006D22DA">
        <w:rPr>
          <w:rFonts w:ascii="Arial" w:hAnsi="Arial" w:cs="Arial"/>
          <w:i/>
        </w:rPr>
        <w:t>s</w:t>
      </w:r>
      <w:r w:rsidR="006D22DA">
        <w:rPr>
          <w:rFonts w:ascii="Arial" w:hAnsi="Arial" w:cs="Arial"/>
        </w:rPr>
        <w:t xml:space="preserve"> of the linear increase of log(CA125) after the change-point by </w:t>
      </w:r>
      <w:r w:rsidR="006D22DA" w:rsidRPr="008557C0">
        <w:rPr>
          <w:rFonts w:ascii="Arial" w:hAnsi="Arial" w:cs="Arial"/>
          <w:i/>
        </w:rPr>
        <w:t xml:space="preserve">D = </w:t>
      </w:r>
      <w:r w:rsidR="006D22DA">
        <w:rPr>
          <w:rFonts w:ascii="Arial" w:hAnsi="Arial" w:cs="Arial"/>
        </w:rPr>
        <w:t>log(</w:t>
      </w:r>
      <w:r w:rsidR="006D22DA" w:rsidRPr="006D22DA">
        <w:rPr>
          <w:rFonts w:ascii="Arial" w:hAnsi="Arial" w:cs="Arial"/>
        </w:rPr>
        <w:t>2</w:t>
      </w:r>
      <w:r w:rsidR="006D22DA">
        <w:rPr>
          <w:rFonts w:ascii="Arial" w:hAnsi="Arial" w:cs="Arial"/>
        </w:rPr>
        <w:t>)</w:t>
      </w:r>
      <w:r w:rsidR="006D22DA" w:rsidRPr="008557C0">
        <w:rPr>
          <w:rFonts w:ascii="Arial" w:hAnsi="Arial" w:cs="Arial"/>
          <w:i/>
        </w:rPr>
        <w:t>/s</w:t>
      </w:r>
      <w:r w:rsidR="006D22DA">
        <w:rPr>
          <w:rFonts w:ascii="Arial" w:hAnsi="Arial" w:cs="Arial"/>
        </w:rPr>
        <w:t xml:space="preserve">. </w:t>
      </w:r>
      <w:r w:rsidRPr="00E94A8C">
        <w:rPr>
          <w:rFonts w:ascii="Arial" w:hAnsi="Arial" w:cs="Arial"/>
        </w:rPr>
        <w:t>To calculate the probability of a change-point given one or more CA125 values</w:t>
      </w:r>
      <w:r w:rsidR="00F14BCA" w:rsidRPr="00E94A8C">
        <w:rPr>
          <w:rFonts w:ascii="Arial" w:hAnsi="Arial" w:cs="Arial"/>
        </w:rPr>
        <w:t xml:space="preserve"> we utilized</w:t>
      </w:r>
      <w:r w:rsidRPr="00E94A8C">
        <w:rPr>
          <w:rFonts w:ascii="Arial" w:hAnsi="Arial" w:cs="Arial"/>
        </w:rPr>
        <w:t xml:space="preserve"> statistical modeling of serial CA125 data from previous screening studies. </w:t>
      </w:r>
      <w:r w:rsidRPr="00E94A8C">
        <w:rPr>
          <w:rFonts w:ascii="Arial" w:hAnsi="Arial" w:cs="Arial"/>
        </w:rPr>
        <w:fldChar w:fldCharType="begin"/>
      </w:r>
      <w:r w:rsidR="00E94A8C">
        <w:rPr>
          <w:rFonts w:ascii="Arial" w:hAnsi="Arial" w:cs="Arial"/>
        </w:rPr>
        <w:instrText xml:space="preserve"> ADDIN EN.CITE &lt;EndNote&gt;&lt;Cite&gt;&lt;Author&gt;Jacobs&lt;/Author&gt;&lt;Year&gt;1988&lt;/Year&gt;&lt;RecNum&gt;2260&lt;/RecNum&gt;&lt;DisplayText&gt;[3]&lt;/DisplayText&gt;&lt;record&gt;&lt;rec-number&gt;2260&lt;/rec-number&gt;&lt;foreign-keys&gt;&lt;key app="EN" db-id="xd5s2zeaqrw9adestptxpwdbtxsref9dw22x" timestamp="0"&gt;2260&lt;/key&gt;&lt;/foreign-keys&gt;&lt;ref-type name="Journal Article"&gt;17&lt;/ref-type&gt;&lt;contributors&gt;&lt;authors&gt;&lt;author&gt;Jacobs, I.&lt;/author&gt;&lt;author&gt;Stabile, I.&lt;/author&gt;&lt;author&gt;Bridges, J.&lt;/author&gt;&lt;author&gt;Kemsley, P.&lt;/author&gt;&lt;author&gt;Reynolds, C.&lt;/author&gt;&lt;author&gt;Grudzinskas, J.&lt;/author&gt;&lt;author&gt;Oram, D.&lt;/author&gt;&lt;/authors&gt;&lt;/contributors&gt;&lt;titles&gt;&lt;title&gt;Multimodal approach to screening for ovarian cancer&lt;/title&gt;&lt;secondary-title&gt;Lancet&lt;/secondary-title&gt;&lt;/titles&gt;&lt;periodical&gt;&lt;full-title&gt;Lancet&lt;/full-title&gt;&lt;/periodical&gt;&lt;pages&gt;268-71&lt;/pages&gt;&lt;volume&gt;1&lt;/volume&gt;&lt;number&gt;8580&lt;/number&gt;&lt;keywords&gt;&lt;keyword&gt;Aged&lt;/keyword&gt;&lt;keyword&gt;Aged, 80 and over&lt;/keyword&gt;&lt;keyword&gt;Antigens, Neoplasm/blood&lt;/keyword&gt;&lt;keyword&gt;Female&lt;/keyword&gt;&lt;keyword&gt;Human&lt;/keyword&gt;&lt;keyword&gt;Middle Age&lt;/keyword&gt;&lt;keyword&gt;Ovarian Neoplasms/blood/*diagnosis&lt;/keyword&gt;&lt;keyword&gt;Support, Non-U.S. Gov&amp;apos;t&lt;/keyword&gt;&lt;keyword&gt;Ultrasonography&lt;/keyword&gt;&lt;keyword&gt;Vagina/pathology&lt;/keyword&gt;&lt;/keywords&gt;&lt;dates&gt;&lt;year&gt;1988&lt;/year&gt;&lt;/dates&gt;&lt;label&gt;88120770&lt;/label&gt;&lt;urls&gt;&lt;/urls&gt;&lt;/record&gt;&lt;/Cite&gt;&lt;/EndNote&gt;</w:instrText>
      </w:r>
      <w:r w:rsidRPr="00E94A8C">
        <w:rPr>
          <w:rFonts w:ascii="Arial" w:hAnsi="Arial" w:cs="Arial"/>
        </w:rPr>
        <w:fldChar w:fldCharType="separate"/>
      </w:r>
      <w:r w:rsidR="00E94A8C">
        <w:rPr>
          <w:rFonts w:ascii="Arial" w:hAnsi="Arial" w:cs="Arial"/>
          <w:noProof/>
        </w:rPr>
        <w:t>[3]</w:t>
      </w:r>
      <w:r w:rsidRPr="00E94A8C">
        <w:rPr>
          <w:rFonts w:ascii="Arial" w:hAnsi="Arial" w:cs="Arial"/>
        </w:rPr>
        <w:fldChar w:fldCharType="end"/>
      </w:r>
      <w:r w:rsidRPr="00E94A8C">
        <w:rPr>
          <w:rFonts w:ascii="Arial" w:hAnsi="Arial" w:cs="Arial"/>
        </w:rPr>
        <w:t xml:space="preserve"> </w:t>
      </w:r>
      <w:r w:rsidRPr="00E94A8C">
        <w:rPr>
          <w:rFonts w:ascii="Arial" w:hAnsi="Arial" w:cs="Arial"/>
        </w:rPr>
        <w:fldChar w:fldCharType="begin"/>
      </w:r>
      <w:r w:rsidR="00E94A8C">
        <w:rPr>
          <w:rFonts w:ascii="Arial" w:hAnsi="Arial" w:cs="Arial"/>
        </w:rPr>
        <w:instrText xml:space="preserve"> ADDIN EN.CITE &lt;EndNote&gt;&lt;Cite&gt;&lt;Author&gt;Einhorn&lt;/Author&gt;&lt;Year&gt;1992&lt;/Year&gt;&lt;RecNum&gt;3867&lt;/RecNum&gt;&lt;DisplayText&gt;[4]&lt;/DisplayText&gt;&lt;record&gt;&lt;rec-number&gt;3867&lt;/rec-number&gt;&lt;foreign-keys&gt;&lt;key app="EN" db-id="xd5s2zeaqrw9adestptxpwdbtxsref9dw22x" timestamp="0"&gt;3867&lt;/key&gt;&lt;/foreign-keys&gt;&lt;ref-type name="Journal Article"&gt;17&lt;/ref-type&gt;&lt;contributors&gt;&lt;authors&gt;&lt;author&gt;Einhorn, N.&lt;/author&gt;&lt;author&gt;Sjovall, K.&lt;/author&gt;&lt;author&gt;Knapp, R. C.&lt;/author&gt;&lt;author&gt;Hall, P.&lt;/author&gt;&lt;author&gt;Scully, R. E.&lt;/author&gt;&lt;author&gt;Bast, R. C., Jr.&lt;/author&gt;&lt;author&gt;Zurawski, V. R., Jr.&lt;/author&gt;&lt;/authors&gt;&lt;/contributors&gt;&lt;auth-address&gt;Department of Gynecological Oncology, Karolinska Hospital, Stockholm, Sweden.&lt;/auth-address&gt;&lt;titles&gt;&lt;title&gt;Prospective evaluation of serum CA 125 levels for early detection of ovarian cancer&lt;/title&gt;&lt;secondary-title&gt;Obstet Gynecol&lt;/secondary-title&gt;&lt;/titles&gt;&lt;periodical&gt;&lt;full-title&gt;Obstet Gynecol&lt;/full-title&gt;&lt;/periodical&gt;&lt;pages&gt;14-8&lt;/pages&gt;&lt;volume&gt;80&lt;/volume&gt;&lt;number&gt;1&lt;/number&gt;&lt;keywords&gt;&lt;keyword&gt;Adult&lt;/keyword&gt;&lt;keyword&gt;Aged&lt;/keyword&gt;&lt;keyword&gt;Aged, 80 and over&lt;/keyword&gt;&lt;keyword&gt;Antigens, Tumor-Associated, Carbohydrate/*blood&lt;/keyword&gt;&lt;keyword&gt;Female&lt;/keyword&gt;&lt;keyword&gt;Human&lt;/keyword&gt;&lt;keyword&gt;Middle Age&lt;/keyword&gt;&lt;keyword&gt;Ovarian Neoplasms/*blood/diagnosis&lt;/keyword&gt;&lt;keyword&gt;Prospective Studies&lt;/keyword&gt;&lt;keyword&gt;Sensitivity and Specificity&lt;/keyword&gt;&lt;keyword&gt;Support, Non-U.S. Gov&amp;apos;t&lt;/keyword&gt;&lt;keyword&gt;Support, U.S. Gov&amp;apos;t, P.H.S.&lt;/keyword&gt;&lt;keyword&gt;Time Factors&lt;/keyword&gt;&lt;/keywords&gt;&lt;dates&gt;&lt;year&gt;1992&lt;/year&gt;&lt;pub-dates&gt;&lt;date&gt;Jul&lt;/date&gt;&lt;/pub-dates&gt;&lt;/dates&gt;&lt;accession-num&gt;1603484&lt;/accession-num&gt;&lt;urls&gt;&lt;related-urls&gt;&lt;url&gt;http://www.ncbi.nlm.nih.gov/entrez/query.fcgi?cmd=Retrieve&amp;amp;db=PubMed&amp;amp;dopt=Citation&amp;amp;list_uids=1603484&lt;/url&gt;&lt;/related-urls&gt;&lt;/urls&gt;&lt;/record&gt;&lt;/Cite&gt;&lt;/EndNote&gt;</w:instrText>
      </w:r>
      <w:r w:rsidRPr="00E94A8C">
        <w:rPr>
          <w:rFonts w:ascii="Arial" w:hAnsi="Arial" w:cs="Arial"/>
        </w:rPr>
        <w:fldChar w:fldCharType="separate"/>
      </w:r>
      <w:r w:rsidR="00E94A8C">
        <w:rPr>
          <w:rFonts w:ascii="Arial" w:hAnsi="Arial" w:cs="Arial"/>
          <w:noProof/>
        </w:rPr>
        <w:t>[4]</w:t>
      </w:r>
      <w:r w:rsidRPr="00E94A8C">
        <w:rPr>
          <w:rFonts w:ascii="Arial" w:hAnsi="Arial" w:cs="Arial"/>
        </w:rPr>
        <w:fldChar w:fldCharType="end"/>
      </w:r>
      <w:r w:rsidRPr="00E94A8C">
        <w:rPr>
          <w:rFonts w:ascii="Arial" w:hAnsi="Arial" w:cs="Arial"/>
        </w:rPr>
        <w:t xml:space="preserve"> </w:t>
      </w:r>
      <w:r w:rsidRPr="00E94A8C">
        <w:rPr>
          <w:rFonts w:ascii="Arial" w:hAnsi="Arial" w:cs="Arial"/>
        </w:rPr>
        <w:fldChar w:fldCharType="begin"/>
      </w:r>
      <w:r w:rsidR="00E94A8C">
        <w:rPr>
          <w:rFonts w:ascii="Arial" w:hAnsi="Arial" w:cs="Arial"/>
        </w:rPr>
        <w:instrText xml:space="preserve"> ADDIN EN.CITE &lt;EndNote&gt;&lt;Cite&gt;&lt;Author&gt;Jacobs&lt;/Author&gt;&lt;Year&gt;1999&lt;/Year&gt;&lt;RecNum&gt;3275&lt;/RecNum&gt;&lt;DisplayText&gt;[5]&lt;/DisplayText&gt;&lt;record&gt;&lt;rec-number&gt;3275&lt;/rec-number&gt;&lt;foreign-keys&gt;&lt;key app="EN" db-id="xd5s2zeaqrw9adestptxpwdbtxsref9dw22x" timestamp="0"&gt;3275&lt;/key&gt;&lt;/foreign-keys&gt;&lt;ref-type name="Journal Article"&gt;17&lt;/ref-type&gt;&lt;contributors&gt;&lt;authors&gt;&lt;author&gt;Jacobs, I. J.&lt;/author&gt;&lt;author&gt;Skates, S. J.&lt;/author&gt;&lt;author&gt;MacDonald, N.&lt;/author&gt;&lt;author&gt;Menon, U.&lt;/author&gt;&lt;author&gt;Rosenthal, A. N.&lt;/author&gt;&lt;author&gt;Davies, A. P.&lt;/author&gt;&lt;author&gt;Woolas, R.&lt;/author&gt;&lt;author&gt;Jeyarajah, A. R.&lt;/author&gt;&lt;author&gt;Sibley, K.&lt;/author&gt;&lt;author&gt;Lowe, D. G.&lt;/author&gt;&lt;author&gt;Oram, D. H.&lt;/author&gt;&lt;/authors&gt;&lt;/contributors&gt;&lt;titles&gt;&lt;title&gt;Screening for ovarian cancer: a pilot randomised controlled trial&lt;/title&gt;&lt;secondary-title&gt;Lancet&lt;/secondary-title&gt;&lt;/titles&gt;&lt;periodical&gt;&lt;full-title&gt;Lancet&lt;/full-title&gt;&lt;/periodical&gt;&lt;pages&gt;1207-10&lt;/pages&gt;&lt;volume&gt;353&lt;/volume&gt;&lt;number&gt;9160&lt;/number&gt;&lt;keywords&gt;&lt;keyword&gt;CA-125 Antigen/*blood&lt;/keyword&gt;&lt;keyword&gt;False Positive Reactions&lt;/keyword&gt;&lt;keyword&gt;Female&lt;/keyword&gt;&lt;keyword&gt;Great Britain&lt;/keyword&gt;&lt;keyword&gt;Human&lt;/keyword&gt;&lt;keyword&gt;Mass Screening/methods&lt;/keyword&gt;&lt;keyword&gt;Middle Age&lt;/keyword&gt;&lt;keyword&gt;Ovarian Neoplasms/blood/*diagnosis/mortality/ultrasonography&lt;/keyword&gt;&lt;keyword&gt;Pilot Projects&lt;/keyword&gt;&lt;keyword&gt;Postmenopause&lt;/keyword&gt;&lt;keyword&gt;Support, Non-U.S. Gov&amp;apos;t&lt;/keyword&gt;&lt;keyword&gt;Support, U.S. Gov&amp;apos;t, P.H.S.&lt;/keyword&gt;&lt;keyword&gt;Survival Rate&lt;/keyword&gt;&lt;/keywords&gt;&lt;dates&gt;&lt;year&gt;1999&lt;/year&gt;&lt;/dates&gt;&lt;label&gt;99231431&lt;/label&gt;&lt;urls&gt;&lt;/urls&gt;&lt;/record&gt;&lt;/Cite&gt;&lt;/EndNote&gt;</w:instrText>
      </w:r>
      <w:r w:rsidRPr="00E94A8C">
        <w:rPr>
          <w:rFonts w:ascii="Arial" w:hAnsi="Arial" w:cs="Arial"/>
        </w:rPr>
        <w:fldChar w:fldCharType="separate"/>
      </w:r>
      <w:r w:rsidR="00E94A8C">
        <w:rPr>
          <w:rFonts w:ascii="Arial" w:hAnsi="Arial" w:cs="Arial"/>
          <w:noProof/>
        </w:rPr>
        <w:t>[5]</w:t>
      </w:r>
      <w:r w:rsidRPr="00E94A8C">
        <w:rPr>
          <w:rFonts w:ascii="Arial" w:hAnsi="Arial" w:cs="Arial"/>
        </w:rPr>
        <w:fldChar w:fldCharType="end"/>
      </w:r>
      <w:r w:rsidRPr="00E94A8C">
        <w:rPr>
          <w:rFonts w:ascii="Arial" w:hAnsi="Arial" w:cs="Arial"/>
        </w:rPr>
        <w:t xml:space="preserve"> This modeling estimated the distribution of rate of CA125 increase following a change-point in women diagnosed with ovarian cancer while on study, the distribution of the baseline CA125 level, and the natural variation in CA125 over time in women who were </w:t>
      </w:r>
      <w:r w:rsidRPr="00E94A8C">
        <w:rPr>
          <w:rFonts w:ascii="Arial" w:hAnsi="Arial" w:cs="Arial"/>
          <w:i/>
        </w:rPr>
        <w:t>not</w:t>
      </w:r>
      <w:r w:rsidRPr="00E94A8C">
        <w:rPr>
          <w:rFonts w:ascii="Arial" w:hAnsi="Arial" w:cs="Arial"/>
        </w:rPr>
        <w:t xml:space="preserve"> diagnosed with ovarian cancer during each study. The age-specific ovarian cancer incidence rates</w:t>
      </w:r>
      <w:r w:rsidR="007B2000" w:rsidRPr="00E94A8C">
        <w:rPr>
          <w:rFonts w:ascii="Arial" w:hAnsi="Arial" w:cs="Arial"/>
        </w:rPr>
        <w:t xml:space="preserve"> for all females</w:t>
      </w:r>
      <w:r w:rsidRPr="00E94A8C">
        <w:rPr>
          <w:rFonts w:ascii="Arial" w:hAnsi="Arial" w:cs="Arial"/>
        </w:rPr>
        <w:t xml:space="preserve"> were obtained from US SEER tumor registries. For each woman, the initial odds based on the incidence rate for her age was updated with the odds ratio that her serial CA125 values represented a change-point </w:t>
      </w:r>
      <w:r w:rsidRPr="00E94A8C">
        <w:rPr>
          <w:rFonts w:ascii="Arial" w:hAnsi="Arial" w:cs="Arial"/>
          <w:i/>
        </w:rPr>
        <w:t>versus</w:t>
      </w:r>
      <w:r w:rsidRPr="00E94A8C">
        <w:rPr>
          <w:rFonts w:ascii="Arial" w:hAnsi="Arial" w:cs="Arial"/>
        </w:rPr>
        <w:t xml:space="preserve"> a flat profile.</w:t>
      </w:r>
    </w:p>
    <w:p w14:paraId="61D185A8" w14:textId="77777777" w:rsidR="002D5FCB" w:rsidRPr="00E94A8C" w:rsidRDefault="002D5FCB" w:rsidP="005F33FE">
      <w:pPr>
        <w:spacing w:line="276" w:lineRule="auto"/>
        <w:rPr>
          <w:rFonts w:ascii="Arial" w:hAnsi="Arial" w:cs="Arial"/>
        </w:rPr>
      </w:pPr>
    </w:p>
    <w:p w14:paraId="7DA9B147" w14:textId="1D087CC2" w:rsidR="005C3D86" w:rsidRPr="00E94A8C" w:rsidRDefault="00723060" w:rsidP="005F33FE">
      <w:pPr>
        <w:spacing w:line="276" w:lineRule="auto"/>
        <w:rPr>
          <w:rFonts w:ascii="Arial" w:hAnsi="Arial" w:cs="Arial"/>
        </w:rPr>
      </w:pPr>
      <w:r w:rsidRPr="00E94A8C">
        <w:rPr>
          <w:rFonts w:ascii="Arial" w:hAnsi="Arial" w:cs="Arial"/>
        </w:rPr>
        <w:t xml:space="preserve">The </w:t>
      </w:r>
      <w:r w:rsidR="005C3D86" w:rsidRPr="00E94A8C">
        <w:rPr>
          <w:rFonts w:ascii="Arial" w:hAnsi="Arial" w:cs="Arial"/>
        </w:rPr>
        <w:t>ROCA</w:t>
      </w:r>
      <w:r w:rsidRPr="00E94A8C">
        <w:rPr>
          <w:rFonts w:ascii="Arial" w:hAnsi="Arial" w:cs="Arial"/>
        </w:rPr>
        <w:t xml:space="preserve"> calculation for the odds ratio</w:t>
      </w:r>
      <w:r w:rsidR="005C3D86" w:rsidRPr="00E94A8C">
        <w:rPr>
          <w:rFonts w:ascii="Arial" w:hAnsi="Arial" w:cs="Arial"/>
        </w:rPr>
        <w:t xml:space="preserve"> measures the</w:t>
      </w:r>
      <w:r w:rsidR="001E22A8" w:rsidRPr="00E94A8C">
        <w:rPr>
          <w:rFonts w:ascii="Arial" w:hAnsi="Arial" w:cs="Arial"/>
        </w:rPr>
        <w:t xml:space="preserve"> distance</w:t>
      </w:r>
      <w:r w:rsidR="005C3D86" w:rsidRPr="00E94A8C">
        <w:rPr>
          <w:rFonts w:ascii="Arial" w:hAnsi="Arial" w:cs="Arial"/>
        </w:rPr>
        <w:t xml:space="preserve"> from each woman’s serial</w:t>
      </w:r>
      <w:r w:rsidRPr="00E94A8C">
        <w:rPr>
          <w:rFonts w:ascii="Arial" w:hAnsi="Arial" w:cs="Arial"/>
        </w:rPr>
        <w:t xml:space="preserve"> log(</w:t>
      </w:r>
      <w:r w:rsidR="005C3D86" w:rsidRPr="00E94A8C">
        <w:rPr>
          <w:rFonts w:ascii="Arial" w:hAnsi="Arial" w:cs="Arial"/>
        </w:rPr>
        <w:t>CA125</w:t>
      </w:r>
      <w:r w:rsidRPr="00E94A8C">
        <w:rPr>
          <w:rFonts w:ascii="Arial" w:hAnsi="Arial" w:cs="Arial"/>
        </w:rPr>
        <w:t>)</w:t>
      </w:r>
      <w:r w:rsidR="005C3D86" w:rsidRPr="00E94A8C">
        <w:rPr>
          <w:rFonts w:ascii="Arial" w:hAnsi="Arial" w:cs="Arial"/>
        </w:rPr>
        <w:t xml:space="preserve"> data </w:t>
      </w:r>
      <w:r w:rsidRPr="00E94A8C">
        <w:rPr>
          <w:rFonts w:ascii="Arial" w:hAnsi="Arial" w:cs="Arial"/>
        </w:rPr>
        <w:t>to</w:t>
      </w:r>
      <w:r w:rsidR="005C3D86" w:rsidRPr="00E94A8C">
        <w:rPr>
          <w:rFonts w:ascii="Arial" w:hAnsi="Arial" w:cs="Arial"/>
        </w:rPr>
        <w:t xml:space="preserve"> (1) a series of change-point profiles derived from women diagnosed with ovarian cancer in previous screening trials, and </w:t>
      </w:r>
      <w:r w:rsidRPr="00E94A8C">
        <w:rPr>
          <w:rFonts w:ascii="Arial" w:hAnsi="Arial" w:cs="Arial"/>
        </w:rPr>
        <w:t xml:space="preserve">to </w:t>
      </w:r>
      <w:r w:rsidR="005C3D86" w:rsidRPr="00E94A8C">
        <w:rPr>
          <w:rFonts w:ascii="Arial" w:hAnsi="Arial" w:cs="Arial"/>
        </w:rPr>
        <w:t xml:space="preserve">(2) a series of flat profiles derived from women who did </w:t>
      </w:r>
      <w:r w:rsidR="005C3D86" w:rsidRPr="00E94A8C">
        <w:rPr>
          <w:rFonts w:ascii="Arial" w:hAnsi="Arial" w:cs="Arial"/>
          <w:i/>
        </w:rPr>
        <w:t>not</w:t>
      </w:r>
      <w:r w:rsidR="005C3D86" w:rsidRPr="00E94A8C">
        <w:rPr>
          <w:rFonts w:ascii="Arial" w:hAnsi="Arial" w:cs="Arial"/>
        </w:rPr>
        <w:t xml:space="preserve"> develop ovarian cancer in the same trials </w:t>
      </w:r>
      <w:r w:rsidRPr="00E94A8C">
        <w:fldChar w:fldCharType="begin"/>
      </w:r>
      <w:r w:rsidR="00E94A8C">
        <w:instrText xml:space="preserve"> ADDIN EN.CITE &lt;EndNote&gt;&lt;Cite&gt;&lt;Author&gt;Skates&lt;/Author&gt;&lt;Year&gt;2001&lt;/Year&gt;&lt;RecNum&gt;17&lt;/RecNum&gt;&lt;DisplayText&gt;[2]&lt;/DisplayText&gt;&lt;record&gt;&lt;rec-number&gt;17&lt;/rec-number&gt;&lt;foreign-keys&gt;&lt;key app="EN" db-id="z0xe0ewxp2wrt4epswzx22p6wzzx5zvrez9e" timestamp="1386736523"&gt;17&lt;/key&gt;&lt;/foreign-keys&gt;&lt;ref-type name="Journal Article"&gt;17&lt;/ref-type&gt;&lt;contributors&gt;&lt;authors&gt;&lt;author&gt;Skates, S. J.&lt;/author&gt;&lt;author&gt;Pauler, D. K.&lt;/author&gt;&lt;author&gt;Jacobs, I. J.&lt;/author&gt;&lt;/authors&gt;&lt;/contributors&gt;&lt;titles&gt;&lt;title&gt;Screening Based on the Risk of Cancer Calculation From Bayesian Hierarchical Changepoint and Mixture Models of Longitudinal Markers&lt;/title&gt;&lt;secondary-title&gt;Journal of the American Statistical Association&lt;/secondary-title&gt;&lt;/titles&gt;&lt;periodical&gt;&lt;full-title&gt;Journal of the American Statistical Association&lt;/full-title&gt;&lt;/periodical&gt;&lt;pages&gt;429-439&lt;/pages&gt;&lt;volume&gt;96&lt;/volume&gt;&lt;number&gt;454&lt;/number&gt;&lt;dates&gt;&lt;year&gt;2001&lt;/year&gt;&lt;pub-dates&gt;&lt;date&gt;June 2001&lt;/date&gt;&lt;/pub-dates&gt;&lt;/dates&gt;&lt;urls&gt;&lt;/urls&gt;&lt;/record&gt;&lt;/Cite&gt;&lt;/EndNote&gt;</w:instrText>
      </w:r>
      <w:r w:rsidRPr="00E94A8C">
        <w:fldChar w:fldCharType="separate"/>
      </w:r>
      <w:r w:rsidR="00E94A8C">
        <w:rPr>
          <w:noProof/>
        </w:rPr>
        <w:t>[2]</w:t>
      </w:r>
      <w:r w:rsidRPr="00E94A8C">
        <w:fldChar w:fldCharType="end"/>
      </w:r>
      <w:r w:rsidR="005C3D86" w:rsidRPr="00E94A8C">
        <w:rPr>
          <w:rFonts w:ascii="Arial" w:hAnsi="Arial" w:cs="Arial"/>
        </w:rPr>
        <w:t xml:space="preserve">. </w:t>
      </w:r>
      <w:r w:rsidR="001E22A8" w:rsidRPr="00E94A8C">
        <w:rPr>
          <w:rFonts w:ascii="Arial" w:hAnsi="Arial" w:cs="Arial"/>
        </w:rPr>
        <w:t>Th</w:t>
      </w:r>
      <w:r w:rsidR="003476D2" w:rsidRPr="00E94A8C">
        <w:rPr>
          <w:rFonts w:ascii="Arial" w:hAnsi="Arial" w:cs="Arial"/>
        </w:rPr>
        <w:t>is</w:t>
      </w:r>
      <w:r w:rsidR="001E22A8" w:rsidRPr="00E94A8C">
        <w:rPr>
          <w:rFonts w:ascii="Arial" w:hAnsi="Arial" w:cs="Arial"/>
        </w:rPr>
        <w:t xml:space="preserve"> distance is the sum of squares between the log(CA125) value and the profile (change-point or flat) of expected values</w:t>
      </w:r>
      <w:r w:rsidR="003476D2" w:rsidRPr="00E94A8C">
        <w:rPr>
          <w:rFonts w:ascii="Arial" w:hAnsi="Arial" w:cs="Arial"/>
        </w:rPr>
        <w:t>,</w:t>
      </w:r>
      <w:r w:rsidR="001E22A8" w:rsidRPr="00E94A8C">
        <w:rPr>
          <w:rFonts w:ascii="Arial" w:hAnsi="Arial" w:cs="Arial"/>
        </w:rPr>
        <w:t xml:space="preserve"> normalized by the within woman variance of log(CA125) over time. </w:t>
      </w:r>
      <w:r w:rsidR="005C3D86" w:rsidRPr="00E94A8C">
        <w:rPr>
          <w:rFonts w:ascii="Arial" w:hAnsi="Arial" w:cs="Arial"/>
        </w:rPr>
        <w:t>The</w:t>
      </w:r>
      <w:r w:rsidR="001E22A8" w:rsidRPr="00E94A8C">
        <w:rPr>
          <w:rFonts w:ascii="Arial" w:hAnsi="Arial" w:cs="Arial"/>
        </w:rPr>
        <w:t xml:space="preserve"> average over the distances gives a summary distance for each set of profiles. The</w:t>
      </w:r>
      <w:r w:rsidR="005C3D86" w:rsidRPr="00E94A8C">
        <w:rPr>
          <w:rFonts w:ascii="Arial" w:hAnsi="Arial" w:cs="Arial"/>
        </w:rPr>
        <w:t xml:space="preserve"> ratio of these two distances provides an estimate of the odds factor attributable to CA125, which multiplies the initial odds of having ovarian cancer due to the woman’s age, to give the final odds of having ovarian cancer. The probability (or risk) of having ovarian cancer is then odds/(odds+1). Thus</w:t>
      </w:r>
      <w:r w:rsidR="003476D2" w:rsidRPr="00E94A8C">
        <w:rPr>
          <w:rFonts w:ascii="Arial" w:hAnsi="Arial" w:cs="Arial"/>
        </w:rPr>
        <w:t>,</w:t>
      </w:r>
      <w:r w:rsidR="005C3D86" w:rsidRPr="00E94A8C">
        <w:rPr>
          <w:rFonts w:ascii="Arial" w:hAnsi="Arial" w:cs="Arial"/>
        </w:rPr>
        <w:t xml:space="preserve"> ROCA built on these statistical models of serial CA125 values in historical cases and controls to calculate the probability that a CA125 increase in this </w:t>
      </w:r>
      <w:r w:rsidR="00C856E8" w:rsidRPr="00E94A8C">
        <w:rPr>
          <w:rFonts w:ascii="Arial" w:hAnsi="Arial" w:cs="Arial"/>
        </w:rPr>
        <w:t xml:space="preserve">current </w:t>
      </w:r>
      <w:r w:rsidR="005C3D86" w:rsidRPr="00E94A8C">
        <w:rPr>
          <w:rFonts w:ascii="Arial" w:hAnsi="Arial" w:cs="Arial"/>
        </w:rPr>
        <w:t>study was due to a disease-associated change-point rather than natural fluctuations. This probability of a change-point is a surrogate for the risk</w:t>
      </w:r>
      <w:r w:rsidR="003476D2" w:rsidRPr="00E94A8C">
        <w:rPr>
          <w:rFonts w:ascii="Arial" w:hAnsi="Arial" w:cs="Arial"/>
        </w:rPr>
        <w:t xml:space="preserve"> that</w:t>
      </w:r>
      <w:r w:rsidR="005C3D86" w:rsidRPr="00E94A8C">
        <w:rPr>
          <w:rFonts w:ascii="Arial" w:hAnsi="Arial" w:cs="Arial"/>
        </w:rPr>
        <w:t xml:space="preserve"> the subject has undiagnosed ovarian cancer.</w:t>
      </w:r>
    </w:p>
    <w:p w14:paraId="74A5AAF9" w14:textId="77777777" w:rsidR="008113EC" w:rsidRPr="00E94A8C" w:rsidRDefault="008113EC" w:rsidP="005F33FE">
      <w:pPr>
        <w:spacing w:line="276" w:lineRule="auto"/>
        <w:rPr>
          <w:rFonts w:ascii="Arial" w:hAnsi="Arial" w:cs="Arial"/>
        </w:rPr>
      </w:pPr>
    </w:p>
    <w:p w14:paraId="2467DC1A" w14:textId="24AA5F29" w:rsidR="00455D17" w:rsidRPr="00E94A8C" w:rsidRDefault="00455D17" w:rsidP="005F33FE">
      <w:pPr>
        <w:spacing w:line="276" w:lineRule="auto"/>
        <w:rPr>
          <w:rFonts w:ascii="Arial" w:hAnsi="Arial" w:cs="Arial"/>
        </w:rPr>
      </w:pPr>
      <w:r w:rsidRPr="00E94A8C">
        <w:rPr>
          <w:rFonts w:ascii="Arial" w:hAnsi="Arial" w:cs="Arial"/>
        </w:rPr>
        <w:t xml:space="preserve">ROCA attains its power to detect ovarian cancer due to the much lower CA125 coefficient of variation (CV) between longitudinal CA125 results </w:t>
      </w:r>
      <w:r w:rsidRPr="00E94A8C">
        <w:rPr>
          <w:rFonts w:ascii="Arial" w:hAnsi="Arial" w:cs="Arial"/>
          <w:i/>
        </w:rPr>
        <w:t>within</w:t>
      </w:r>
      <w:r w:rsidRPr="00E94A8C">
        <w:rPr>
          <w:rFonts w:ascii="Arial" w:hAnsi="Arial" w:cs="Arial"/>
        </w:rPr>
        <w:t xml:space="preserve"> individual women (median 12%, 95% population interval 6% - 18%, compared with the baseline CV </w:t>
      </w:r>
      <w:r w:rsidRPr="00E94A8C">
        <w:rPr>
          <w:rFonts w:ascii="Arial" w:hAnsi="Arial" w:cs="Arial"/>
          <w:i/>
        </w:rPr>
        <w:t>between</w:t>
      </w:r>
      <w:r w:rsidRPr="00E94A8C">
        <w:rPr>
          <w:rFonts w:ascii="Arial" w:hAnsi="Arial" w:cs="Arial"/>
        </w:rPr>
        <w:t xml:space="preserve"> women of 36%. The example</w:t>
      </w:r>
      <w:r w:rsidR="003476D2" w:rsidRPr="00E94A8C">
        <w:rPr>
          <w:rFonts w:ascii="Arial" w:hAnsi="Arial" w:cs="Arial"/>
        </w:rPr>
        <w:t xml:space="preserve"> illustrated in Figure 1 of the main text</w:t>
      </w:r>
      <w:r w:rsidRPr="00E94A8C">
        <w:rPr>
          <w:rFonts w:ascii="Arial" w:hAnsi="Arial" w:cs="Arial"/>
        </w:rPr>
        <w:t xml:space="preserve"> has an even lower </w:t>
      </w:r>
      <w:r w:rsidRPr="00E94A8C">
        <w:rPr>
          <w:rFonts w:ascii="Arial" w:hAnsi="Arial" w:cs="Arial"/>
          <w:i/>
        </w:rPr>
        <w:t>within</w:t>
      </w:r>
      <w:r w:rsidRPr="00E94A8C">
        <w:rPr>
          <w:rFonts w:ascii="Arial" w:hAnsi="Arial" w:cs="Arial"/>
        </w:rPr>
        <w:t xml:space="preserve"> woman CV of 10%. The choice of 35 U/mL as the single threshold with which to interpret CA125 for all women</w:t>
      </w:r>
      <w:r w:rsidR="003476D2" w:rsidRPr="00E94A8C">
        <w:rPr>
          <w:rFonts w:ascii="Arial" w:hAnsi="Arial" w:cs="Arial"/>
        </w:rPr>
        <w:t xml:space="preserve"> in current ovarian cancer screening strategies</w:t>
      </w:r>
      <w:r w:rsidRPr="00E94A8C">
        <w:rPr>
          <w:rFonts w:ascii="Arial" w:hAnsi="Arial" w:cs="Arial"/>
        </w:rPr>
        <w:t xml:space="preserve"> is </w:t>
      </w:r>
      <w:r w:rsidR="00C856E8" w:rsidRPr="00E94A8C">
        <w:rPr>
          <w:rFonts w:ascii="Arial" w:hAnsi="Arial" w:cs="Arial"/>
        </w:rPr>
        <w:t xml:space="preserve">adversely </w:t>
      </w:r>
      <w:r w:rsidRPr="00E94A8C">
        <w:rPr>
          <w:rFonts w:ascii="Arial" w:hAnsi="Arial" w:cs="Arial"/>
        </w:rPr>
        <w:t xml:space="preserve">influenced by the higher CV </w:t>
      </w:r>
      <w:r w:rsidRPr="00E94A8C">
        <w:rPr>
          <w:rFonts w:ascii="Arial" w:hAnsi="Arial" w:cs="Arial"/>
          <w:i/>
        </w:rPr>
        <w:t>between</w:t>
      </w:r>
      <w:r w:rsidRPr="00E94A8C">
        <w:rPr>
          <w:rFonts w:ascii="Arial" w:hAnsi="Arial" w:cs="Arial"/>
        </w:rPr>
        <w:t xml:space="preserve"> women of 36%, </w:t>
      </w:r>
      <w:r w:rsidR="003476D2" w:rsidRPr="00E94A8C">
        <w:rPr>
          <w:rFonts w:ascii="Arial" w:hAnsi="Arial" w:cs="Arial"/>
        </w:rPr>
        <w:t xml:space="preserve">which </w:t>
      </w:r>
      <w:r w:rsidRPr="00E94A8C">
        <w:rPr>
          <w:rFonts w:ascii="Arial" w:hAnsi="Arial" w:cs="Arial"/>
        </w:rPr>
        <w:t>result</w:t>
      </w:r>
      <w:r w:rsidR="003476D2" w:rsidRPr="00E94A8C">
        <w:rPr>
          <w:rFonts w:ascii="Arial" w:hAnsi="Arial" w:cs="Arial"/>
        </w:rPr>
        <w:t>s</w:t>
      </w:r>
      <w:r w:rsidRPr="00E94A8C">
        <w:rPr>
          <w:rFonts w:ascii="Arial" w:hAnsi="Arial" w:cs="Arial"/>
        </w:rPr>
        <w:t xml:space="preserve"> in much lower</w:t>
      </w:r>
      <w:r w:rsidR="003476D2" w:rsidRPr="00E94A8C">
        <w:rPr>
          <w:rFonts w:ascii="Arial" w:hAnsi="Arial" w:cs="Arial"/>
        </w:rPr>
        <w:t xml:space="preserve"> statistical</w:t>
      </w:r>
      <w:r w:rsidRPr="00E94A8C">
        <w:rPr>
          <w:rFonts w:ascii="Arial" w:hAnsi="Arial" w:cs="Arial"/>
        </w:rPr>
        <w:t xml:space="preserve"> power for the standard cut-point to identify undetected ovarian cancer.</w:t>
      </w:r>
    </w:p>
    <w:p w14:paraId="3F871099" w14:textId="77777777" w:rsidR="00500740" w:rsidRPr="00E94A8C" w:rsidRDefault="00500740" w:rsidP="005F33FE">
      <w:pPr>
        <w:spacing w:line="276" w:lineRule="auto"/>
        <w:rPr>
          <w:rFonts w:ascii="Arial" w:hAnsi="Arial" w:cs="Arial"/>
        </w:rPr>
      </w:pPr>
    </w:p>
    <w:p w14:paraId="129D052D" w14:textId="24F8FACB" w:rsidR="008113EC" w:rsidRPr="00E94A8C" w:rsidRDefault="008113EC" w:rsidP="005F33FE">
      <w:pPr>
        <w:spacing w:line="276" w:lineRule="auto"/>
        <w:rPr>
          <w:rFonts w:ascii="Arial" w:hAnsi="Arial" w:cs="Arial"/>
          <w:b/>
        </w:rPr>
      </w:pPr>
      <w:r w:rsidRPr="00E94A8C">
        <w:rPr>
          <w:rFonts w:ascii="Arial" w:hAnsi="Arial" w:cs="Arial"/>
          <w:b/>
        </w:rPr>
        <w:t>Sample Handling</w:t>
      </w:r>
      <w:r w:rsidR="00524D68" w:rsidRPr="00E94A8C">
        <w:rPr>
          <w:rFonts w:ascii="Arial" w:hAnsi="Arial" w:cs="Arial"/>
          <w:b/>
        </w:rPr>
        <w:t xml:space="preserve"> &amp; CA125 Assay Instrumentation </w:t>
      </w:r>
    </w:p>
    <w:p w14:paraId="752E56B4" w14:textId="77777777" w:rsidR="001426D0" w:rsidRPr="00E94A8C" w:rsidRDefault="001426D0" w:rsidP="005F33FE">
      <w:pPr>
        <w:spacing w:line="276" w:lineRule="auto"/>
        <w:rPr>
          <w:rFonts w:ascii="Arial" w:hAnsi="Arial" w:cs="Arial"/>
        </w:rPr>
      </w:pPr>
    </w:p>
    <w:p w14:paraId="1986641F" w14:textId="37500B1C" w:rsidR="008113EC" w:rsidRPr="00E94A8C" w:rsidRDefault="008113EC" w:rsidP="005F33FE">
      <w:pPr>
        <w:spacing w:line="276" w:lineRule="auto"/>
        <w:rPr>
          <w:rFonts w:ascii="Arial" w:hAnsi="Arial" w:cs="Arial"/>
        </w:rPr>
      </w:pPr>
      <w:r w:rsidRPr="00E94A8C">
        <w:rPr>
          <w:rFonts w:ascii="Arial" w:hAnsi="Arial" w:cs="Arial"/>
        </w:rPr>
        <w:t xml:space="preserve">All peripheral blood samples for both studies were collected from venipunctures in 10 mL red top glass tubes, immediately spun down and the serum frozen at </w:t>
      </w:r>
      <w:r w:rsidRPr="00E94A8C">
        <w:rPr>
          <w:rFonts w:ascii="Arial" w:hAnsi="Arial" w:cs="Arial"/>
        </w:rPr>
        <w:sym w:font="Symbol" w:char="F02D"/>
      </w:r>
      <w:r w:rsidRPr="00E94A8C">
        <w:rPr>
          <w:rFonts w:ascii="Arial" w:hAnsi="Arial" w:cs="Arial"/>
        </w:rPr>
        <w:t>80</w:t>
      </w:r>
      <w:r w:rsidRPr="00E94A8C">
        <w:rPr>
          <w:rFonts w:ascii="Arial" w:hAnsi="Arial" w:cs="Arial"/>
        </w:rPr>
        <w:sym w:font="Symbol" w:char="F0B0"/>
      </w:r>
      <w:r w:rsidRPr="00E94A8C">
        <w:rPr>
          <w:rFonts w:ascii="Arial" w:hAnsi="Arial" w:cs="Arial"/>
        </w:rPr>
        <w:t xml:space="preserve">C prior to batch shipping on dry ice, or individually shipped overnight wrapped in foam on a frozen ice pack in a Styrofoam container, to the two central labs. </w:t>
      </w:r>
    </w:p>
    <w:p w14:paraId="7797E7E1" w14:textId="77777777" w:rsidR="00372B04" w:rsidRPr="00E94A8C" w:rsidRDefault="00372B04" w:rsidP="005F33FE">
      <w:pPr>
        <w:spacing w:line="276" w:lineRule="auto"/>
        <w:rPr>
          <w:rFonts w:ascii="Arial" w:hAnsi="Arial" w:cs="Arial"/>
        </w:rPr>
      </w:pPr>
    </w:p>
    <w:p w14:paraId="0C01A4CC" w14:textId="361BF070" w:rsidR="008113EC" w:rsidRPr="00E94A8C" w:rsidRDefault="008113EC" w:rsidP="005F33FE">
      <w:pPr>
        <w:spacing w:line="276" w:lineRule="auto"/>
        <w:rPr>
          <w:rFonts w:ascii="Arial" w:hAnsi="Arial" w:cs="Arial"/>
        </w:rPr>
      </w:pPr>
      <w:r w:rsidRPr="00E94A8C">
        <w:rPr>
          <w:rFonts w:ascii="Arial" w:hAnsi="Arial" w:cs="Arial"/>
        </w:rPr>
        <w:lastRenderedPageBreak/>
        <w:t xml:space="preserve">The reportable range of the assay was 0.6 to 500 IU/mL, with a normal reference interval for females of less than 35 U/mL. Grossly </w:t>
      </w:r>
      <w:proofErr w:type="spellStart"/>
      <w:r w:rsidRPr="00E94A8C">
        <w:rPr>
          <w:rFonts w:ascii="Arial" w:hAnsi="Arial" w:cs="Arial"/>
        </w:rPr>
        <w:t>hemolyzed</w:t>
      </w:r>
      <w:proofErr w:type="spellEnd"/>
      <w:r w:rsidRPr="00E94A8C">
        <w:rPr>
          <w:rFonts w:ascii="Arial" w:hAnsi="Arial" w:cs="Arial"/>
        </w:rPr>
        <w:t xml:space="preserve"> or </w:t>
      </w:r>
      <w:proofErr w:type="spellStart"/>
      <w:r w:rsidRPr="00E94A8C">
        <w:rPr>
          <w:rFonts w:ascii="Arial" w:hAnsi="Arial" w:cs="Arial"/>
        </w:rPr>
        <w:t>lipemic</w:t>
      </w:r>
      <w:proofErr w:type="spellEnd"/>
      <w:r w:rsidRPr="00E94A8C">
        <w:rPr>
          <w:rFonts w:ascii="Arial" w:hAnsi="Arial" w:cs="Arial"/>
        </w:rPr>
        <w:t xml:space="preserve"> specimens were rejected without testing and a replacement blood draw requested. Assay CV on the E170 automated instrument was less than 4% on the basis of daily monitoring with quality control (QC) specimens (low QC mean = 32 U/mL, high QC mean = 93 U/mL).</w:t>
      </w:r>
    </w:p>
    <w:p w14:paraId="26FB3AA5" w14:textId="35699001" w:rsidR="005D784E" w:rsidRPr="00E94A8C" w:rsidRDefault="005D784E" w:rsidP="005F33FE">
      <w:pPr>
        <w:spacing w:line="276" w:lineRule="auto"/>
        <w:rPr>
          <w:rFonts w:ascii="Arial" w:hAnsi="Arial" w:cs="Arial"/>
          <w:b/>
        </w:rPr>
      </w:pPr>
    </w:p>
    <w:p w14:paraId="44A74088" w14:textId="05D712DC" w:rsidR="004C54F0" w:rsidRPr="00E94A8C" w:rsidRDefault="004C54F0" w:rsidP="005F33FE">
      <w:pPr>
        <w:spacing w:line="276" w:lineRule="auto"/>
        <w:rPr>
          <w:rFonts w:ascii="Arial" w:hAnsi="Arial" w:cs="Arial"/>
          <w:b/>
        </w:rPr>
      </w:pPr>
      <w:r w:rsidRPr="00E94A8C">
        <w:rPr>
          <w:rFonts w:ascii="Arial" w:hAnsi="Arial" w:cs="Arial"/>
          <w:b/>
        </w:rPr>
        <w:t>Specificity and Positive Predictive Value Standards</w:t>
      </w:r>
    </w:p>
    <w:p w14:paraId="5F638CDA" w14:textId="77777777" w:rsidR="004C54F0" w:rsidRPr="00E94A8C" w:rsidRDefault="004C54F0" w:rsidP="005F33FE">
      <w:pPr>
        <w:spacing w:line="276" w:lineRule="auto"/>
        <w:rPr>
          <w:rFonts w:ascii="Arial" w:hAnsi="Arial" w:cs="Arial"/>
        </w:rPr>
      </w:pPr>
    </w:p>
    <w:p w14:paraId="7E8812C4" w14:textId="2A164D44" w:rsidR="004C54F0" w:rsidRPr="00E94A8C" w:rsidRDefault="004C54F0" w:rsidP="004C54F0">
      <w:pPr>
        <w:spacing w:line="276" w:lineRule="auto"/>
        <w:rPr>
          <w:rFonts w:ascii="Arial" w:hAnsi="Arial" w:cs="Arial"/>
        </w:rPr>
      </w:pPr>
      <w:r w:rsidRPr="00E94A8C">
        <w:rPr>
          <w:rFonts w:ascii="Arial" w:hAnsi="Arial" w:cs="Arial"/>
        </w:rPr>
        <w:t>Specificity and PPV standards were derived from general population screening trials. The standard CA125 test (&gt;35 U/mL) has an annual specificity of 98%,</w:t>
      </w:r>
      <w:r w:rsidRPr="00E94A8C">
        <w:rPr>
          <w:rFonts w:ascii="Arial" w:hAnsi="Arial" w:cs="Arial"/>
        </w:rPr>
        <w:fldChar w:fldCharType="begin">
          <w:fldData xml:space="preserve">PEVuZE5vdGU+PENpdGU+PEF1dGhvcj5Ta2F0ZXM8L0F1dGhvcj48WWVhcj4yMDA0PC9ZZWFyPjxS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</w:fldData>
        </w:fldChar>
      </w:r>
      <w:r w:rsidR="00E94A8C">
        <w:rPr>
          <w:rFonts w:ascii="Arial" w:hAnsi="Arial" w:cs="Arial"/>
        </w:rPr>
        <w:instrText xml:space="preserve"> ADDIN EN.CITE </w:instrText>
      </w:r>
      <w:r w:rsidR="00E94A8C">
        <w:rPr>
          <w:rFonts w:ascii="Arial" w:hAnsi="Arial" w:cs="Arial"/>
        </w:rPr>
        <w:fldChar w:fldCharType="begin">
          <w:fldData xml:space="preserve">PEVuZE5vdGU+PENpdGU+PEF1dGhvcj5Ta2F0ZXM8L0F1dGhvcj48WWVhcj4yMDA0PC9ZZWFyPjxS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</w:fldData>
        </w:fldChar>
      </w:r>
      <w:r w:rsidR="00E94A8C">
        <w:rPr>
          <w:rFonts w:ascii="Arial" w:hAnsi="Arial" w:cs="Arial"/>
        </w:rPr>
        <w:instrText xml:space="preserve"> ADDIN EN.CITE.DATA </w:instrText>
      </w:r>
      <w:r w:rsidR="00E94A8C">
        <w:rPr>
          <w:rFonts w:ascii="Arial" w:hAnsi="Arial" w:cs="Arial"/>
        </w:rPr>
      </w:r>
      <w:r w:rsidR="00E94A8C">
        <w:rPr>
          <w:rFonts w:ascii="Arial" w:hAnsi="Arial" w:cs="Arial"/>
        </w:rPr>
        <w:fldChar w:fldCharType="end"/>
      </w:r>
      <w:r w:rsidRPr="00E94A8C">
        <w:rPr>
          <w:rFonts w:ascii="Arial" w:hAnsi="Arial" w:cs="Arial"/>
        </w:rPr>
      </w:r>
      <w:r w:rsidRPr="00E94A8C">
        <w:rPr>
          <w:rFonts w:ascii="Arial" w:hAnsi="Arial" w:cs="Arial"/>
        </w:rPr>
        <w:fldChar w:fldCharType="separate"/>
      </w:r>
      <w:r w:rsidR="00E94A8C">
        <w:rPr>
          <w:rFonts w:ascii="Arial" w:hAnsi="Arial" w:cs="Arial"/>
          <w:noProof/>
        </w:rPr>
        <w:t>[6]</w:t>
      </w:r>
      <w:r w:rsidRPr="00E94A8C">
        <w:rPr>
          <w:rFonts w:ascii="Arial" w:hAnsi="Arial" w:cs="Arial"/>
        </w:rPr>
        <w:fldChar w:fldCharType="end"/>
      </w:r>
      <w:r w:rsidRPr="00E94A8C">
        <w:rPr>
          <w:rFonts w:ascii="Arial" w:hAnsi="Arial" w:cs="Arial"/>
        </w:rPr>
        <w:t xml:space="preserve"> </w:t>
      </w:r>
      <w:r w:rsidRPr="00E94A8C">
        <w:rPr>
          <w:rFonts w:ascii="Arial" w:hAnsi="Arial" w:cs="Arial"/>
          <w:i/>
        </w:rPr>
        <w:t>i.e.,</w:t>
      </w:r>
      <w:r w:rsidRPr="00E94A8C">
        <w:rPr>
          <w:rFonts w:ascii="Arial" w:hAnsi="Arial" w:cs="Arial"/>
        </w:rPr>
        <w:t xml:space="preserve"> 2% false</w:t>
      </w:r>
      <w:r w:rsidR="003476D2" w:rsidRPr="00E94A8C">
        <w:rPr>
          <w:rFonts w:ascii="Arial" w:hAnsi="Arial" w:cs="Arial"/>
        </w:rPr>
        <w:t>-</w:t>
      </w:r>
      <w:r w:rsidRPr="00E94A8C">
        <w:rPr>
          <w:rFonts w:ascii="Arial" w:hAnsi="Arial" w:cs="Arial"/>
        </w:rPr>
        <w:t>positives. We aimed to maintain the same</w:t>
      </w:r>
      <w:r w:rsidR="003476D2" w:rsidRPr="00E94A8C">
        <w:rPr>
          <w:rFonts w:ascii="Arial" w:hAnsi="Arial" w:cs="Arial"/>
        </w:rPr>
        <w:t xml:space="preserve"> 2%</w:t>
      </w:r>
      <w:r w:rsidRPr="00E94A8C">
        <w:rPr>
          <w:rFonts w:ascii="Arial" w:hAnsi="Arial" w:cs="Arial"/>
        </w:rPr>
        <w:t xml:space="preserve"> false-positive rate per ROCA test. With quarterly ROCA tests, </w:t>
      </w:r>
      <w:r w:rsidR="00670DEE" w:rsidRPr="00E94A8C">
        <w:rPr>
          <w:rFonts w:ascii="Arial" w:hAnsi="Arial" w:cs="Arial"/>
        </w:rPr>
        <w:t>in which</w:t>
      </w:r>
      <w:r w:rsidRPr="00E94A8C">
        <w:rPr>
          <w:rFonts w:ascii="Arial" w:hAnsi="Arial" w:cs="Arial"/>
        </w:rPr>
        <w:t xml:space="preserve"> each woman has her own baseline</w:t>
      </w:r>
      <w:r w:rsidR="00670DEE" w:rsidRPr="00E94A8C">
        <w:rPr>
          <w:rFonts w:ascii="Arial" w:hAnsi="Arial" w:cs="Arial"/>
        </w:rPr>
        <w:t xml:space="preserve"> CA125 level</w:t>
      </w:r>
      <w:r w:rsidRPr="00E94A8C">
        <w:rPr>
          <w:rFonts w:ascii="Arial" w:hAnsi="Arial" w:cs="Arial"/>
        </w:rPr>
        <w:t>, false</w:t>
      </w:r>
      <w:r w:rsidR="00670DEE" w:rsidRPr="00E94A8C">
        <w:rPr>
          <w:rFonts w:ascii="Arial" w:hAnsi="Arial" w:cs="Arial"/>
        </w:rPr>
        <w:t>-</w:t>
      </w:r>
      <w:r w:rsidRPr="00E94A8C">
        <w:rPr>
          <w:rFonts w:ascii="Arial" w:hAnsi="Arial" w:cs="Arial"/>
        </w:rPr>
        <w:t>positive results between women are likely to be statistically independent. Thus</w:t>
      </w:r>
      <w:r w:rsidR="00670DEE" w:rsidRPr="00E94A8C">
        <w:rPr>
          <w:rFonts w:ascii="Arial" w:hAnsi="Arial" w:cs="Arial"/>
        </w:rPr>
        <w:t>,</w:t>
      </w:r>
      <w:r w:rsidRPr="00E94A8C">
        <w:rPr>
          <w:rFonts w:ascii="Arial" w:hAnsi="Arial" w:cs="Arial"/>
        </w:rPr>
        <w:t xml:space="preserve"> a 2% false</w:t>
      </w:r>
      <w:r w:rsidR="00670DEE" w:rsidRPr="00E94A8C">
        <w:rPr>
          <w:rFonts w:ascii="Arial" w:hAnsi="Arial" w:cs="Arial"/>
        </w:rPr>
        <w:t>-</w:t>
      </w:r>
      <w:r w:rsidRPr="00E94A8C">
        <w:rPr>
          <w:rFonts w:ascii="Arial" w:hAnsi="Arial" w:cs="Arial"/>
        </w:rPr>
        <w:t xml:space="preserve">positive rate per quarterly ROCA test gives an 8% false-positive rate per year or an annual specificity of 92%, and therefore we set a lower bound of 90%. A PPV of 10% </w:t>
      </w:r>
      <w:r w:rsidR="00670DEE" w:rsidRPr="00E94A8C">
        <w:rPr>
          <w:rFonts w:ascii="Arial" w:hAnsi="Arial" w:cs="Arial"/>
        </w:rPr>
        <w:t>has been</w:t>
      </w:r>
      <w:r w:rsidRPr="00E94A8C">
        <w:rPr>
          <w:rFonts w:ascii="Arial" w:hAnsi="Arial" w:cs="Arial"/>
        </w:rPr>
        <w:t xml:space="preserve"> deemed the minimum acceptable level for screening programs in normal</w:t>
      </w:r>
      <w:r w:rsidR="00670DEE" w:rsidRPr="00E94A8C">
        <w:rPr>
          <w:rFonts w:ascii="Arial" w:hAnsi="Arial" w:cs="Arial"/>
        </w:rPr>
        <w:t>-</w:t>
      </w:r>
      <w:r w:rsidRPr="00E94A8C">
        <w:rPr>
          <w:rFonts w:ascii="Arial" w:hAnsi="Arial" w:cs="Arial"/>
        </w:rPr>
        <w:t>risk women</w:t>
      </w:r>
      <w:r w:rsidRPr="00E94A8C">
        <w:rPr>
          <w:rFonts w:ascii="Arial" w:hAnsi="Arial" w:cs="Arial"/>
        </w:rPr>
        <w:fldChar w:fldCharType="begin"/>
      </w:r>
      <w:r w:rsidR="00E94A8C">
        <w:rPr>
          <w:rFonts w:ascii="Arial" w:hAnsi="Arial" w:cs="Arial"/>
        </w:rPr>
        <w:instrText xml:space="preserve"> ADDIN EN.CITE &lt;EndNote&gt;&lt;Cite&gt;&lt;Author&gt;Jacobs&lt;/Author&gt;&lt;Year&gt;1989&lt;/Year&gt;&lt;RecNum&gt;1762&lt;/RecNum&gt;&lt;DisplayText&gt;[7]&lt;/DisplayText&gt;&lt;record&gt;&lt;rec-number&gt;1762&lt;/rec-number&gt;&lt;foreign-keys&gt;&lt;key app="EN" db-id="xd5s2zeaqrw9adestptxpwdbtxsref9dw22x" timestamp="0"&gt;1762&lt;/key&gt;&lt;/foreign-keys&gt;&lt;ref-type name="Journal Article"&gt;17&lt;/ref-type&gt;&lt;contributors&gt;&lt;authors&gt;&lt;author&gt;Jacobs, I.&lt;/author&gt;&lt;author&gt;Bast, R. C., Jr.&lt;/author&gt;&lt;/authors&gt;&lt;/contributors&gt;&lt;titles&gt;&lt;title&gt;The CA 125 tumour-associated antigen: a review of the literature&lt;/title&gt;&lt;secondary-title&gt;Hum Reprod&lt;/secondary-title&gt;&lt;/titles&gt;&lt;periodical&gt;&lt;full-title&gt;Hum Reprod&lt;/full-title&gt;&lt;/periodical&gt;&lt;pages&gt;1-12&lt;/pages&gt;&lt;volume&gt;4&lt;/volume&gt;&lt;number&gt;1&lt;/number&gt;&lt;keywords&gt;&lt;keyword&gt;*Antigens, Tumor-Associated, Carbohydrate/analysis&lt;/keyword&gt;&lt;keyword&gt;Endometriosis/immunology&lt;/keyword&gt;&lt;keyword&gt;Endometrium/physiology&lt;/keyword&gt;&lt;keyword&gt;Female&lt;/keyword&gt;&lt;keyword&gt;Human&lt;/keyword&gt;&lt;keyword&gt;Ovarian Neoplasms/diagnosis/immunology&lt;/keyword&gt;&lt;keyword&gt;Pregnancy/immunology&lt;/keyword&gt;&lt;keyword&gt;Prognosis&lt;/keyword&gt;&lt;keyword&gt;Uterine Neoplasms/immunology&lt;/keyword&gt;&lt;/keywords&gt;&lt;dates&gt;&lt;year&gt;1989&lt;/year&gt;&lt;/dates&gt;&lt;label&gt;89214629&lt;/label&gt;&lt;urls&gt;&lt;/urls&gt;&lt;/record&gt;&lt;/Cite&gt;&lt;/EndNote&gt;</w:instrText>
      </w:r>
      <w:r w:rsidRPr="00E94A8C">
        <w:rPr>
          <w:rFonts w:ascii="Arial" w:hAnsi="Arial" w:cs="Arial"/>
        </w:rPr>
        <w:fldChar w:fldCharType="separate"/>
      </w:r>
      <w:r w:rsidR="00E94A8C">
        <w:rPr>
          <w:rFonts w:ascii="Arial" w:hAnsi="Arial" w:cs="Arial"/>
          <w:noProof/>
        </w:rPr>
        <w:t>[7]</w:t>
      </w:r>
      <w:r w:rsidRPr="00E94A8C">
        <w:rPr>
          <w:rFonts w:ascii="Arial" w:hAnsi="Arial" w:cs="Arial"/>
        </w:rPr>
        <w:fldChar w:fldCharType="end"/>
      </w:r>
      <w:r w:rsidRPr="00E94A8C">
        <w:rPr>
          <w:rFonts w:ascii="Arial" w:hAnsi="Arial" w:cs="Arial"/>
        </w:rPr>
        <w:t xml:space="preserve"> and, by extension, we set the same value as the desired level for screening women at increased</w:t>
      </w:r>
      <w:r w:rsidR="00670DEE" w:rsidRPr="00E94A8C">
        <w:rPr>
          <w:rFonts w:ascii="Arial" w:hAnsi="Arial" w:cs="Arial"/>
        </w:rPr>
        <w:t xml:space="preserve"> ovarian cancer</w:t>
      </w:r>
      <w:r w:rsidRPr="00E94A8C">
        <w:rPr>
          <w:rFonts w:ascii="Arial" w:hAnsi="Arial" w:cs="Arial"/>
        </w:rPr>
        <w:t xml:space="preserve"> risk.</w:t>
      </w:r>
    </w:p>
    <w:p w14:paraId="18B9EFD1" w14:textId="77777777" w:rsidR="004C54F0" w:rsidRPr="00E94A8C" w:rsidRDefault="004C54F0" w:rsidP="005F33FE">
      <w:pPr>
        <w:spacing w:line="276" w:lineRule="auto"/>
        <w:rPr>
          <w:rFonts w:ascii="Arial" w:hAnsi="Arial" w:cs="Arial"/>
        </w:rPr>
      </w:pPr>
    </w:p>
    <w:p w14:paraId="0CE7C56E" w14:textId="0674219B" w:rsidR="00242354" w:rsidRPr="00E94A8C" w:rsidRDefault="00242354" w:rsidP="005F33FE">
      <w:pPr>
        <w:spacing w:line="276" w:lineRule="auto"/>
        <w:rPr>
          <w:rFonts w:ascii="Arial" w:hAnsi="Arial" w:cs="Arial"/>
        </w:rPr>
      </w:pPr>
      <w:r w:rsidRPr="00E94A8C">
        <w:rPr>
          <w:rFonts w:ascii="Arial" w:hAnsi="Arial" w:cs="Arial"/>
        </w:rPr>
        <w:br w:type="page"/>
      </w:r>
    </w:p>
    <w:p w14:paraId="504D2400" w14:textId="77777777" w:rsidR="00665D43" w:rsidRPr="00E94A8C" w:rsidRDefault="00665D43" w:rsidP="00665D43">
      <w:pPr>
        <w:rPr>
          <w:rFonts w:ascii="Arial" w:hAnsi="Arial" w:cs="Arial"/>
          <w:b/>
        </w:rPr>
      </w:pPr>
      <w:r w:rsidRPr="00E94A8C">
        <w:rPr>
          <w:rFonts w:ascii="Arial" w:hAnsi="Arial" w:cs="Arial"/>
          <w:b/>
        </w:rPr>
        <w:lastRenderedPageBreak/>
        <w:t>Supplementary Bibliography</w:t>
      </w:r>
    </w:p>
    <w:p w14:paraId="3A6B072A" w14:textId="77777777" w:rsidR="00665D43" w:rsidRPr="00E94A8C" w:rsidRDefault="00665D43" w:rsidP="00665D43">
      <w:pPr>
        <w:rPr>
          <w:rFonts w:ascii="Arial" w:hAnsi="Arial" w:cs="Arial"/>
        </w:rPr>
      </w:pPr>
    </w:p>
    <w:p w14:paraId="36FEB711" w14:textId="77777777" w:rsidR="00665D43" w:rsidRPr="00E94A8C" w:rsidRDefault="00665D43" w:rsidP="00665D43">
      <w:pPr>
        <w:pStyle w:val="EndNoteBibliography"/>
        <w:ind w:left="720" w:hanging="720"/>
        <w:rPr>
          <w:noProof/>
        </w:rPr>
      </w:pPr>
      <w:r w:rsidRPr="00E94A8C">
        <w:rPr>
          <w:rFonts w:ascii="Arial" w:hAnsi="Arial" w:cs="Arial"/>
        </w:rPr>
        <w:fldChar w:fldCharType="begin"/>
      </w:r>
      <w:r w:rsidRPr="00E94A8C">
        <w:rPr>
          <w:rFonts w:ascii="Arial" w:hAnsi="Arial" w:cs="Arial"/>
        </w:rPr>
        <w:instrText xml:space="preserve"> ADDIN EN.REFLIST </w:instrText>
      </w:r>
      <w:r w:rsidRPr="00E94A8C">
        <w:rPr>
          <w:rFonts w:ascii="Arial" w:hAnsi="Arial" w:cs="Arial"/>
        </w:rPr>
        <w:fldChar w:fldCharType="separate"/>
      </w:r>
      <w:r w:rsidRPr="00E94A8C">
        <w:rPr>
          <w:noProof/>
        </w:rPr>
        <w:t>1.</w:t>
      </w:r>
      <w:r w:rsidRPr="00E94A8C">
        <w:rPr>
          <w:noProof/>
        </w:rPr>
        <w:tab/>
        <w:t xml:space="preserve">Berry, D.A., et al., </w:t>
      </w:r>
      <w:r w:rsidRPr="00E94A8C">
        <w:rPr>
          <w:i/>
          <w:noProof/>
        </w:rPr>
        <w:t>BRCAPRO validation, sensitivity of genetic testing of BRCA1/BRCA2, and prevalence of other breast cancer susceptibility genes.</w:t>
      </w:r>
      <w:r w:rsidRPr="00E94A8C">
        <w:rPr>
          <w:noProof/>
        </w:rPr>
        <w:t xml:space="preserve"> J Clin Oncol, 2002. </w:t>
      </w:r>
      <w:r w:rsidRPr="00E94A8C">
        <w:rPr>
          <w:b/>
          <w:noProof/>
        </w:rPr>
        <w:t>20</w:t>
      </w:r>
      <w:r w:rsidRPr="00E94A8C">
        <w:rPr>
          <w:noProof/>
        </w:rPr>
        <w:t>(11): p. 2701-12.</w:t>
      </w:r>
    </w:p>
    <w:p w14:paraId="64C1D4BA" w14:textId="77777777" w:rsidR="00665D43" w:rsidRPr="00E94A8C" w:rsidRDefault="00665D43" w:rsidP="00665D43">
      <w:pPr>
        <w:pStyle w:val="EndNoteBibliography"/>
        <w:ind w:left="720" w:hanging="720"/>
        <w:rPr>
          <w:noProof/>
        </w:rPr>
      </w:pPr>
      <w:r w:rsidRPr="00E94A8C">
        <w:rPr>
          <w:noProof/>
        </w:rPr>
        <w:t>2.</w:t>
      </w:r>
      <w:r w:rsidRPr="00E94A8C">
        <w:rPr>
          <w:noProof/>
        </w:rPr>
        <w:tab/>
        <w:t xml:space="preserve">Skates, S.J., D.K. Pauler, and I.J. Jacobs, </w:t>
      </w:r>
      <w:r w:rsidRPr="00E94A8C">
        <w:rPr>
          <w:i/>
          <w:noProof/>
        </w:rPr>
        <w:t>Screening Based on the Risk of Cancer Calculation From Bayesian Hierarchical Changepoint and Mixture Models of Longitudinal Markers.</w:t>
      </w:r>
      <w:r w:rsidRPr="00E94A8C">
        <w:rPr>
          <w:noProof/>
        </w:rPr>
        <w:t xml:space="preserve"> Journal of the American Statistical Association, 2001. </w:t>
      </w:r>
      <w:r w:rsidRPr="00E94A8C">
        <w:rPr>
          <w:b/>
          <w:noProof/>
        </w:rPr>
        <w:t>96</w:t>
      </w:r>
      <w:r w:rsidRPr="00E94A8C">
        <w:rPr>
          <w:noProof/>
        </w:rPr>
        <w:t>(454): p. 429-439.</w:t>
      </w:r>
    </w:p>
    <w:p w14:paraId="7B0ABD55" w14:textId="77777777" w:rsidR="00665D43" w:rsidRPr="00E94A8C" w:rsidRDefault="00665D43" w:rsidP="00665D43">
      <w:pPr>
        <w:pStyle w:val="EndNoteBibliography"/>
        <w:ind w:left="720" w:hanging="720"/>
        <w:rPr>
          <w:noProof/>
        </w:rPr>
      </w:pPr>
      <w:r w:rsidRPr="00E94A8C">
        <w:rPr>
          <w:noProof/>
        </w:rPr>
        <w:t>3.</w:t>
      </w:r>
      <w:r w:rsidRPr="00E94A8C">
        <w:rPr>
          <w:noProof/>
        </w:rPr>
        <w:tab/>
        <w:t xml:space="preserve">Jacobs, I., et al., </w:t>
      </w:r>
      <w:r w:rsidRPr="00E94A8C">
        <w:rPr>
          <w:i/>
          <w:noProof/>
        </w:rPr>
        <w:t>Multimodal approach to screening for ovarian cancer.</w:t>
      </w:r>
      <w:r w:rsidRPr="00E94A8C">
        <w:rPr>
          <w:noProof/>
        </w:rPr>
        <w:t xml:space="preserve"> Lancet, 1988. </w:t>
      </w:r>
      <w:r w:rsidRPr="00E94A8C">
        <w:rPr>
          <w:b/>
          <w:noProof/>
        </w:rPr>
        <w:t>1</w:t>
      </w:r>
      <w:r w:rsidRPr="00E94A8C">
        <w:rPr>
          <w:noProof/>
        </w:rPr>
        <w:t>(8580): p. 268-71.</w:t>
      </w:r>
    </w:p>
    <w:p w14:paraId="660E56F2" w14:textId="77777777" w:rsidR="00665D43" w:rsidRPr="00E94A8C" w:rsidRDefault="00665D43" w:rsidP="00665D43">
      <w:pPr>
        <w:pStyle w:val="EndNoteBibliography"/>
        <w:ind w:left="720" w:hanging="720"/>
        <w:rPr>
          <w:noProof/>
        </w:rPr>
      </w:pPr>
      <w:r w:rsidRPr="00E94A8C">
        <w:rPr>
          <w:noProof/>
        </w:rPr>
        <w:t>4.</w:t>
      </w:r>
      <w:r w:rsidRPr="00E94A8C">
        <w:rPr>
          <w:noProof/>
        </w:rPr>
        <w:tab/>
        <w:t xml:space="preserve">Einhorn, N., et al., </w:t>
      </w:r>
      <w:r w:rsidRPr="00E94A8C">
        <w:rPr>
          <w:i/>
          <w:noProof/>
        </w:rPr>
        <w:t>Prospective evaluation of serum CA 125 levels for early detection of ovarian cancer.</w:t>
      </w:r>
      <w:r w:rsidRPr="00E94A8C">
        <w:rPr>
          <w:noProof/>
        </w:rPr>
        <w:t xml:space="preserve"> Obstet Gynecol, 1992. </w:t>
      </w:r>
      <w:r w:rsidRPr="00E94A8C">
        <w:rPr>
          <w:b/>
          <w:noProof/>
        </w:rPr>
        <w:t>80</w:t>
      </w:r>
      <w:r w:rsidRPr="00E94A8C">
        <w:rPr>
          <w:noProof/>
        </w:rPr>
        <w:t>(1): p. 14-8.</w:t>
      </w:r>
    </w:p>
    <w:p w14:paraId="4F2A5F80" w14:textId="77777777" w:rsidR="00665D43" w:rsidRPr="00E94A8C" w:rsidRDefault="00665D43" w:rsidP="00665D43">
      <w:pPr>
        <w:pStyle w:val="EndNoteBibliography"/>
        <w:ind w:left="720" w:hanging="720"/>
        <w:rPr>
          <w:noProof/>
        </w:rPr>
      </w:pPr>
      <w:r w:rsidRPr="00E94A8C">
        <w:rPr>
          <w:noProof/>
        </w:rPr>
        <w:t>5.</w:t>
      </w:r>
      <w:r w:rsidRPr="00E94A8C">
        <w:rPr>
          <w:noProof/>
        </w:rPr>
        <w:tab/>
        <w:t xml:space="preserve">Jacobs, I.J., et al., </w:t>
      </w:r>
      <w:r w:rsidRPr="00E94A8C">
        <w:rPr>
          <w:i/>
          <w:noProof/>
        </w:rPr>
        <w:t>Screening for ovarian cancer: a pilot randomised controlled trial.</w:t>
      </w:r>
      <w:r w:rsidRPr="00E94A8C">
        <w:rPr>
          <w:noProof/>
        </w:rPr>
        <w:t xml:space="preserve"> Lancet, 1999. </w:t>
      </w:r>
      <w:r w:rsidRPr="00E94A8C">
        <w:rPr>
          <w:b/>
          <w:noProof/>
        </w:rPr>
        <w:t>353</w:t>
      </w:r>
      <w:r w:rsidRPr="00E94A8C">
        <w:rPr>
          <w:noProof/>
        </w:rPr>
        <w:t>(9160): p. 1207-10.</w:t>
      </w:r>
    </w:p>
    <w:p w14:paraId="279E8652" w14:textId="77777777" w:rsidR="00665D43" w:rsidRPr="00E94A8C" w:rsidRDefault="00665D43" w:rsidP="00665D43">
      <w:pPr>
        <w:pStyle w:val="EndNoteBibliography"/>
        <w:ind w:left="720" w:hanging="720"/>
        <w:rPr>
          <w:noProof/>
        </w:rPr>
      </w:pPr>
      <w:r w:rsidRPr="00E94A8C">
        <w:rPr>
          <w:noProof/>
        </w:rPr>
        <w:t>6.</w:t>
      </w:r>
      <w:r w:rsidRPr="00E94A8C">
        <w:rPr>
          <w:noProof/>
        </w:rPr>
        <w:tab/>
        <w:t xml:space="preserve">Skates, S.J., et al., </w:t>
      </w:r>
      <w:r w:rsidRPr="00E94A8C">
        <w:rPr>
          <w:i/>
          <w:noProof/>
        </w:rPr>
        <w:t>Preoperative sensitivity and specificity for early-stage ovarian cancer when combining cancer antigen CA-125II, CA 15-3, CA 72-4, and macrophage colony-stimulating factor using mixtures of multivariate normal distributions.</w:t>
      </w:r>
      <w:r w:rsidRPr="00E94A8C">
        <w:rPr>
          <w:noProof/>
        </w:rPr>
        <w:t xml:space="preserve"> J Clin Oncol, 2004. </w:t>
      </w:r>
      <w:r w:rsidRPr="00E94A8C">
        <w:rPr>
          <w:b/>
          <w:noProof/>
        </w:rPr>
        <w:t>22</w:t>
      </w:r>
      <w:r w:rsidRPr="00E94A8C">
        <w:rPr>
          <w:noProof/>
        </w:rPr>
        <w:t>(20): p. 4059-66.</w:t>
      </w:r>
    </w:p>
    <w:p w14:paraId="0793C2F2" w14:textId="77777777" w:rsidR="00665D43" w:rsidRPr="00E94A8C" w:rsidRDefault="00665D43" w:rsidP="00665D43">
      <w:pPr>
        <w:pStyle w:val="EndNoteBibliography"/>
        <w:ind w:left="720" w:hanging="720"/>
        <w:rPr>
          <w:noProof/>
        </w:rPr>
      </w:pPr>
      <w:r w:rsidRPr="00E94A8C">
        <w:rPr>
          <w:noProof/>
        </w:rPr>
        <w:t>7.</w:t>
      </w:r>
      <w:r w:rsidRPr="00E94A8C">
        <w:rPr>
          <w:noProof/>
        </w:rPr>
        <w:tab/>
        <w:t xml:space="preserve">Jacobs, I. and R.C. Bast, Jr., </w:t>
      </w:r>
      <w:r w:rsidRPr="00E94A8C">
        <w:rPr>
          <w:i/>
          <w:noProof/>
        </w:rPr>
        <w:t>The CA 125 tumour-associated antigen: a review of the literature.</w:t>
      </w:r>
      <w:r w:rsidRPr="00E94A8C">
        <w:rPr>
          <w:noProof/>
        </w:rPr>
        <w:t xml:space="preserve"> Hum Reprod, 1989. </w:t>
      </w:r>
      <w:r w:rsidRPr="00E94A8C">
        <w:rPr>
          <w:b/>
          <w:noProof/>
        </w:rPr>
        <w:t>4</w:t>
      </w:r>
      <w:r w:rsidRPr="00E94A8C">
        <w:rPr>
          <w:noProof/>
        </w:rPr>
        <w:t>(1): p. 1-12.</w:t>
      </w:r>
    </w:p>
    <w:p w14:paraId="3039EBD6" w14:textId="6F7BDAA5" w:rsidR="009D180E" w:rsidRDefault="00665D43">
      <w:pPr>
        <w:rPr>
          <w:rFonts w:ascii="Arial" w:hAnsi="Arial" w:cs="Arial"/>
        </w:rPr>
      </w:pPr>
      <w:r w:rsidRPr="00E94A8C">
        <w:rPr>
          <w:rFonts w:ascii="Arial" w:hAnsi="Arial" w:cs="Arial"/>
        </w:rPr>
        <w:fldChar w:fldCharType="end"/>
      </w:r>
      <w:r w:rsidR="009D180E">
        <w:rPr>
          <w:rFonts w:ascii="Arial" w:hAnsi="Arial" w:cs="Arial"/>
        </w:rPr>
        <w:br w:type="page"/>
      </w:r>
    </w:p>
    <w:p w14:paraId="388A225C" w14:textId="77777777" w:rsidR="00524D68" w:rsidRPr="00E94A8C" w:rsidRDefault="00524D68">
      <w:pPr>
        <w:rPr>
          <w:rFonts w:ascii="Arial" w:hAnsi="Arial" w:cs="Arial"/>
          <w:b/>
        </w:rPr>
      </w:pPr>
    </w:p>
    <w:p w14:paraId="1DBB9598" w14:textId="4D1734B3" w:rsidR="00F43A5B" w:rsidRPr="00E94A8C" w:rsidRDefault="009C53CB" w:rsidP="00F43A5B">
      <w:pPr>
        <w:pStyle w:val="Caption"/>
        <w:rPr>
          <w:rFonts w:cs="Arial"/>
        </w:rPr>
      </w:pPr>
      <w:bookmarkStart w:id="1" w:name="_Ref220653213"/>
      <w:r w:rsidRPr="00E94A8C">
        <w:rPr>
          <w:rFonts w:cs="Arial"/>
        </w:rPr>
        <w:t xml:space="preserve">Supplementary </w:t>
      </w:r>
      <w:r w:rsidR="00F43A5B" w:rsidRPr="00E94A8C">
        <w:rPr>
          <w:rFonts w:cs="Arial"/>
        </w:rPr>
        <w:t xml:space="preserve">Table </w:t>
      </w:r>
      <w:bookmarkEnd w:id="1"/>
      <w:r w:rsidR="001D3C48" w:rsidRPr="00E94A8C">
        <w:rPr>
          <w:rFonts w:cs="Arial"/>
        </w:rPr>
        <w:t>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8"/>
        <w:gridCol w:w="1350"/>
        <w:gridCol w:w="1162"/>
        <w:gridCol w:w="1440"/>
        <w:gridCol w:w="1538"/>
        <w:gridCol w:w="1626"/>
        <w:gridCol w:w="1156"/>
        <w:gridCol w:w="1178"/>
      </w:tblGrid>
      <w:tr w:rsidR="008E65F3" w:rsidRPr="00E94A8C" w14:paraId="39CFAD58" w14:textId="77777777" w:rsidTr="00480582">
        <w:tc>
          <w:tcPr>
            <w:tcW w:w="1278" w:type="dxa"/>
            <w:tcBorders>
              <w:top w:val="single" w:sz="18" w:space="0" w:color="auto"/>
              <w:left w:val="single" w:sz="18" w:space="0" w:color="auto"/>
              <w:bottom w:val="single" w:sz="18" w:space="0" w:color="auto"/>
              <w:right w:val="single" w:sz="2" w:space="0" w:color="auto"/>
            </w:tcBorders>
          </w:tcPr>
          <w:p w14:paraId="4066B745" w14:textId="77777777" w:rsidR="00F43A5B" w:rsidRPr="00E94A8C" w:rsidRDefault="00F43A5B" w:rsidP="00F43A5B">
            <w:pPr>
              <w:keepNext/>
              <w:adjustRightInd w:val="0"/>
              <w:jc w:val="center"/>
              <w:rPr>
                <w:rFonts w:ascii="Arial" w:eastAsiaTheme="majorEastAsia" w:hAnsi="Arial" w:cs="Arial"/>
                <w:b/>
                <w:bCs/>
                <w:color w:val="000000"/>
              </w:rPr>
            </w:pPr>
            <w:r w:rsidRPr="00E94A8C">
              <w:rPr>
                <w:rFonts w:ascii="Arial" w:hAnsi="Arial" w:cs="Arial"/>
                <w:b/>
                <w:bCs/>
                <w:color w:val="000000"/>
                <w:sz w:val="22"/>
                <w:szCs w:val="22"/>
              </w:rPr>
              <w:t>Year</w:t>
            </w:r>
          </w:p>
        </w:tc>
        <w:tc>
          <w:tcPr>
            <w:tcW w:w="1350" w:type="dxa"/>
            <w:tcBorders>
              <w:top w:val="single" w:sz="18" w:space="0" w:color="auto"/>
              <w:left w:val="single" w:sz="2" w:space="0" w:color="auto"/>
              <w:bottom w:val="single" w:sz="18" w:space="0" w:color="auto"/>
              <w:right w:val="single" w:sz="2" w:space="0" w:color="auto"/>
            </w:tcBorders>
          </w:tcPr>
          <w:p w14:paraId="3F919DBF" w14:textId="77777777" w:rsidR="00F43A5B" w:rsidRPr="00E94A8C" w:rsidRDefault="00F43A5B" w:rsidP="00F43A5B">
            <w:pPr>
              <w:keepNext/>
              <w:adjustRightInd w:val="0"/>
              <w:jc w:val="center"/>
              <w:rPr>
                <w:rFonts w:ascii="Arial" w:eastAsiaTheme="majorEastAsia" w:hAnsi="Arial" w:cs="Arial"/>
                <w:b/>
                <w:bCs/>
                <w:color w:val="000000"/>
              </w:rPr>
            </w:pPr>
            <w:r w:rsidRPr="00E94A8C">
              <w:rPr>
                <w:rFonts w:ascii="Arial" w:hAnsi="Arial" w:cs="Arial"/>
                <w:b/>
                <w:bCs/>
                <w:color w:val="000000"/>
                <w:sz w:val="22"/>
                <w:szCs w:val="22"/>
              </w:rPr>
              <w:t># subjects with ROCA rec</w:t>
            </w:r>
          </w:p>
        </w:tc>
        <w:tc>
          <w:tcPr>
            <w:tcW w:w="1162" w:type="dxa"/>
            <w:tcBorders>
              <w:top w:val="single" w:sz="18" w:space="0" w:color="auto"/>
              <w:left w:val="single" w:sz="2" w:space="0" w:color="auto"/>
              <w:bottom w:val="single" w:sz="18" w:space="0" w:color="auto"/>
              <w:right w:val="single" w:sz="2" w:space="0" w:color="auto"/>
            </w:tcBorders>
          </w:tcPr>
          <w:p w14:paraId="505D6D65" w14:textId="77777777" w:rsidR="00F43A5B" w:rsidRPr="00E94A8C" w:rsidRDefault="00F43A5B" w:rsidP="00F43A5B">
            <w:pPr>
              <w:keepNext/>
              <w:adjustRightInd w:val="0"/>
              <w:jc w:val="center"/>
              <w:rPr>
                <w:rFonts w:ascii="Arial" w:eastAsiaTheme="majorEastAsia" w:hAnsi="Arial" w:cs="Arial"/>
                <w:b/>
                <w:bCs/>
                <w:color w:val="000000"/>
              </w:rPr>
            </w:pPr>
            <w:r w:rsidRPr="00E94A8C">
              <w:rPr>
                <w:rFonts w:ascii="Arial" w:hAnsi="Arial" w:cs="Arial"/>
                <w:b/>
                <w:bCs/>
                <w:color w:val="000000"/>
                <w:sz w:val="22"/>
                <w:szCs w:val="22"/>
              </w:rPr>
              <w:t># with normal rec</w:t>
            </w:r>
          </w:p>
        </w:tc>
        <w:tc>
          <w:tcPr>
            <w:tcW w:w="1440" w:type="dxa"/>
            <w:tcBorders>
              <w:top w:val="single" w:sz="18" w:space="0" w:color="auto"/>
              <w:left w:val="single" w:sz="2" w:space="0" w:color="auto"/>
              <w:bottom w:val="single" w:sz="18" w:space="0" w:color="auto"/>
              <w:right w:val="single" w:sz="2" w:space="0" w:color="auto"/>
            </w:tcBorders>
          </w:tcPr>
          <w:p w14:paraId="2B3AA0B2" w14:textId="77777777" w:rsidR="00F43A5B" w:rsidRPr="00E94A8C" w:rsidRDefault="00F43A5B" w:rsidP="00F43A5B">
            <w:pPr>
              <w:keepNext/>
              <w:adjustRightInd w:val="0"/>
              <w:jc w:val="center"/>
              <w:rPr>
                <w:rFonts w:ascii="Arial" w:eastAsiaTheme="majorEastAsia" w:hAnsi="Arial" w:cs="Arial"/>
                <w:b/>
                <w:bCs/>
                <w:color w:val="000000"/>
              </w:rPr>
            </w:pPr>
            <w:r w:rsidRPr="00E94A8C">
              <w:rPr>
                <w:rFonts w:ascii="Arial" w:hAnsi="Arial" w:cs="Arial"/>
                <w:b/>
                <w:bCs/>
                <w:color w:val="000000"/>
                <w:sz w:val="22"/>
                <w:szCs w:val="22"/>
              </w:rPr>
              <w:t>% with normal               rec</w:t>
            </w:r>
          </w:p>
        </w:tc>
        <w:tc>
          <w:tcPr>
            <w:tcW w:w="1538" w:type="dxa"/>
            <w:tcBorders>
              <w:top w:val="single" w:sz="18" w:space="0" w:color="auto"/>
              <w:left w:val="single" w:sz="2" w:space="0" w:color="auto"/>
              <w:bottom w:val="single" w:sz="18" w:space="0" w:color="auto"/>
              <w:right w:val="single" w:sz="2" w:space="0" w:color="auto"/>
            </w:tcBorders>
          </w:tcPr>
          <w:p w14:paraId="0333A0D0" w14:textId="77777777" w:rsidR="00F43A5B" w:rsidRPr="00E94A8C" w:rsidRDefault="00F43A5B" w:rsidP="00F43A5B">
            <w:pPr>
              <w:keepNext/>
              <w:adjustRightInd w:val="0"/>
              <w:jc w:val="center"/>
              <w:rPr>
                <w:rFonts w:ascii="Arial" w:eastAsiaTheme="majorEastAsia" w:hAnsi="Arial" w:cs="Arial"/>
                <w:b/>
                <w:bCs/>
                <w:color w:val="000000"/>
              </w:rPr>
            </w:pPr>
            <w:r w:rsidRPr="00E94A8C">
              <w:rPr>
                <w:rFonts w:ascii="Arial" w:hAnsi="Arial" w:cs="Arial"/>
                <w:b/>
                <w:bCs/>
                <w:color w:val="000000"/>
                <w:sz w:val="22"/>
                <w:szCs w:val="22"/>
              </w:rPr>
              <w:t># with intermediate rec</w:t>
            </w:r>
          </w:p>
        </w:tc>
        <w:tc>
          <w:tcPr>
            <w:tcW w:w="1626" w:type="dxa"/>
            <w:tcBorders>
              <w:top w:val="single" w:sz="18" w:space="0" w:color="auto"/>
              <w:left w:val="single" w:sz="2" w:space="0" w:color="auto"/>
              <w:bottom w:val="single" w:sz="18" w:space="0" w:color="auto"/>
              <w:right w:val="single" w:sz="2" w:space="0" w:color="auto"/>
            </w:tcBorders>
          </w:tcPr>
          <w:p w14:paraId="6EACFE5D" w14:textId="77777777" w:rsidR="00F43A5B" w:rsidRPr="00E94A8C" w:rsidRDefault="00F43A5B" w:rsidP="00F43A5B">
            <w:pPr>
              <w:keepNext/>
              <w:adjustRightInd w:val="0"/>
              <w:jc w:val="center"/>
              <w:rPr>
                <w:rFonts w:ascii="Arial" w:eastAsiaTheme="majorEastAsia" w:hAnsi="Arial" w:cs="Arial"/>
                <w:b/>
                <w:bCs/>
                <w:color w:val="000000"/>
              </w:rPr>
            </w:pPr>
            <w:r w:rsidRPr="00E94A8C">
              <w:rPr>
                <w:rFonts w:ascii="Arial" w:hAnsi="Arial" w:cs="Arial"/>
                <w:b/>
                <w:bCs/>
                <w:color w:val="000000"/>
                <w:sz w:val="22"/>
                <w:szCs w:val="22"/>
              </w:rPr>
              <w:t xml:space="preserve">% with </w:t>
            </w:r>
            <w:r w:rsidRPr="00E94A8C">
              <w:rPr>
                <w:rFonts w:ascii="Arial" w:hAnsi="Arial" w:cs="Arial"/>
                <w:b/>
                <w:bCs/>
                <w:color w:val="000000"/>
                <w:sz w:val="22"/>
                <w:szCs w:val="22"/>
              </w:rPr>
              <w:br/>
              <w:t>intermediate rec</w:t>
            </w:r>
          </w:p>
        </w:tc>
        <w:tc>
          <w:tcPr>
            <w:tcW w:w="1156" w:type="dxa"/>
            <w:tcBorders>
              <w:top w:val="single" w:sz="18" w:space="0" w:color="auto"/>
              <w:left w:val="single" w:sz="2" w:space="0" w:color="auto"/>
              <w:bottom w:val="single" w:sz="18" w:space="0" w:color="auto"/>
              <w:right w:val="single" w:sz="2" w:space="0" w:color="auto"/>
            </w:tcBorders>
          </w:tcPr>
          <w:p w14:paraId="7DA71578" w14:textId="0C604D58" w:rsidR="00F43A5B" w:rsidRPr="00E94A8C" w:rsidRDefault="00F43A5B" w:rsidP="00F43A5B">
            <w:pPr>
              <w:keepNext/>
              <w:adjustRightInd w:val="0"/>
              <w:jc w:val="center"/>
              <w:rPr>
                <w:rFonts w:ascii="Arial" w:eastAsiaTheme="majorEastAsia" w:hAnsi="Arial" w:cs="Arial"/>
                <w:b/>
                <w:bCs/>
                <w:color w:val="000000"/>
              </w:rPr>
            </w:pPr>
            <w:r w:rsidRPr="00E94A8C">
              <w:rPr>
                <w:rFonts w:ascii="Arial" w:hAnsi="Arial" w:cs="Arial"/>
                <w:b/>
                <w:bCs/>
                <w:color w:val="000000"/>
                <w:sz w:val="22"/>
                <w:szCs w:val="22"/>
              </w:rPr>
              <w:t xml:space="preserve"># with </w:t>
            </w:r>
            <w:r w:rsidRPr="00E94A8C">
              <w:rPr>
                <w:rFonts w:ascii="Arial" w:hAnsi="Arial" w:cs="Arial"/>
                <w:b/>
                <w:bCs/>
                <w:color w:val="000000"/>
                <w:sz w:val="22"/>
                <w:szCs w:val="22"/>
              </w:rPr>
              <w:br/>
            </w:r>
            <w:r w:rsidR="00A010B6">
              <w:rPr>
                <w:rFonts w:ascii="Arial" w:hAnsi="Arial" w:cs="Arial"/>
                <w:b/>
                <w:bCs/>
                <w:color w:val="000000"/>
                <w:sz w:val="22"/>
                <w:szCs w:val="22"/>
              </w:rPr>
              <w:t>elevated</w:t>
            </w:r>
            <w:r w:rsidRPr="00E94A8C">
              <w:rPr>
                <w:rFonts w:ascii="Arial" w:hAnsi="Arial" w:cs="Arial"/>
                <w:b/>
                <w:bCs/>
                <w:color w:val="000000"/>
                <w:sz w:val="22"/>
                <w:szCs w:val="22"/>
              </w:rPr>
              <w:t xml:space="preserve">           rec</w:t>
            </w:r>
          </w:p>
        </w:tc>
        <w:tc>
          <w:tcPr>
            <w:tcW w:w="1178" w:type="dxa"/>
            <w:tcBorders>
              <w:top w:val="single" w:sz="18" w:space="0" w:color="auto"/>
              <w:left w:val="single" w:sz="2" w:space="0" w:color="auto"/>
              <w:bottom w:val="single" w:sz="18" w:space="0" w:color="auto"/>
              <w:right w:val="single" w:sz="18" w:space="0" w:color="auto"/>
            </w:tcBorders>
          </w:tcPr>
          <w:p w14:paraId="0DEF8BB7" w14:textId="6583F060" w:rsidR="00F43A5B" w:rsidRPr="00E94A8C" w:rsidRDefault="00F43A5B" w:rsidP="00A010B6">
            <w:pPr>
              <w:keepNext/>
              <w:adjustRightInd w:val="0"/>
              <w:jc w:val="center"/>
              <w:rPr>
                <w:rFonts w:ascii="Arial" w:eastAsiaTheme="majorEastAsia" w:hAnsi="Arial" w:cs="Arial"/>
                <w:b/>
                <w:bCs/>
                <w:color w:val="000000"/>
              </w:rPr>
            </w:pPr>
            <w:r w:rsidRPr="00E94A8C">
              <w:rPr>
                <w:rFonts w:ascii="Arial" w:hAnsi="Arial" w:cs="Arial"/>
                <w:b/>
                <w:bCs/>
                <w:color w:val="000000"/>
                <w:sz w:val="22"/>
                <w:szCs w:val="22"/>
              </w:rPr>
              <w:t xml:space="preserve">% with </w:t>
            </w:r>
            <w:r w:rsidRPr="00E94A8C">
              <w:rPr>
                <w:rFonts w:ascii="Arial" w:hAnsi="Arial" w:cs="Arial"/>
                <w:b/>
                <w:bCs/>
                <w:color w:val="000000"/>
                <w:sz w:val="22"/>
                <w:szCs w:val="22"/>
              </w:rPr>
              <w:br/>
            </w:r>
            <w:r w:rsidR="00A010B6">
              <w:rPr>
                <w:rFonts w:ascii="Arial" w:hAnsi="Arial" w:cs="Arial"/>
                <w:b/>
                <w:bCs/>
                <w:color w:val="000000"/>
                <w:sz w:val="22"/>
                <w:szCs w:val="22"/>
              </w:rPr>
              <w:t xml:space="preserve">elevated </w:t>
            </w:r>
            <w:r w:rsidRPr="00E94A8C">
              <w:rPr>
                <w:rFonts w:ascii="Arial" w:hAnsi="Arial" w:cs="Arial"/>
                <w:b/>
                <w:bCs/>
                <w:color w:val="000000"/>
                <w:sz w:val="22"/>
                <w:szCs w:val="22"/>
              </w:rPr>
              <w:t>rec</w:t>
            </w:r>
          </w:p>
        </w:tc>
      </w:tr>
      <w:tr w:rsidR="00F43A5B" w:rsidRPr="00E94A8C" w14:paraId="281585BD" w14:textId="77777777" w:rsidTr="00480582">
        <w:tc>
          <w:tcPr>
            <w:tcW w:w="1278" w:type="dxa"/>
            <w:tcBorders>
              <w:top w:val="single" w:sz="18" w:space="0" w:color="auto"/>
              <w:bottom w:val="single" w:sz="6" w:space="0" w:color="auto"/>
              <w:right w:val="single" w:sz="12" w:space="0" w:color="auto"/>
            </w:tcBorders>
            <w:vAlign w:val="center"/>
          </w:tcPr>
          <w:p w14:paraId="6F39D5D8"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2001</w:t>
            </w:r>
          </w:p>
        </w:tc>
        <w:tc>
          <w:tcPr>
            <w:tcW w:w="1350" w:type="dxa"/>
            <w:tcBorders>
              <w:top w:val="single" w:sz="18" w:space="0" w:color="auto"/>
              <w:left w:val="single" w:sz="12" w:space="0" w:color="auto"/>
              <w:bottom w:val="single" w:sz="6" w:space="0" w:color="auto"/>
              <w:right w:val="single" w:sz="12" w:space="0" w:color="auto"/>
            </w:tcBorders>
            <w:vAlign w:val="center"/>
          </w:tcPr>
          <w:p w14:paraId="18CDA73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72</w:t>
            </w:r>
          </w:p>
        </w:tc>
        <w:tc>
          <w:tcPr>
            <w:tcW w:w="1162" w:type="dxa"/>
            <w:tcBorders>
              <w:top w:val="single" w:sz="18" w:space="0" w:color="auto"/>
              <w:left w:val="single" w:sz="12" w:space="0" w:color="auto"/>
              <w:bottom w:val="single" w:sz="2" w:space="0" w:color="auto"/>
              <w:right w:val="single" w:sz="2" w:space="0" w:color="auto"/>
            </w:tcBorders>
            <w:vAlign w:val="center"/>
          </w:tcPr>
          <w:p w14:paraId="2495E565"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69</w:t>
            </w:r>
          </w:p>
        </w:tc>
        <w:tc>
          <w:tcPr>
            <w:tcW w:w="1440" w:type="dxa"/>
            <w:tcBorders>
              <w:top w:val="single" w:sz="18" w:space="0" w:color="auto"/>
              <w:left w:val="single" w:sz="2" w:space="0" w:color="auto"/>
              <w:bottom w:val="single" w:sz="2" w:space="0" w:color="auto"/>
              <w:right w:val="single" w:sz="12" w:space="0" w:color="auto"/>
            </w:tcBorders>
            <w:vAlign w:val="center"/>
          </w:tcPr>
          <w:p w14:paraId="258E0E70"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95.8%</w:t>
            </w:r>
          </w:p>
        </w:tc>
        <w:tc>
          <w:tcPr>
            <w:tcW w:w="1538" w:type="dxa"/>
            <w:tcBorders>
              <w:top w:val="single" w:sz="18" w:space="0" w:color="auto"/>
              <w:left w:val="single" w:sz="12" w:space="0" w:color="auto"/>
              <w:bottom w:val="single" w:sz="2" w:space="0" w:color="auto"/>
              <w:right w:val="single" w:sz="2" w:space="0" w:color="auto"/>
            </w:tcBorders>
            <w:vAlign w:val="center"/>
          </w:tcPr>
          <w:p w14:paraId="55CCA1B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w:t>
            </w:r>
          </w:p>
        </w:tc>
        <w:tc>
          <w:tcPr>
            <w:tcW w:w="1626" w:type="dxa"/>
            <w:tcBorders>
              <w:top w:val="single" w:sz="18" w:space="0" w:color="auto"/>
              <w:left w:val="single" w:sz="2" w:space="0" w:color="auto"/>
              <w:bottom w:val="single" w:sz="2" w:space="0" w:color="auto"/>
              <w:right w:val="single" w:sz="12" w:space="0" w:color="auto"/>
            </w:tcBorders>
            <w:vAlign w:val="center"/>
          </w:tcPr>
          <w:p w14:paraId="26660C08"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2.8%</w:t>
            </w:r>
          </w:p>
        </w:tc>
        <w:tc>
          <w:tcPr>
            <w:tcW w:w="1156" w:type="dxa"/>
            <w:tcBorders>
              <w:top w:val="single" w:sz="18" w:space="0" w:color="auto"/>
              <w:left w:val="single" w:sz="12" w:space="0" w:color="auto"/>
            </w:tcBorders>
            <w:vAlign w:val="center"/>
          </w:tcPr>
          <w:p w14:paraId="33E85B1C"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0</w:t>
            </w:r>
          </w:p>
        </w:tc>
        <w:tc>
          <w:tcPr>
            <w:tcW w:w="1178" w:type="dxa"/>
            <w:tcBorders>
              <w:top w:val="single" w:sz="18" w:space="0" w:color="auto"/>
            </w:tcBorders>
            <w:vAlign w:val="center"/>
          </w:tcPr>
          <w:p w14:paraId="73FC1098"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0.0%</w:t>
            </w:r>
          </w:p>
        </w:tc>
      </w:tr>
      <w:tr w:rsidR="00F43A5B" w:rsidRPr="00E94A8C" w14:paraId="177E9DCC" w14:textId="77777777" w:rsidTr="00480582">
        <w:tc>
          <w:tcPr>
            <w:tcW w:w="1278" w:type="dxa"/>
            <w:tcBorders>
              <w:top w:val="single" w:sz="6" w:space="0" w:color="auto"/>
              <w:bottom w:val="single" w:sz="6" w:space="0" w:color="auto"/>
              <w:right w:val="single" w:sz="12" w:space="0" w:color="auto"/>
            </w:tcBorders>
            <w:vAlign w:val="center"/>
          </w:tcPr>
          <w:p w14:paraId="5CB87A80"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2002</w:t>
            </w:r>
          </w:p>
        </w:tc>
        <w:tc>
          <w:tcPr>
            <w:tcW w:w="1350" w:type="dxa"/>
            <w:tcBorders>
              <w:top w:val="single" w:sz="6" w:space="0" w:color="auto"/>
              <w:left w:val="single" w:sz="12" w:space="0" w:color="auto"/>
              <w:bottom w:val="single" w:sz="6" w:space="0" w:color="auto"/>
              <w:right w:val="single" w:sz="12" w:space="0" w:color="auto"/>
            </w:tcBorders>
            <w:vAlign w:val="center"/>
          </w:tcPr>
          <w:p w14:paraId="2C406E59"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1112</w:t>
            </w:r>
          </w:p>
        </w:tc>
        <w:tc>
          <w:tcPr>
            <w:tcW w:w="1162" w:type="dxa"/>
            <w:tcBorders>
              <w:top w:val="single" w:sz="2" w:space="0" w:color="auto"/>
              <w:left w:val="single" w:sz="12" w:space="0" w:color="auto"/>
              <w:bottom w:val="single" w:sz="2" w:space="0" w:color="auto"/>
              <w:right w:val="single" w:sz="2" w:space="0" w:color="auto"/>
            </w:tcBorders>
            <w:vAlign w:val="center"/>
          </w:tcPr>
          <w:p w14:paraId="3ED60AB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992</w:t>
            </w:r>
          </w:p>
        </w:tc>
        <w:tc>
          <w:tcPr>
            <w:tcW w:w="1440" w:type="dxa"/>
            <w:tcBorders>
              <w:top w:val="single" w:sz="2" w:space="0" w:color="auto"/>
              <w:left w:val="single" w:sz="2" w:space="0" w:color="auto"/>
              <w:bottom w:val="single" w:sz="2" w:space="0" w:color="auto"/>
              <w:right w:val="single" w:sz="12" w:space="0" w:color="auto"/>
            </w:tcBorders>
            <w:vAlign w:val="center"/>
          </w:tcPr>
          <w:p w14:paraId="346726FE"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89.2%</w:t>
            </w:r>
          </w:p>
        </w:tc>
        <w:tc>
          <w:tcPr>
            <w:tcW w:w="1538" w:type="dxa"/>
            <w:tcBorders>
              <w:top w:val="single" w:sz="2" w:space="0" w:color="auto"/>
              <w:left w:val="single" w:sz="12" w:space="0" w:color="auto"/>
              <w:bottom w:val="single" w:sz="2" w:space="0" w:color="auto"/>
              <w:right w:val="single" w:sz="2" w:space="0" w:color="auto"/>
            </w:tcBorders>
            <w:vAlign w:val="center"/>
          </w:tcPr>
          <w:p w14:paraId="744F9D6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102</w:t>
            </w:r>
          </w:p>
        </w:tc>
        <w:tc>
          <w:tcPr>
            <w:tcW w:w="1626" w:type="dxa"/>
            <w:tcBorders>
              <w:top w:val="single" w:sz="2" w:space="0" w:color="auto"/>
              <w:left w:val="single" w:sz="2" w:space="0" w:color="auto"/>
              <w:bottom w:val="single" w:sz="2" w:space="0" w:color="auto"/>
              <w:right w:val="single" w:sz="12" w:space="0" w:color="auto"/>
            </w:tcBorders>
            <w:vAlign w:val="center"/>
          </w:tcPr>
          <w:p w14:paraId="2D57B040"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9.2%</w:t>
            </w:r>
          </w:p>
        </w:tc>
        <w:tc>
          <w:tcPr>
            <w:tcW w:w="1156" w:type="dxa"/>
            <w:tcBorders>
              <w:left w:val="single" w:sz="12" w:space="0" w:color="auto"/>
            </w:tcBorders>
            <w:vAlign w:val="center"/>
          </w:tcPr>
          <w:p w14:paraId="181143B8"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14</w:t>
            </w:r>
          </w:p>
        </w:tc>
        <w:tc>
          <w:tcPr>
            <w:tcW w:w="1178" w:type="dxa"/>
            <w:vAlign w:val="center"/>
          </w:tcPr>
          <w:p w14:paraId="695FB3B9"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1.3%</w:t>
            </w:r>
          </w:p>
        </w:tc>
      </w:tr>
      <w:tr w:rsidR="00F43A5B" w:rsidRPr="00E94A8C" w14:paraId="70EC3FD8" w14:textId="77777777" w:rsidTr="00480582">
        <w:tc>
          <w:tcPr>
            <w:tcW w:w="1278" w:type="dxa"/>
            <w:tcBorders>
              <w:top w:val="single" w:sz="6" w:space="0" w:color="auto"/>
              <w:bottom w:val="single" w:sz="6" w:space="0" w:color="auto"/>
              <w:right w:val="single" w:sz="12" w:space="0" w:color="auto"/>
            </w:tcBorders>
            <w:vAlign w:val="center"/>
          </w:tcPr>
          <w:p w14:paraId="6F784990"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2003</w:t>
            </w:r>
          </w:p>
        </w:tc>
        <w:tc>
          <w:tcPr>
            <w:tcW w:w="1350" w:type="dxa"/>
            <w:tcBorders>
              <w:top w:val="single" w:sz="6" w:space="0" w:color="auto"/>
              <w:left w:val="single" w:sz="12" w:space="0" w:color="auto"/>
              <w:bottom w:val="single" w:sz="6" w:space="0" w:color="auto"/>
              <w:right w:val="single" w:sz="12" w:space="0" w:color="auto"/>
            </w:tcBorders>
            <w:vAlign w:val="center"/>
          </w:tcPr>
          <w:p w14:paraId="74AB0AD3"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1697</w:t>
            </w:r>
          </w:p>
        </w:tc>
        <w:tc>
          <w:tcPr>
            <w:tcW w:w="1162" w:type="dxa"/>
            <w:tcBorders>
              <w:top w:val="single" w:sz="2" w:space="0" w:color="auto"/>
              <w:left w:val="single" w:sz="12" w:space="0" w:color="auto"/>
              <w:bottom w:val="single" w:sz="2" w:space="0" w:color="auto"/>
              <w:right w:val="single" w:sz="2" w:space="0" w:color="auto"/>
            </w:tcBorders>
            <w:vAlign w:val="center"/>
          </w:tcPr>
          <w:p w14:paraId="60CB480C"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1525</w:t>
            </w:r>
          </w:p>
        </w:tc>
        <w:tc>
          <w:tcPr>
            <w:tcW w:w="1440" w:type="dxa"/>
            <w:tcBorders>
              <w:top w:val="single" w:sz="2" w:space="0" w:color="auto"/>
              <w:left w:val="single" w:sz="2" w:space="0" w:color="auto"/>
              <w:bottom w:val="single" w:sz="2" w:space="0" w:color="auto"/>
              <w:right w:val="single" w:sz="12" w:space="0" w:color="auto"/>
            </w:tcBorders>
            <w:vAlign w:val="center"/>
          </w:tcPr>
          <w:p w14:paraId="7197D6E3"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89.9%</w:t>
            </w:r>
          </w:p>
        </w:tc>
        <w:tc>
          <w:tcPr>
            <w:tcW w:w="1538" w:type="dxa"/>
            <w:tcBorders>
              <w:top w:val="single" w:sz="2" w:space="0" w:color="auto"/>
              <w:left w:val="single" w:sz="12" w:space="0" w:color="auto"/>
              <w:bottom w:val="single" w:sz="2" w:space="0" w:color="auto"/>
              <w:right w:val="single" w:sz="2" w:space="0" w:color="auto"/>
            </w:tcBorders>
            <w:vAlign w:val="center"/>
          </w:tcPr>
          <w:p w14:paraId="691BBD32"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153</w:t>
            </w:r>
          </w:p>
        </w:tc>
        <w:tc>
          <w:tcPr>
            <w:tcW w:w="1626" w:type="dxa"/>
            <w:tcBorders>
              <w:top w:val="single" w:sz="2" w:space="0" w:color="auto"/>
              <w:left w:val="single" w:sz="2" w:space="0" w:color="auto"/>
              <w:bottom w:val="single" w:sz="2" w:space="0" w:color="auto"/>
              <w:right w:val="single" w:sz="12" w:space="0" w:color="auto"/>
            </w:tcBorders>
            <w:vAlign w:val="center"/>
          </w:tcPr>
          <w:p w14:paraId="68361562"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9.0%</w:t>
            </w:r>
          </w:p>
        </w:tc>
        <w:tc>
          <w:tcPr>
            <w:tcW w:w="1156" w:type="dxa"/>
            <w:tcBorders>
              <w:left w:val="single" w:sz="12" w:space="0" w:color="auto"/>
            </w:tcBorders>
            <w:vAlign w:val="center"/>
          </w:tcPr>
          <w:p w14:paraId="7DDF31DB"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19</w:t>
            </w:r>
          </w:p>
        </w:tc>
        <w:tc>
          <w:tcPr>
            <w:tcW w:w="1178" w:type="dxa"/>
            <w:vAlign w:val="center"/>
          </w:tcPr>
          <w:p w14:paraId="768895EB"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1.1%</w:t>
            </w:r>
          </w:p>
        </w:tc>
      </w:tr>
      <w:tr w:rsidR="00F43A5B" w:rsidRPr="00E94A8C" w14:paraId="4E5D7AB2" w14:textId="77777777" w:rsidTr="00480582">
        <w:tc>
          <w:tcPr>
            <w:tcW w:w="1278" w:type="dxa"/>
            <w:tcBorders>
              <w:top w:val="single" w:sz="6" w:space="0" w:color="auto"/>
              <w:bottom w:val="single" w:sz="6" w:space="0" w:color="auto"/>
              <w:right w:val="single" w:sz="12" w:space="0" w:color="auto"/>
            </w:tcBorders>
            <w:vAlign w:val="center"/>
          </w:tcPr>
          <w:p w14:paraId="325A3BD4"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2004</w:t>
            </w:r>
          </w:p>
        </w:tc>
        <w:tc>
          <w:tcPr>
            <w:tcW w:w="1350" w:type="dxa"/>
            <w:tcBorders>
              <w:top w:val="single" w:sz="6" w:space="0" w:color="auto"/>
              <w:left w:val="single" w:sz="12" w:space="0" w:color="auto"/>
              <w:bottom w:val="single" w:sz="6" w:space="0" w:color="auto"/>
              <w:right w:val="single" w:sz="12" w:space="0" w:color="auto"/>
            </w:tcBorders>
            <w:vAlign w:val="center"/>
          </w:tcPr>
          <w:p w14:paraId="4AB5FF51"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1992</w:t>
            </w:r>
          </w:p>
        </w:tc>
        <w:tc>
          <w:tcPr>
            <w:tcW w:w="1162" w:type="dxa"/>
            <w:tcBorders>
              <w:top w:val="single" w:sz="2" w:space="0" w:color="auto"/>
              <w:left w:val="single" w:sz="12" w:space="0" w:color="auto"/>
              <w:bottom w:val="single" w:sz="2" w:space="0" w:color="auto"/>
              <w:right w:val="single" w:sz="2" w:space="0" w:color="auto"/>
            </w:tcBorders>
            <w:vAlign w:val="center"/>
          </w:tcPr>
          <w:p w14:paraId="4310B552"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1859</w:t>
            </w:r>
          </w:p>
        </w:tc>
        <w:tc>
          <w:tcPr>
            <w:tcW w:w="1440" w:type="dxa"/>
            <w:tcBorders>
              <w:top w:val="single" w:sz="2" w:space="0" w:color="auto"/>
              <w:left w:val="single" w:sz="2" w:space="0" w:color="auto"/>
              <w:bottom w:val="single" w:sz="2" w:space="0" w:color="auto"/>
              <w:right w:val="single" w:sz="12" w:space="0" w:color="auto"/>
            </w:tcBorders>
            <w:vAlign w:val="center"/>
          </w:tcPr>
          <w:p w14:paraId="7308DE08"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93.3%</w:t>
            </w:r>
          </w:p>
        </w:tc>
        <w:tc>
          <w:tcPr>
            <w:tcW w:w="1538" w:type="dxa"/>
            <w:tcBorders>
              <w:top w:val="single" w:sz="2" w:space="0" w:color="auto"/>
              <w:left w:val="single" w:sz="12" w:space="0" w:color="auto"/>
              <w:bottom w:val="single" w:sz="2" w:space="0" w:color="auto"/>
              <w:right w:val="single" w:sz="2" w:space="0" w:color="auto"/>
            </w:tcBorders>
            <w:vAlign w:val="center"/>
          </w:tcPr>
          <w:p w14:paraId="363AD18B"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117</w:t>
            </w:r>
          </w:p>
        </w:tc>
        <w:tc>
          <w:tcPr>
            <w:tcW w:w="1626" w:type="dxa"/>
            <w:tcBorders>
              <w:top w:val="single" w:sz="2" w:space="0" w:color="auto"/>
              <w:left w:val="single" w:sz="2" w:space="0" w:color="auto"/>
              <w:bottom w:val="single" w:sz="2" w:space="0" w:color="auto"/>
              <w:right w:val="single" w:sz="12" w:space="0" w:color="auto"/>
            </w:tcBorders>
            <w:vAlign w:val="center"/>
          </w:tcPr>
          <w:p w14:paraId="0985860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5.9%</w:t>
            </w:r>
          </w:p>
        </w:tc>
        <w:tc>
          <w:tcPr>
            <w:tcW w:w="1156" w:type="dxa"/>
            <w:tcBorders>
              <w:left w:val="single" w:sz="12" w:space="0" w:color="auto"/>
            </w:tcBorders>
            <w:vAlign w:val="center"/>
          </w:tcPr>
          <w:p w14:paraId="6274A8A4"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16</w:t>
            </w:r>
          </w:p>
        </w:tc>
        <w:tc>
          <w:tcPr>
            <w:tcW w:w="1178" w:type="dxa"/>
            <w:vAlign w:val="center"/>
          </w:tcPr>
          <w:p w14:paraId="30768873"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0.8%</w:t>
            </w:r>
          </w:p>
        </w:tc>
      </w:tr>
      <w:tr w:rsidR="00F43A5B" w:rsidRPr="00E94A8C" w14:paraId="3E51D498" w14:textId="77777777" w:rsidTr="00480582">
        <w:tc>
          <w:tcPr>
            <w:tcW w:w="1278" w:type="dxa"/>
            <w:tcBorders>
              <w:top w:val="single" w:sz="6" w:space="0" w:color="auto"/>
              <w:bottom w:val="single" w:sz="6" w:space="0" w:color="auto"/>
              <w:right w:val="single" w:sz="12" w:space="0" w:color="auto"/>
            </w:tcBorders>
            <w:vAlign w:val="center"/>
          </w:tcPr>
          <w:p w14:paraId="7338CD1C"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2005</w:t>
            </w:r>
          </w:p>
        </w:tc>
        <w:tc>
          <w:tcPr>
            <w:tcW w:w="1350" w:type="dxa"/>
            <w:tcBorders>
              <w:top w:val="single" w:sz="6" w:space="0" w:color="auto"/>
              <w:left w:val="single" w:sz="12" w:space="0" w:color="auto"/>
              <w:bottom w:val="single" w:sz="6" w:space="0" w:color="auto"/>
              <w:right w:val="single" w:sz="12" w:space="0" w:color="auto"/>
            </w:tcBorders>
            <w:vAlign w:val="center"/>
          </w:tcPr>
          <w:p w14:paraId="6521B231"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2247</w:t>
            </w:r>
          </w:p>
        </w:tc>
        <w:tc>
          <w:tcPr>
            <w:tcW w:w="1162" w:type="dxa"/>
            <w:tcBorders>
              <w:top w:val="single" w:sz="2" w:space="0" w:color="auto"/>
              <w:left w:val="single" w:sz="12" w:space="0" w:color="auto"/>
              <w:bottom w:val="single" w:sz="2" w:space="0" w:color="auto"/>
              <w:right w:val="single" w:sz="2" w:space="0" w:color="auto"/>
            </w:tcBorders>
            <w:vAlign w:val="center"/>
          </w:tcPr>
          <w:p w14:paraId="58BDE7ED"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2116</w:t>
            </w:r>
          </w:p>
        </w:tc>
        <w:tc>
          <w:tcPr>
            <w:tcW w:w="1440" w:type="dxa"/>
            <w:tcBorders>
              <w:top w:val="single" w:sz="2" w:space="0" w:color="auto"/>
              <w:left w:val="single" w:sz="2" w:space="0" w:color="auto"/>
              <w:bottom w:val="single" w:sz="2" w:space="0" w:color="auto"/>
              <w:right w:val="single" w:sz="12" w:space="0" w:color="auto"/>
            </w:tcBorders>
            <w:vAlign w:val="center"/>
          </w:tcPr>
          <w:p w14:paraId="08775F0B"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94.2%</w:t>
            </w:r>
          </w:p>
        </w:tc>
        <w:tc>
          <w:tcPr>
            <w:tcW w:w="1538" w:type="dxa"/>
            <w:tcBorders>
              <w:top w:val="single" w:sz="2" w:space="0" w:color="auto"/>
              <w:left w:val="single" w:sz="12" w:space="0" w:color="auto"/>
              <w:bottom w:val="single" w:sz="2" w:space="0" w:color="auto"/>
              <w:right w:val="single" w:sz="2" w:space="0" w:color="auto"/>
            </w:tcBorders>
            <w:vAlign w:val="center"/>
          </w:tcPr>
          <w:p w14:paraId="6685EAB5"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115</w:t>
            </w:r>
          </w:p>
        </w:tc>
        <w:tc>
          <w:tcPr>
            <w:tcW w:w="1626" w:type="dxa"/>
            <w:tcBorders>
              <w:top w:val="single" w:sz="2" w:space="0" w:color="auto"/>
              <w:left w:val="single" w:sz="2" w:space="0" w:color="auto"/>
              <w:bottom w:val="single" w:sz="2" w:space="0" w:color="auto"/>
              <w:right w:val="single" w:sz="12" w:space="0" w:color="auto"/>
            </w:tcBorders>
            <w:vAlign w:val="center"/>
          </w:tcPr>
          <w:p w14:paraId="3A8A070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5.1%</w:t>
            </w:r>
          </w:p>
        </w:tc>
        <w:tc>
          <w:tcPr>
            <w:tcW w:w="1156" w:type="dxa"/>
            <w:tcBorders>
              <w:left w:val="single" w:sz="12" w:space="0" w:color="auto"/>
            </w:tcBorders>
            <w:vAlign w:val="center"/>
          </w:tcPr>
          <w:p w14:paraId="5C3D941A"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16</w:t>
            </w:r>
          </w:p>
        </w:tc>
        <w:tc>
          <w:tcPr>
            <w:tcW w:w="1178" w:type="dxa"/>
            <w:vAlign w:val="center"/>
          </w:tcPr>
          <w:p w14:paraId="4167987D"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0.7%</w:t>
            </w:r>
          </w:p>
        </w:tc>
      </w:tr>
      <w:tr w:rsidR="00F43A5B" w:rsidRPr="00E94A8C" w14:paraId="69D79341" w14:textId="77777777" w:rsidTr="00480582">
        <w:tc>
          <w:tcPr>
            <w:tcW w:w="1278" w:type="dxa"/>
            <w:tcBorders>
              <w:top w:val="single" w:sz="6" w:space="0" w:color="auto"/>
              <w:bottom w:val="single" w:sz="6" w:space="0" w:color="auto"/>
              <w:right w:val="single" w:sz="12" w:space="0" w:color="auto"/>
            </w:tcBorders>
            <w:vAlign w:val="center"/>
          </w:tcPr>
          <w:p w14:paraId="6455953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2006</w:t>
            </w:r>
          </w:p>
        </w:tc>
        <w:tc>
          <w:tcPr>
            <w:tcW w:w="1350" w:type="dxa"/>
            <w:tcBorders>
              <w:top w:val="single" w:sz="6" w:space="0" w:color="auto"/>
              <w:left w:val="single" w:sz="12" w:space="0" w:color="auto"/>
              <w:bottom w:val="single" w:sz="6" w:space="0" w:color="auto"/>
              <w:right w:val="single" w:sz="12" w:space="0" w:color="auto"/>
            </w:tcBorders>
            <w:vAlign w:val="center"/>
          </w:tcPr>
          <w:p w14:paraId="424B7D69"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2169</w:t>
            </w:r>
          </w:p>
        </w:tc>
        <w:tc>
          <w:tcPr>
            <w:tcW w:w="1162" w:type="dxa"/>
            <w:tcBorders>
              <w:top w:val="single" w:sz="2" w:space="0" w:color="auto"/>
              <w:left w:val="single" w:sz="12" w:space="0" w:color="auto"/>
              <w:bottom w:val="single" w:sz="2" w:space="0" w:color="auto"/>
              <w:right w:val="single" w:sz="2" w:space="0" w:color="auto"/>
            </w:tcBorders>
            <w:vAlign w:val="center"/>
          </w:tcPr>
          <w:p w14:paraId="6516F1B8"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2019</w:t>
            </w:r>
          </w:p>
        </w:tc>
        <w:tc>
          <w:tcPr>
            <w:tcW w:w="1440" w:type="dxa"/>
            <w:tcBorders>
              <w:top w:val="single" w:sz="2" w:space="0" w:color="auto"/>
              <w:left w:val="single" w:sz="2" w:space="0" w:color="auto"/>
              <w:bottom w:val="single" w:sz="2" w:space="0" w:color="auto"/>
              <w:right w:val="single" w:sz="12" w:space="0" w:color="auto"/>
            </w:tcBorders>
            <w:vAlign w:val="center"/>
          </w:tcPr>
          <w:p w14:paraId="3C44121C"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93.1%</w:t>
            </w:r>
          </w:p>
        </w:tc>
        <w:tc>
          <w:tcPr>
            <w:tcW w:w="1538" w:type="dxa"/>
            <w:tcBorders>
              <w:top w:val="single" w:sz="2" w:space="0" w:color="auto"/>
              <w:left w:val="single" w:sz="12" w:space="0" w:color="auto"/>
              <w:bottom w:val="single" w:sz="2" w:space="0" w:color="auto"/>
              <w:right w:val="single" w:sz="2" w:space="0" w:color="auto"/>
            </w:tcBorders>
            <w:vAlign w:val="center"/>
          </w:tcPr>
          <w:p w14:paraId="1A779617"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132</w:t>
            </w:r>
          </w:p>
        </w:tc>
        <w:tc>
          <w:tcPr>
            <w:tcW w:w="1626" w:type="dxa"/>
            <w:tcBorders>
              <w:top w:val="single" w:sz="2" w:space="0" w:color="auto"/>
              <w:left w:val="single" w:sz="2" w:space="0" w:color="auto"/>
              <w:bottom w:val="single" w:sz="2" w:space="0" w:color="auto"/>
              <w:right w:val="single" w:sz="12" w:space="0" w:color="auto"/>
            </w:tcBorders>
            <w:vAlign w:val="center"/>
          </w:tcPr>
          <w:p w14:paraId="78C5A2A1"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6.1%</w:t>
            </w:r>
          </w:p>
        </w:tc>
        <w:tc>
          <w:tcPr>
            <w:tcW w:w="1156" w:type="dxa"/>
            <w:tcBorders>
              <w:left w:val="single" w:sz="12" w:space="0" w:color="auto"/>
            </w:tcBorders>
            <w:vAlign w:val="center"/>
          </w:tcPr>
          <w:p w14:paraId="50FCF61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18</w:t>
            </w:r>
          </w:p>
        </w:tc>
        <w:tc>
          <w:tcPr>
            <w:tcW w:w="1178" w:type="dxa"/>
            <w:vAlign w:val="center"/>
          </w:tcPr>
          <w:p w14:paraId="137AD204"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0.8%</w:t>
            </w:r>
          </w:p>
        </w:tc>
      </w:tr>
      <w:tr w:rsidR="00F43A5B" w:rsidRPr="00E94A8C" w14:paraId="2DA83398" w14:textId="77777777" w:rsidTr="00480582">
        <w:tc>
          <w:tcPr>
            <w:tcW w:w="1278" w:type="dxa"/>
            <w:tcBorders>
              <w:top w:val="single" w:sz="6" w:space="0" w:color="auto"/>
              <w:bottom w:val="single" w:sz="6" w:space="0" w:color="auto"/>
              <w:right w:val="single" w:sz="12" w:space="0" w:color="auto"/>
            </w:tcBorders>
            <w:vAlign w:val="center"/>
          </w:tcPr>
          <w:p w14:paraId="0E392079"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2007</w:t>
            </w:r>
          </w:p>
        </w:tc>
        <w:tc>
          <w:tcPr>
            <w:tcW w:w="1350" w:type="dxa"/>
            <w:tcBorders>
              <w:top w:val="single" w:sz="6" w:space="0" w:color="auto"/>
              <w:left w:val="single" w:sz="12" w:space="0" w:color="auto"/>
              <w:bottom w:val="single" w:sz="6" w:space="0" w:color="auto"/>
              <w:right w:val="single" w:sz="12" w:space="0" w:color="auto"/>
            </w:tcBorders>
            <w:vAlign w:val="center"/>
          </w:tcPr>
          <w:p w14:paraId="409F7F19"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1555</w:t>
            </w:r>
          </w:p>
        </w:tc>
        <w:tc>
          <w:tcPr>
            <w:tcW w:w="1162" w:type="dxa"/>
            <w:tcBorders>
              <w:top w:val="single" w:sz="2" w:space="0" w:color="auto"/>
              <w:left w:val="single" w:sz="12" w:space="0" w:color="auto"/>
              <w:bottom w:val="single" w:sz="2" w:space="0" w:color="auto"/>
              <w:right w:val="single" w:sz="2" w:space="0" w:color="auto"/>
            </w:tcBorders>
            <w:vAlign w:val="center"/>
          </w:tcPr>
          <w:p w14:paraId="41DBC450"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1488</w:t>
            </w:r>
          </w:p>
        </w:tc>
        <w:tc>
          <w:tcPr>
            <w:tcW w:w="1440" w:type="dxa"/>
            <w:tcBorders>
              <w:top w:val="single" w:sz="2" w:space="0" w:color="auto"/>
              <w:left w:val="single" w:sz="2" w:space="0" w:color="auto"/>
              <w:bottom w:val="single" w:sz="2" w:space="0" w:color="auto"/>
              <w:right w:val="single" w:sz="12" w:space="0" w:color="auto"/>
            </w:tcBorders>
            <w:vAlign w:val="center"/>
          </w:tcPr>
          <w:p w14:paraId="27070FEC"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95.7%</w:t>
            </w:r>
          </w:p>
        </w:tc>
        <w:tc>
          <w:tcPr>
            <w:tcW w:w="1538" w:type="dxa"/>
            <w:tcBorders>
              <w:top w:val="single" w:sz="2" w:space="0" w:color="auto"/>
              <w:left w:val="single" w:sz="12" w:space="0" w:color="auto"/>
              <w:bottom w:val="single" w:sz="2" w:space="0" w:color="auto"/>
              <w:right w:val="single" w:sz="2" w:space="0" w:color="auto"/>
            </w:tcBorders>
            <w:vAlign w:val="center"/>
          </w:tcPr>
          <w:p w14:paraId="54FAA8ED"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59</w:t>
            </w:r>
          </w:p>
        </w:tc>
        <w:tc>
          <w:tcPr>
            <w:tcW w:w="1626" w:type="dxa"/>
            <w:tcBorders>
              <w:top w:val="single" w:sz="2" w:space="0" w:color="auto"/>
              <w:left w:val="single" w:sz="2" w:space="0" w:color="auto"/>
              <w:bottom w:val="single" w:sz="2" w:space="0" w:color="auto"/>
              <w:right w:val="single" w:sz="12" w:space="0" w:color="auto"/>
            </w:tcBorders>
            <w:vAlign w:val="center"/>
          </w:tcPr>
          <w:p w14:paraId="2F2F5DEC" w14:textId="77777777" w:rsidR="00F43A5B" w:rsidRPr="00E94A8C" w:rsidRDefault="00F43A5B" w:rsidP="00F43A5B">
            <w:pPr>
              <w:adjustRightInd w:val="0"/>
              <w:spacing w:before="60" w:after="60"/>
              <w:jc w:val="center"/>
              <w:rPr>
                <w:rFonts w:ascii="Arial" w:hAnsi="Arial" w:cs="Arial"/>
                <w:color w:val="000000"/>
              </w:rPr>
            </w:pPr>
            <w:r w:rsidRPr="00E94A8C">
              <w:rPr>
                <w:rFonts w:ascii="Arial" w:hAnsi="Arial" w:cs="Arial"/>
                <w:color w:val="000000"/>
              </w:rPr>
              <w:t>3.8%</w:t>
            </w:r>
          </w:p>
        </w:tc>
        <w:tc>
          <w:tcPr>
            <w:tcW w:w="1156" w:type="dxa"/>
            <w:tcBorders>
              <w:left w:val="single" w:sz="12" w:space="0" w:color="auto"/>
            </w:tcBorders>
            <w:vAlign w:val="center"/>
          </w:tcPr>
          <w:p w14:paraId="4732E7B2"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7</w:t>
            </w:r>
          </w:p>
        </w:tc>
        <w:tc>
          <w:tcPr>
            <w:tcW w:w="1178" w:type="dxa"/>
            <w:vAlign w:val="center"/>
          </w:tcPr>
          <w:p w14:paraId="06EF8404"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0.5%</w:t>
            </w:r>
          </w:p>
        </w:tc>
      </w:tr>
      <w:tr w:rsidR="00F43A5B" w:rsidRPr="00E94A8C" w14:paraId="6BB92C43" w14:textId="77777777" w:rsidTr="00480582">
        <w:tc>
          <w:tcPr>
            <w:tcW w:w="1278" w:type="dxa"/>
            <w:tcBorders>
              <w:top w:val="single" w:sz="6" w:space="0" w:color="auto"/>
              <w:bottom w:val="single" w:sz="6" w:space="0" w:color="auto"/>
              <w:right w:val="single" w:sz="12" w:space="0" w:color="auto"/>
            </w:tcBorders>
            <w:vAlign w:val="center"/>
          </w:tcPr>
          <w:p w14:paraId="28D01328"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2008</w:t>
            </w:r>
          </w:p>
        </w:tc>
        <w:tc>
          <w:tcPr>
            <w:tcW w:w="1350" w:type="dxa"/>
            <w:tcBorders>
              <w:top w:val="single" w:sz="6" w:space="0" w:color="auto"/>
              <w:left w:val="single" w:sz="12" w:space="0" w:color="auto"/>
              <w:bottom w:val="single" w:sz="6" w:space="0" w:color="auto"/>
              <w:right w:val="single" w:sz="12" w:space="0" w:color="auto"/>
            </w:tcBorders>
            <w:vAlign w:val="center"/>
          </w:tcPr>
          <w:p w14:paraId="517B9D34"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1271</w:t>
            </w:r>
          </w:p>
        </w:tc>
        <w:tc>
          <w:tcPr>
            <w:tcW w:w="1162" w:type="dxa"/>
            <w:tcBorders>
              <w:top w:val="single" w:sz="2" w:space="0" w:color="auto"/>
              <w:left w:val="single" w:sz="12" w:space="0" w:color="auto"/>
              <w:bottom w:val="single" w:sz="2" w:space="0" w:color="auto"/>
              <w:right w:val="single" w:sz="2" w:space="0" w:color="auto"/>
            </w:tcBorders>
            <w:vAlign w:val="center"/>
          </w:tcPr>
          <w:p w14:paraId="0E4AAC29"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1216</w:t>
            </w:r>
          </w:p>
        </w:tc>
        <w:tc>
          <w:tcPr>
            <w:tcW w:w="1440" w:type="dxa"/>
            <w:tcBorders>
              <w:top w:val="single" w:sz="2" w:space="0" w:color="auto"/>
              <w:left w:val="single" w:sz="2" w:space="0" w:color="auto"/>
              <w:bottom w:val="single" w:sz="2" w:space="0" w:color="auto"/>
              <w:right w:val="single" w:sz="12" w:space="0" w:color="auto"/>
            </w:tcBorders>
            <w:vAlign w:val="center"/>
          </w:tcPr>
          <w:p w14:paraId="61BB5352"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95.7%</w:t>
            </w:r>
          </w:p>
        </w:tc>
        <w:tc>
          <w:tcPr>
            <w:tcW w:w="1538" w:type="dxa"/>
            <w:tcBorders>
              <w:top w:val="single" w:sz="2" w:space="0" w:color="auto"/>
              <w:left w:val="single" w:sz="12" w:space="0" w:color="auto"/>
              <w:bottom w:val="single" w:sz="2" w:space="0" w:color="auto"/>
              <w:right w:val="single" w:sz="2" w:space="0" w:color="auto"/>
            </w:tcBorders>
            <w:vAlign w:val="center"/>
          </w:tcPr>
          <w:p w14:paraId="6A7853FE"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45</w:t>
            </w:r>
          </w:p>
        </w:tc>
        <w:tc>
          <w:tcPr>
            <w:tcW w:w="1626" w:type="dxa"/>
            <w:tcBorders>
              <w:top w:val="single" w:sz="2" w:space="0" w:color="auto"/>
              <w:left w:val="single" w:sz="2" w:space="0" w:color="auto"/>
              <w:bottom w:val="single" w:sz="2" w:space="0" w:color="auto"/>
              <w:right w:val="single" w:sz="12" w:space="0" w:color="auto"/>
            </w:tcBorders>
            <w:vAlign w:val="center"/>
          </w:tcPr>
          <w:p w14:paraId="253B23F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3.5%</w:t>
            </w:r>
          </w:p>
        </w:tc>
        <w:tc>
          <w:tcPr>
            <w:tcW w:w="1156" w:type="dxa"/>
            <w:tcBorders>
              <w:left w:val="single" w:sz="12" w:space="0" w:color="auto"/>
            </w:tcBorders>
            <w:vAlign w:val="center"/>
          </w:tcPr>
          <w:p w14:paraId="68E0B69D"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10</w:t>
            </w:r>
          </w:p>
        </w:tc>
        <w:tc>
          <w:tcPr>
            <w:tcW w:w="1178" w:type="dxa"/>
            <w:vAlign w:val="center"/>
          </w:tcPr>
          <w:p w14:paraId="0FCAA218"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0.8%</w:t>
            </w:r>
          </w:p>
        </w:tc>
      </w:tr>
      <w:tr w:rsidR="00F43A5B" w:rsidRPr="00E94A8C" w14:paraId="5CE267B4" w14:textId="77777777" w:rsidTr="00480582">
        <w:tc>
          <w:tcPr>
            <w:tcW w:w="1278" w:type="dxa"/>
            <w:tcBorders>
              <w:top w:val="single" w:sz="6" w:space="0" w:color="auto"/>
              <w:bottom w:val="single" w:sz="6" w:space="0" w:color="auto"/>
              <w:right w:val="single" w:sz="12" w:space="0" w:color="auto"/>
            </w:tcBorders>
            <w:vAlign w:val="center"/>
          </w:tcPr>
          <w:p w14:paraId="39E3F35C"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2009</w:t>
            </w:r>
          </w:p>
        </w:tc>
        <w:tc>
          <w:tcPr>
            <w:tcW w:w="1350" w:type="dxa"/>
            <w:tcBorders>
              <w:top w:val="single" w:sz="6" w:space="0" w:color="auto"/>
              <w:left w:val="single" w:sz="12" w:space="0" w:color="auto"/>
              <w:bottom w:val="single" w:sz="6" w:space="0" w:color="auto"/>
              <w:right w:val="single" w:sz="12" w:space="0" w:color="auto"/>
            </w:tcBorders>
            <w:vAlign w:val="center"/>
          </w:tcPr>
          <w:p w14:paraId="78FBF559"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1100</w:t>
            </w:r>
          </w:p>
        </w:tc>
        <w:tc>
          <w:tcPr>
            <w:tcW w:w="1162" w:type="dxa"/>
            <w:tcBorders>
              <w:top w:val="single" w:sz="2" w:space="0" w:color="auto"/>
              <w:left w:val="single" w:sz="12" w:space="0" w:color="auto"/>
              <w:bottom w:val="single" w:sz="2" w:space="0" w:color="auto"/>
              <w:right w:val="single" w:sz="2" w:space="0" w:color="auto"/>
            </w:tcBorders>
            <w:vAlign w:val="center"/>
          </w:tcPr>
          <w:p w14:paraId="75004ADE"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1052</w:t>
            </w:r>
          </w:p>
        </w:tc>
        <w:tc>
          <w:tcPr>
            <w:tcW w:w="1440" w:type="dxa"/>
            <w:tcBorders>
              <w:top w:val="single" w:sz="2" w:space="0" w:color="auto"/>
              <w:left w:val="single" w:sz="2" w:space="0" w:color="auto"/>
              <w:bottom w:val="single" w:sz="2" w:space="0" w:color="auto"/>
              <w:right w:val="single" w:sz="12" w:space="0" w:color="auto"/>
            </w:tcBorders>
            <w:vAlign w:val="center"/>
          </w:tcPr>
          <w:p w14:paraId="27452A73"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95.6%</w:t>
            </w:r>
          </w:p>
        </w:tc>
        <w:tc>
          <w:tcPr>
            <w:tcW w:w="1538" w:type="dxa"/>
            <w:tcBorders>
              <w:top w:val="single" w:sz="2" w:space="0" w:color="auto"/>
              <w:left w:val="single" w:sz="12" w:space="0" w:color="auto"/>
              <w:bottom w:val="single" w:sz="2" w:space="0" w:color="auto"/>
              <w:right w:val="single" w:sz="2" w:space="0" w:color="auto"/>
            </w:tcBorders>
            <w:vAlign w:val="center"/>
          </w:tcPr>
          <w:p w14:paraId="237A44BD"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38</w:t>
            </w:r>
          </w:p>
        </w:tc>
        <w:tc>
          <w:tcPr>
            <w:tcW w:w="1626" w:type="dxa"/>
            <w:tcBorders>
              <w:top w:val="single" w:sz="2" w:space="0" w:color="auto"/>
              <w:left w:val="single" w:sz="2" w:space="0" w:color="auto"/>
              <w:bottom w:val="single" w:sz="2" w:space="0" w:color="auto"/>
              <w:right w:val="single" w:sz="12" w:space="0" w:color="auto"/>
            </w:tcBorders>
            <w:vAlign w:val="center"/>
          </w:tcPr>
          <w:p w14:paraId="24ABBAAA"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3.5%</w:t>
            </w:r>
          </w:p>
        </w:tc>
        <w:tc>
          <w:tcPr>
            <w:tcW w:w="1156" w:type="dxa"/>
            <w:tcBorders>
              <w:left w:val="single" w:sz="12" w:space="0" w:color="auto"/>
            </w:tcBorders>
            <w:vAlign w:val="center"/>
          </w:tcPr>
          <w:p w14:paraId="6B24C17B"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10</w:t>
            </w:r>
          </w:p>
        </w:tc>
        <w:tc>
          <w:tcPr>
            <w:tcW w:w="1178" w:type="dxa"/>
            <w:vAlign w:val="center"/>
          </w:tcPr>
          <w:p w14:paraId="7C1F6E96"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0.9%</w:t>
            </w:r>
          </w:p>
        </w:tc>
      </w:tr>
      <w:tr w:rsidR="00F43A5B" w:rsidRPr="00E94A8C" w14:paraId="3A3D98A6" w14:textId="77777777" w:rsidTr="00480582">
        <w:tc>
          <w:tcPr>
            <w:tcW w:w="1278" w:type="dxa"/>
            <w:tcBorders>
              <w:top w:val="single" w:sz="6" w:space="0" w:color="auto"/>
              <w:bottom w:val="single" w:sz="6" w:space="0" w:color="auto"/>
              <w:right w:val="single" w:sz="12" w:space="0" w:color="auto"/>
            </w:tcBorders>
            <w:vAlign w:val="center"/>
          </w:tcPr>
          <w:p w14:paraId="74B13DED"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2010</w:t>
            </w:r>
          </w:p>
        </w:tc>
        <w:tc>
          <w:tcPr>
            <w:tcW w:w="1350" w:type="dxa"/>
            <w:tcBorders>
              <w:top w:val="single" w:sz="6" w:space="0" w:color="auto"/>
              <w:left w:val="single" w:sz="12" w:space="0" w:color="auto"/>
              <w:bottom w:val="single" w:sz="6" w:space="0" w:color="auto"/>
              <w:right w:val="single" w:sz="12" w:space="0" w:color="auto"/>
            </w:tcBorders>
            <w:vAlign w:val="center"/>
          </w:tcPr>
          <w:p w14:paraId="4EA1AF9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726</w:t>
            </w:r>
          </w:p>
        </w:tc>
        <w:tc>
          <w:tcPr>
            <w:tcW w:w="1162" w:type="dxa"/>
            <w:tcBorders>
              <w:top w:val="single" w:sz="2" w:space="0" w:color="auto"/>
              <w:left w:val="single" w:sz="12" w:space="0" w:color="auto"/>
              <w:bottom w:val="single" w:sz="2" w:space="0" w:color="auto"/>
              <w:right w:val="single" w:sz="2" w:space="0" w:color="auto"/>
            </w:tcBorders>
            <w:vAlign w:val="center"/>
          </w:tcPr>
          <w:p w14:paraId="2BDB50C9"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690</w:t>
            </w:r>
          </w:p>
        </w:tc>
        <w:tc>
          <w:tcPr>
            <w:tcW w:w="1440" w:type="dxa"/>
            <w:tcBorders>
              <w:top w:val="single" w:sz="2" w:space="0" w:color="auto"/>
              <w:left w:val="single" w:sz="2" w:space="0" w:color="auto"/>
              <w:bottom w:val="single" w:sz="2" w:space="0" w:color="auto"/>
              <w:right w:val="single" w:sz="12" w:space="0" w:color="auto"/>
            </w:tcBorders>
            <w:vAlign w:val="center"/>
          </w:tcPr>
          <w:p w14:paraId="17B709B0"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95.0%</w:t>
            </w:r>
          </w:p>
        </w:tc>
        <w:tc>
          <w:tcPr>
            <w:tcW w:w="1538" w:type="dxa"/>
            <w:tcBorders>
              <w:top w:val="single" w:sz="2" w:space="0" w:color="auto"/>
              <w:left w:val="single" w:sz="12" w:space="0" w:color="auto"/>
              <w:bottom w:val="single" w:sz="2" w:space="0" w:color="auto"/>
              <w:right w:val="single" w:sz="2" w:space="0" w:color="auto"/>
            </w:tcBorders>
            <w:vAlign w:val="center"/>
          </w:tcPr>
          <w:p w14:paraId="63FB502B"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24</w:t>
            </w:r>
          </w:p>
        </w:tc>
        <w:tc>
          <w:tcPr>
            <w:tcW w:w="1626" w:type="dxa"/>
            <w:tcBorders>
              <w:top w:val="single" w:sz="2" w:space="0" w:color="auto"/>
              <w:left w:val="single" w:sz="2" w:space="0" w:color="auto"/>
              <w:bottom w:val="single" w:sz="2" w:space="0" w:color="auto"/>
              <w:right w:val="single" w:sz="12" w:space="0" w:color="auto"/>
            </w:tcBorders>
            <w:vAlign w:val="center"/>
          </w:tcPr>
          <w:p w14:paraId="3B3F7A68"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3.3%</w:t>
            </w:r>
          </w:p>
        </w:tc>
        <w:tc>
          <w:tcPr>
            <w:tcW w:w="1156" w:type="dxa"/>
            <w:tcBorders>
              <w:left w:val="single" w:sz="12" w:space="0" w:color="auto"/>
            </w:tcBorders>
            <w:vAlign w:val="center"/>
          </w:tcPr>
          <w:p w14:paraId="0D47BA22"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12</w:t>
            </w:r>
          </w:p>
        </w:tc>
        <w:tc>
          <w:tcPr>
            <w:tcW w:w="1178" w:type="dxa"/>
            <w:vAlign w:val="center"/>
          </w:tcPr>
          <w:p w14:paraId="13BC4F5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1.7%</w:t>
            </w:r>
          </w:p>
        </w:tc>
      </w:tr>
      <w:tr w:rsidR="00F43A5B" w:rsidRPr="00E94A8C" w14:paraId="761FE89A" w14:textId="77777777" w:rsidTr="00480582">
        <w:tc>
          <w:tcPr>
            <w:tcW w:w="1278" w:type="dxa"/>
            <w:tcBorders>
              <w:top w:val="single" w:sz="6" w:space="0" w:color="auto"/>
              <w:bottom w:val="single" w:sz="6" w:space="0" w:color="auto"/>
              <w:right w:val="single" w:sz="12" w:space="0" w:color="auto"/>
            </w:tcBorders>
            <w:vAlign w:val="center"/>
          </w:tcPr>
          <w:p w14:paraId="6815E76D"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2011</w:t>
            </w:r>
          </w:p>
        </w:tc>
        <w:tc>
          <w:tcPr>
            <w:tcW w:w="1350" w:type="dxa"/>
            <w:tcBorders>
              <w:top w:val="single" w:sz="6" w:space="0" w:color="auto"/>
              <w:left w:val="single" w:sz="12" w:space="0" w:color="auto"/>
              <w:bottom w:val="single" w:sz="6" w:space="0" w:color="auto"/>
              <w:right w:val="single" w:sz="12" w:space="0" w:color="auto"/>
            </w:tcBorders>
            <w:vAlign w:val="center"/>
          </w:tcPr>
          <w:p w14:paraId="2B5C399C"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310</w:t>
            </w:r>
          </w:p>
        </w:tc>
        <w:tc>
          <w:tcPr>
            <w:tcW w:w="1162" w:type="dxa"/>
            <w:tcBorders>
              <w:top w:val="single" w:sz="2" w:space="0" w:color="auto"/>
              <w:left w:val="single" w:sz="12" w:space="0" w:color="auto"/>
              <w:bottom w:val="single" w:sz="2" w:space="0" w:color="auto"/>
              <w:right w:val="single" w:sz="2" w:space="0" w:color="auto"/>
            </w:tcBorders>
            <w:vAlign w:val="center"/>
          </w:tcPr>
          <w:p w14:paraId="0C1AD690"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289</w:t>
            </w:r>
          </w:p>
        </w:tc>
        <w:tc>
          <w:tcPr>
            <w:tcW w:w="1440" w:type="dxa"/>
            <w:tcBorders>
              <w:top w:val="single" w:sz="2" w:space="0" w:color="auto"/>
              <w:left w:val="single" w:sz="2" w:space="0" w:color="auto"/>
              <w:bottom w:val="single" w:sz="2" w:space="0" w:color="auto"/>
              <w:right w:val="single" w:sz="12" w:space="0" w:color="auto"/>
            </w:tcBorders>
            <w:vAlign w:val="center"/>
          </w:tcPr>
          <w:p w14:paraId="7CA61153"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93.2%</w:t>
            </w:r>
          </w:p>
        </w:tc>
        <w:tc>
          <w:tcPr>
            <w:tcW w:w="1538" w:type="dxa"/>
            <w:tcBorders>
              <w:top w:val="single" w:sz="2" w:space="0" w:color="auto"/>
              <w:left w:val="single" w:sz="12" w:space="0" w:color="auto"/>
              <w:bottom w:val="single" w:sz="2" w:space="0" w:color="auto"/>
              <w:right w:val="single" w:sz="2" w:space="0" w:color="auto"/>
            </w:tcBorders>
            <w:vAlign w:val="center"/>
          </w:tcPr>
          <w:p w14:paraId="09F39424"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14</w:t>
            </w:r>
          </w:p>
        </w:tc>
        <w:tc>
          <w:tcPr>
            <w:tcW w:w="1626" w:type="dxa"/>
            <w:tcBorders>
              <w:top w:val="single" w:sz="2" w:space="0" w:color="auto"/>
              <w:left w:val="single" w:sz="2" w:space="0" w:color="auto"/>
              <w:bottom w:val="single" w:sz="2" w:space="0" w:color="auto"/>
              <w:right w:val="single" w:sz="12" w:space="0" w:color="auto"/>
            </w:tcBorders>
            <w:vAlign w:val="center"/>
          </w:tcPr>
          <w:p w14:paraId="6086EDA3"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4.5%</w:t>
            </w:r>
          </w:p>
        </w:tc>
        <w:tc>
          <w:tcPr>
            <w:tcW w:w="1156" w:type="dxa"/>
            <w:tcBorders>
              <w:left w:val="single" w:sz="12" w:space="0" w:color="auto"/>
            </w:tcBorders>
            <w:vAlign w:val="center"/>
          </w:tcPr>
          <w:p w14:paraId="335767C6"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7</w:t>
            </w:r>
          </w:p>
        </w:tc>
        <w:tc>
          <w:tcPr>
            <w:tcW w:w="1178" w:type="dxa"/>
            <w:vAlign w:val="center"/>
          </w:tcPr>
          <w:p w14:paraId="3B34DD70"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2.3%</w:t>
            </w:r>
          </w:p>
        </w:tc>
      </w:tr>
      <w:tr w:rsidR="00F43A5B" w:rsidRPr="00E94A8C" w14:paraId="7A9F7C45" w14:textId="77777777" w:rsidTr="00480582">
        <w:tc>
          <w:tcPr>
            <w:tcW w:w="1278" w:type="dxa"/>
            <w:tcBorders>
              <w:top w:val="single" w:sz="6" w:space="0" w:color="auto"/>
              <w:bottom w:val="single" w:sz="6" w:space="0" w:color="auto"/>
              <w:right w:val="single" w:sz="12" w:space="0" w:color="auto"/>
            </w:tcBorders>
            <w:vAlign w:val="center"/>
          </w:tcPr>
          <w:p w14:paraId="412B50C2"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2012</w:t>
            </w:r>
          </w:p>
        </w:tc>
        <w:tc>
          <w:tcPr>
            <w:tcW w:w="1350" w:type="dxa"/>
            <w:tcBorders>
              <w:top w:val="single" w:sz="6" w:space="0" w:color="auto"/>
              <w:left w:val="single" w:sz="12" w:space="0" w:color="auto"/>
              <w:bottom w:val="single" w:sz="6" w:space="0" w:color="auto"/>
              <w:right w:val="single" w:sz="12" w:space="0" w:color="auto"/>
            </w:tcBorders>
            <w:vAlign w:val="center"/>
          </w:tcPr>
          <w:p w14:paraId="35C60336"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36</w:t>
            </w:r>
          </w:p>
        </w:tc>
        <w:tc>
          <w:tcPr>
            <w:tcW w:w="1162" w:type="dxa"/>
            <w:tcBorders>
              <w:top w:val="single" w:sz="2" w:space="0" w:color="auto"/>
              <w:left w:val="single" w:sz="12" w:space="0" w:color="auto"/>
              <w:bottom w:val="single" w:sz="2" w:space="0" w:color="auto"/>
              <w:right w:val="single" w:sz="2" w:space="0" w:color="auto"/>
            </w:tcBorders>
            <w:vAlign w:val="center"/>
          </w:tcPr>
          <w:p w14:paraId="0875F534"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32</w:t>
            </w:r>
          </w:p>
        </w:tc>
        <w:tc>
          <w:tcPr>
            <w:tcW w:w="1440" w:type="dxa"/>
            <w:tcBorders>
              <w:top w:val="single" w:sz="2" w:space="0" w:color="auto"/>
              <w:left w:val="single" w:sz="2" w:space="0" w:color="auto"/>
              <w:bottom w:val="single" w:sz="2" w:space="0" w:color="auto"/>
              <w:right w:val="single" w:sz="12" w:space="0" w:color="auto"/>
            </w:tcBorders>
            <w:vAlign w:val="center"/>
          </w:tcPr>
          <w:p w14:paraId="304C836A"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88.9%</w:t>
            </w:r>
          </w:p>
        </w:tc>
        <w:tc>
          <w:tcPr>
            <w:tcW w:w="1538" w:type="dxa"/>
            <w:tcBorders>
              <w:top w:val="single" w:sz="2" w:space="0" w:color="auto"/>
              <w:left w:val="single" w:sz="12" w:space="0" w:color="auto"/>
              <w:bottom w:val="single" w:sz="2" w:space="0" w:color="auto"/>
              <w:right w:val="single" w:sz="2" w:space="0" w:color="auto"/>
            </w:tcBorders>
            <w:vAlign w:val="center"/>
          </w:tcPr>
          <w:p w14:paraId="025A43D7"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4</w:t>
            </w:r>
          </w:p>
        </w:tc>
        <w:tc>
          <w:tcPr>
            <w:tcW w:w="1626" w:type="dxa"/>
            <w:tcBorders>
              <w:top w:val="single" w:sz="2" w:space="0" w:color="auto"/>
              <w:left w:val="single" w:sz="2" w:space="0" w:color="auto"/>
              <w:bottom w:val="single" w:sz="2" w:space="0" w:color="auto"/>
              <w:right w:val="single" w:sz="12" w:space="0" w:color="auto"/>
            </w:tcBorders>
            <w:vAlign w:val="center"/>
          </w:tcPr>
          <w:p w14:paraId="5BE949C6"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11.1%</w:t>
            </w:r>
          </w:p>
        </w:tc>
        <w:tc>
          <w:tcPr>
            <w:tcW w:w="1156" w:type="dxa"/>
            <w:tcBorders>
              <w:left w:val="single" w:sz="12" w:space="0" w:color="auto"/>
            </w:tcBorders>
            <w:vAlign w:val="center"/>
          </w:tcPr>
          <w:p w14:paraId="1FC01364"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0</w:t>
            </w:r>
          </w:p>
        </w:tc>
        <w:tc>
          <w:tcPr>
            <w:tcW w:w="1178" w:type="dxa"/>
            <w:vAlign w:val="center"/>
          </w:tcPr>
          <w:p w14:paraId="26B4A15F" w14:textId="77777777" w:rsidR="00F43A5B" w:rsidRPr="00E94A8C" w:rsidRDefault="00F43A5B" w:rsidP="00F43A5B">
            <w:pPr>
              <w:adjustRightInd w:val="0"/>
              <w:spacing w:before="60" w:after="60"/>
              <w:jc w:val="center"/>
              <w:rPr>
                <w:rFonts w:ascii="Arial" w:eastAsiaTheme="majorEastAsia" w:hAnsi="Arial" w:cs="Arial"/>
                <w:color w:val="000000"/>
              </w:rPr>
            </w:pPr>
            <w:r w:rsidRPr="00E94A8C">
              <w:rPr>
                <w:rFonts w:ascii="Arial" w:hAnsi="Arial" w:cs="Arial"/>
                <w:color w:val="000000"/>
              </w:rPr>
              <w:t>0.0%</w:t>
            </w:r>
          </w:p>
        </w:tc>
      </w:tr>
      <w:tr w:rsidR="00F43A5B" w:rsidRPr="00E94A8C" w14:paraId="3469BD51" w14:textId="77777777" w:rsidTr="00480582">
        <w:tc>
          <w:tcPr>
            <w:tcW w:w="1278" w:type="dxa"/>
            <w:tcBorders>
              <w:top w:val="single" w:sz="6" w:space="0" w:color="auto"/>
              <w:bottom w:val="single" w:sz="6" w:space="0" w:color="auto"/>
              <w:right w:val="single" w:sz="12" w:space="0" w:color="auto"/>
            </w:tcBorders>
            <w:vAlign w:val="center"/>
          </w:tcPr>
          <w:p w14:paraId="536F5D33" w14:textId="77777777" w:rsidR="00F43A5B" w:rsidRPr="00E94A8C" w:rsidRDefault="00F43A5B" w:rsidP="00F43A5B">
            <w:pPr>
              <w:keepNext/>
              <w:adjustRightInd w:val="0"/>
              <w:spacing w:before="60" w:after="60"/>
              <w:jc w:val="center"/>
              <w:rPr>
                <w:rFonts w:ascii="Arial" w:eastAsiaTheme="majorEastAsia" w:hAnsi="Arial" w:cs="Arial"/>
                <w:color w:val="000000"/>
              </w:rPr>
            </w:pPr>
            <w:r w:rsidRPr="00E94A8C">
              <w:rPr>
                <w:rFonts w:ascii="Arial" w:hAnsi="Arial" w:cs="Arial"/>
                <w:color w:val="000000"/>
              </w:rPr>
              <w:t>2013</w:t>
            </w:r>
          </w:p>
        </w:tc>
        <w:tc>
          <w:tcPr>
            <w:tcW w:w="1350" w:type="dxa"/>
            <w:tcBorders>
              <w:top w:val="single" w:sz="6" w:space="0" w:color="auto"/>
              <w:left w:val="single" w:sz="12" w:space="0" w:color="auto"/>
              <w:bottom w:val="single" w:sz="6" w:space="0" w:color="auto"/>
              <w:right w:val="single" w:sz="12" w:space="0" w:color="auto"/>
            </w:tcBorders>
            <w:vAlign w:val="center"/>
          </w:tcPr>
          <w:p w14:paraId="72574A5C" w14:textId="77777777" w:rsidR="00F43A5B" w:rsidRPr="00E94A8C" w:rsidRDefault="00F43A5B" w:rsidP="00F43A5B">
            <w:pPr>
              <w:keepNext/>
              <w:adjustRightInd w:val="0"/>
              <w:spacing w:before="60" w:after="60"/>
              <w:jc w:val="center"/>
              <w:rPr>
                <w:rFonts w:ascii="Arial" w:eastAsiaTheme="majorEastAsia" w:hAnsi="Arial" w:cs="Arial"/>
                <w:color w:val="000000"/>
              </w:rPr>
            </w:pPr>
            <w:r w:rsidRPr="00E94A8C">
              <w:rPr>
                <w:rFonts w:ascii="Arial" w:hAnsi="Arial" w:cs="Arial"/>
                <w:color w:val="000000"/>
              </w:rPr>
              <w:t>22</w:t>
            </w:r>
          </w:p>
        </w:tc>
        <w:tc>
          <w:tcPr>
            <w:tcW w:w="1162" w:type="dxa"/>
            <w:tcBorders>
              <w:top w:val="single" w:sz="2" w:space="0" w:color="auto"/>
              <w:left w:val="single" w:sz="12" w:space="0" w:color="auto"/>
              <w:bottom w:val="single" w:sz="2" w:space="0" w:color="auto"/>
              <w:right w:val="single" w:sz="2" w:space="0" w:color="auto"/>
            </w:tcBorders>
            <w:vAlign w:val="center"/>
          </w:tcPr>
          <w:p w14:paraId="19CCADA6" w14:textId="77777777" w:rsidR="00F43A5B" w:rsidRPr="00E94A8C" w:rsidRDefault="00F43A5B" w:rsidP="00F43A5B">
            <w:pPr>
              <w:keepNext/>
              <w:adjustRightInd w:val="0"/>
              <w:spacing w:before="60" w:after="60"/>
              <w:jc w:val="center"/>
              <w:rPr>
                <w:rFonts w:ascii="Arial" w:eastAsiaTheme="majorEastAsia" w:hAnsi="Arial" w:cs="Arial"/>
                <w:color w:val="000000"/>
              </w:rPr>
            </w:pPr>
            <w:r w:rsidRPr="00E94A8C">
              <w:rPr>
                <w:rFonts w:ascii="Arial" w:hAnsi="Arial" w:cs="Arial"/>
                <w:color w:val="000000"/>
              </w:rPr>
              <w:t>17</w:t>
            </w:r>
          </w:p>
        </w:tc>
        <w:tc>
          <w:tcPr>
            <w:tcW w:w="1440" w:type="dxa"/>
            <w:tcBorders>
              <w:top w:val="single" w:sz="2" w:space="0" w:color="auto"/>
              <w:left w:val="single" w:sz="2" w:space="0" w:color="auto"/>
              <w:bottom w:val="single" w:sz="2" w:space="0" w:color="auto"/>
              <w:right w:val="single" w:sz="12" w:space="0" w:color="auto"/>
            </w:tcBorders>
            <w:vAlign w:val="center"/>
          </w:tcPr>
          <w:p w14:paraId="5C2E8774" w14:textId="77777777" w:rsidR="00F43A5B" w:rsidRPr="00E94A8C" w:rsidRDefault="00F43A5B" w:rsidP="00F43A5B">
            <w:pPr>
              <w:keepNext/>
              <w:adjustRightInd w:val="0"/>
              <w:spacing w:before="60" w:after="60"/>
              <w:jc w:val="center"/>
              <w:rPr>
                <w:rFonts w:ascii="Arial" w:eastAsiaTheme="majorEastAsia" w:hAnsi="Arial" w:cs="Arial"/>
                <w:color w:val="000000"/>
              </w:rPr>
            </w:pPr>
            <w:r w:rsidRPr="00E94A8C">
              <w:rPr>
                <w:rFonts w:ascii="Arial" w:hAnsi="Arial" w:cs="Arial"/>
                <w:color w:val="000000"/>
              </w:rPr>
              <w:t>77.3%</w:t>
            </w:r>
          </w:p>
        </w:tc>
        <w:tc>
          <w:tcPr>
            <w:tcW w:w="1538" w:type="dxa"/>
            <w:tcBorders>
              <w:top w:val="single" w:sz="2" w:space="0" w:color="auto"/>
              <w:left w:val="single" w:sz="12" w:space="0" w:color="auto"/>
              <w:bottom w:val="single" w:sz="2" w:space="0" w:color="auto"/>
              <w:right w:val="single" w:sz="2" w:space="0" w:color="auto"/>
            </w:tcBorders>
            <w:vAlign w:val="center"/>
          </w:tcPr>
          <w:p w14:paraId="000F584B" w14:textId="77777777" w:rsidR="00F43A5B" w:rsidRPr="00E94A8C" w:rsidRDefault="00F43A5B" w:rsidP="00F43A5B">
            <w:pPr>
              <w:keepNext/>
              <w:adjustRightInd w:val="0"/>
              <w:spacing w:before="60" w:after="60"/>
              <w:jc w:val="center"/>
              <w:rPr>
                <w:rFonts w:ascii="Arial" w:eastAsiaTheme="majorEastAsia" w:hAnsi="Arial" w:cs="Arial"/>
                <w:color w:val="000000"/>
              </w:rPr>
            </w:pPr>
            <w:r w:rsidRPr="00E94A8C">
              <w:rPr>
                <w:rFonts w:ascii="Arial" w:hAnsi="Arial" w:cs="Arial"/>
                <w:color w:val="000000"/>
              </w:rPr>
              <w:t>4</w:t>
            </w:r>
          </w:p>
        </w:tc>
        <w:tc>
          <w:tcPr>
            <w:tcW w:w="1626" w:type="dxa"/>
            <w:tcBorders>
              <w:top w:val="single" w:sz="2" w:space="0" w:color="auto"/>
              <w:left w:val="single" w:sz="2" w:space="0" w:color="auto"/>
              <w:bottom w:val="single" w:sz="2" w:space="0" w:color="auto"/>
              <w:right w:val="single" w:sz="12" w:space="0" w:color="auto"/>
            </w:tcBorders>
            <w:vAlign w:val="center"/>
          </w:tcPr>
          <w:p w14:paraId="67BADEFB" w14:textId="77777777" w:rsidR="00F43A5B" w:rsidRPr="00E94A8C" w:rsidRDefault="00F43A5B" w:rsidP="00F43A5B">
            <w:pPr>
              <w:keepNext/>
              <w:adjustRightInd w:val="0"/>
              <w:spacing w:before="60" w:after="60"/>
              <w:jc w:val="center"/>
              <w:rPr>
                <w:rFonts w:ascii="Arial" w:eastAsiaTheme="majorEastAsia" w:hAnsi="Arial" w:cs="Arial"/>
                <w:color w:val="000000"/>
              </w:rPr>
            </w:pPr>
            <w:r w:rsidRPr="00E94A8C">
              <w:rPr>
                <w:rFonts w:ascii="Arial" w:hAnsi="Arial" w:cs="Arial"/>
                <w:color w:val="000000"/>
              </w:rPr>
              <w:t>18.2%</w:t>
            </w:r>
          </w:p>
        </w:tc>
        <w:tc>
          <w:tcPr>
            <w:tcW w:w="1156" w:type="dxa"/>
            <w:tcBorders>
              <w:left w:val="single" w:sz="12" w:space="0" w:color="auto"/>
            </w:tcBorders>
            <w:vAlign w:val="center"/>
          </w:tcPr>
          <w:p w14:paraId="070923B2" w14:textId="77777777" w:rsidR="00F43A5B" w:rsidRPr="00E94A8C" w:rsidRDefault="00F43A5B" w:rsidP="00F43A5B">
            <w:pPr>
              <w:keepNext/>
              <w:adjustRightInd w:val="0"/>
              <w:spacing w:before="60" w:after="60"/>
              <w:jc w:val="center"/>
              <w:rPr>
                <w:rFonts w:ascii="Arial" w:eastAsiaTheme="majorEastAsia" w:hAnsi="Arial" w:cs="Arial"/>
                <w:color w:val="000000"/>
              </w:rPr>
            </w:pPr>
            <w:r w:rsidRPr="00E94A8C">
              <w:rPr>
                <w:rFonts w:ascii="Arial" w:hAnsi="Arial" w:cs="Arial"/>
                <w:color w:val="000000"/>
              </w:rPr>
              <w:t>1</w:t>
            </w:r>
          </w:p>
        </w:tc>
        <w:tc>
          <w:tcPr>
            <w:tcW w:w="1178" w:type="dxa"/>
            <w:vAlign w:val="center"/>
          </w:tcPr>
          <w:p w14:paraId="04AB22FB" w14:textId="77777777" w:rsidR="00F43A5B" w:rsidRPr="00E94A8C" w:rsidRDefault="00F43A5B" w:rsidP="00F43A5B">
            <w:pPr>
              <w:keepNext/>
              <w:adjustRightInd w:val="0"/>
              <w:spacing w:before="60" w:after="60"/>
              <w:jc w:val="center"/>
              <w:rPr>
                <w:rFonts w:ascii="Arial" w:eastAsiaTheme="majorEastAsia" w:hAnsi="Arial" w:cs="Arial"/>
                <w:color w:val="000000"/>
              </w:rPr>
            </w:pPr>
            <w:r w:rsidRPr="00E94A8C">
              <w:rPr>
                <w:rFonts w:ascii="Arial" w:hAnsi="Arial" w:cs="Arial"/>
                <w:color w:val="000000"/>
              </w:rPr>
              <w:t>4.5%</w:t>
            </w:r>
          </w:p>
        </w:tc>
      </w:tr>
      <w:tr w:rsidR="00F43A5B" w:rsidRPr="00E94A8C" w14:paraId="58D7E392" w14:textId="77777777" w:rsidTr="00480582">
        <w:tc>
          <w:tcPr>
            <w:tcW w:w="1278" w:type="dxa"/>
            <w:tcBorders>
              <w:top w:val="single" w:sz="6" w:space="0" w:color="auto"/>
              <w:bottom w:val="single" w:sz="12" w:space="0" w:color="auto"/>
              <w:right w:val="single" w:sz="12" w:space="0" w:color="auto"/>
            </w:tcBorders>
            <w:vAlign w:val="center"/>
          </w:tcPr>
          <w:p w14:paraId="5790A6DD" w14:textId="77777777" w:rsidR="00F43A5B" w:rsidRPr="00E94A8C" w:rsidRDefault="00F43A5B" w:rsidP="00F43A5B">
            <w:pPr>
              <w:adjustRightInd w:val="0"/>
              <w:spacing w:before="60" w:after="60"/>
              <w:jc w:val="center"/>
              <w:rPr>
                <w:rFonts w:ascii="Arial" w:eastAsiaTheme="majorEastAsia" w:hAnsi="Arial" w:cs="Arial"/>
                <w:b/>
                <w:color w:val="000000"/>
              </w:rPr>
            </w:pPr>
            <w:r w:rsidRPr="00E94A8C">
              <w:rPr>
                <w:rFonts w:ascii="Arial" w:hAnsi="Arial" w:cs="Arial"/>
                <w:b/>
                <w:color w:val="000000"/>
              </w:rPr>
              <w:t>Average</w:t>
            </w:r>
          </w:p>
        </w:tc>
        <w:tc>
          <w:tcPr>
            <w:tcW w:w="1350" w:type="dxa"/>
            <w:tcBorders>
              <w:top w:val="single" w:sz="6" w:space="0" w:color="auto"/>
              <w:left w:val="single" w:sz="12" w:space="0" w:color="auto"/>
              <w:bottom w:val="single" w:sz="12" w:space="0" w:color="auto"/>
              <w:right w:val="single" w:sz="12" w:space="0" w:color="auto"/>
            </w:tcBorders>
            <w:vAlign w:val="center"/>
          </w:tcPr>
          <w:p w14:paraId="635E4F57" w14:textId="77777777" w:rsidR="00F43A5B" w:rsidRPr="00E94A8C" w:rsidRDefault="00F43A5B" w:rsidP="00F43A5B">
            <w:pPr>
              <w:adjustRightInd w:val="0"/>
              <w:spacing w:before="60" w:after="60"/>
              <w:jc w:val="center"/>
              <w:rPr>
                <w:rFonts w:ascii="Arial" w:eastAsiaTheme="majorEastAsia" w:hAnsi="Arial" w:cs="Arial"/>
                <w:b/>
                <w:color w:val="000000"/>
              </w:rPr>
            </w:pPr>
            <w:r w:rsidRPr="00E94A8C">
              <w:rPr>
                <w:rFonts w:ascii="Arial" w:hAnsi="Arial" w:cs="Arial"/>
                <w:b/>
                <w:color w:val="000000"/>
              </w:rPr>
              <w:t>1101</w:t>
            </w:r>
          </w:p>
        </w:tc>
        <w:tc>
          <w:tcPr>
            <w:tcW w:w="1162" w:type="dxa"/>
            <w:tcBorders>
              <w:top w:val="single" w:sz="2" w:space="0" w:color="auto"/>
              <w:left w:val="single" w:sz="12" w:space="0" w:color="auto"/>
              <w:bottom w:val="single" w:sz="12" w:space="0" w:color="auto"/>
              <w:right w:val="single" w:sz="2" w:space="0" w:color="auto"/>
            </w:tcBorders>
            <w:vAlign w:val="center"/>
          </w:tcPr>
          <w:p w14:paraId="34169B64" w14:textId="77777777" w:rsidR="00F43A5B" w:rsidRPr="00E94A8C" w:rsidRDefault="00F43A5B" w:rsidP="00F43A5B">
            <w:pPr>
              <w:adjustRightInd w:val="0"/>
              <w:spacing w:before="60" w:after="60"/>
              <w:jc w:val="center"/>
              <w:rPr>
                <w:rFonts w:ascii="Arial" w:eastAsiaTheme="majorEastAsia" w:hAnsi="Arial" w:cs="Arial"/>
                <w:b/>
                <w:color w:val="000000"/>
              </w:rPr>
            </w:pPr>
            <w:r w:rsidRPr="00E94A8C">
              <w:rPr>
                <w:rFonts w:ascii="Arial" w:hAnsi="Arial" w:cs="Arial"/>
                <w:b/>
                <w:color w:val="000000"/>
              </w:rPr>
              <w:t>1028</w:t>
            </w:r>
          </w:p>
        </w:tc>
        <w:tc>
          <w:tcPr>
            <w:tcW w:w="1440" w:type="dxa"/>
            <w:tcBorders>
              <w:top w:val="single" w:sz="2" w:space="0" w:color="auto"/>
              <w:left w:val="single" w:sz="2" w:space="0" w:color="auto"/>
              <w:bottom w:val="single" w:sz="12" w:space="0" w:color="auto"/>
              <w:right w:val="single" w:sz="12" w:space="0" w:color="auto"/>
            </w:tcBorders>
            <w:vAlign w:val="center"/>
          </w:tcPr>
          <w:p w14:paraId="62541C8C" w14:textId="77777777" w:rsidR="00F43A5B" w:rsidRPr="00E94A8C" w:rsidRDefault="00F43A5B" w:rsidP="00F43A5B">
            <w:pPr>
              <w:adjustRightInd w:val="0"/>
              <w:spacing w:before="60" w:after="60"/>
              <w:jc w:val="center"/>
              <w:rPr>
                <w:rFonts w:ascii="Arial" w:eastAsiaTheme="majorEastAsia" w:hAnsi="Arial" w:cs="Arial"/>
                <w:b/>
                <w:color w:val="000000"/>
              </w:rPr>
            </w:pPr>
            <w:r w:rsidRPr="00E94A8C">
              <w:rPr>
                <w:rFonts w:ascii="Arial" w:hAnsi="Arial" w:cs="Arial"/>
                <w:b/>
                <w:color w:val="000000"/>
              </w:rPr>
              <w:t>92.1%</w:t>
            </w:r>
          </w:p>
        </w:tc>
        <w:tc>
          <w:tcPr>
            <w:tcW w:w="1538" w:type="dxa"/>
            <w:tcBorders>
              <w:top w:val="single" w:sz="2" w:space="0" w:color="auto"/>
              <w:left w:val="single" w:sz="12" w:space="0" w:color="auto"/>
              <w:bottom w:val="single" w:sz="12" w:space="0" w:color="auto"/>
              <w:right w:val="single" w:sz="2" w:space="0" w:color="auto"/>
            </w:tcBorders>
            <w:vAlign w:val="center"/>
          </w:tcPr>
          <w:p w14:paraId="4FD8232A" w14:textId="77777777" w:rsidR="00F43A5B" w:rsidRPr="00E94A8C" w:rsidRDefault="00F43A5B" w:rsidP="00F43A5B">
            <w:pPr>
              <w:adjustRightInd w:val="0"/>
              <w:spacing w:before="60" w:after="60"/>
              <w:jc w:val="center"/>
              <w:rPr>
                <w:rFonts w:ascii="Arial" w:eastAsiaTheme="majorEastAsia" w:hAnsi="Arial" w:cs="Arial"/>
                <w:b/>
                <w:color w:val="000000"/>
              </w:rPr>
            </w:pPr>
            <w:r w:rsidRPr="00E94A8C">
              <w:rPr>
                <w:rFonts w:ascii="Arial" w:hAnsi="Arial" w:cs="Arial"/>
                <w:b/>
                <w:color w:val="000000"/>
              </w:rPr>
              <w:t>62</w:t>
            </w:r>
          </w:p>
        </w:tc>
        <w:tc>
          <w:tcPr>
            <w:tcW w:w="1626" w:type="dxa"/>
            <w:tcBorders>
              <w:top w:val="single" w:sz="2" w:space="0" w:color="auto"/>
              <w:left w:val="single" w:sz="2" w:space="0" w:color="auto"/>
              <w:bottom w:val="single" w:sz="12" w:space="0" w:color="auto"/>
              <w:right w:val="single" w:sz="12" w:space="0" w:color="auto"/>
            </w:tcBorders>
            <w:vAlign w:val="center"/>
          </w:tcPr>
          <w:p w14:paraId="31C9E936" w14:textId="77777777" w:rsidR="00F43A5B" w:rsidRPr="00E94A8C" w:rsidRDefault="00F43A5B" w:rsidP="00F43A5B">
            <w:pPr>
              <w:adjustRightInd w:val="0"/>
              <w:spacing w:before="60" w:after="60"/>
              <w:jc w:val="center"/>
              <w:rPr>
                <w:rFonts w:ascii="Arial" w:eastAsiaTheme="majorEastAsia" w:hAnsi="Arial" w:cs="Arial"/>
                <w:b/>
                <w:color w:val="000000"/>
              </w:rPr>
            </w:pPr>
            <w:r w:rsidRPr="00E94A8C">
              <w:rPr>
                <w:rFonts w:ascii="Arial" w:hAnsi="Arial" w:cs="Arial"/>
                <w:b/>
                <w:color w:val="000000"/>
              </w:rPr>
              <w:t>6.6%</w:t>
            </w:r>
          </w:p>
        </w:tc>
        <w:tc>
          <w:tcPr>
            <w:tcW w:w="1156" w:type="dxa"/>
            <w:tcBorders>
              <w:left w:val="single" w:sz="12" w:space="0" w:color="auto"/>
            </w:tcBorders>
            <w:vAlign w:val="center"/>
          </w:tcPr>
          <w:p w14:paraId="2A048620" w14:textId="77777777" w:rsidR="00F43A5B" w:rsidRPr="00E94A8C" w:rsidRDefault="00F43A5B" w:rsidP="00F43A5B">
            <w:pPr>
              <w:adjustRightInd w:val="0"/>
              <w:spacing w:before="60" w:after="60"/>
              <w:jc w:val="center"/>
              <w:rPr>
                <w:rFonts w:ascii="Arial" w:eastAsiaTheme="majorEastAsia" w:hAnsi="Arial" w:cs="Arial"/>
                <w:b/>
                <w:color w:val="000000"/>
              </w:rPr>
            </w:pPr>
            <w:r w:rsidRPr="00E94A8C">
              <w:rPr>
                <w:rFonts w:ascii="Arial" w:hAnsi="Arial" w:cs="Arial"/>
                <w:b/>
                <w:color w:val="000000"/>
              </w:rPr>
              <w:t>10</w:t>
            </w:r>
          </w:p>
        </w:tc>
        <w:tc>
          <w:tcPr>
            <w:tcW w:w="1178" w:type="dxa"/>
            <w:vAlign w:val="center"/>
          </w:tcPr>
          <w:p w14:paraId="0A9A345F" w14:textId="77777777" w:rsidR="00F43A5B" w:rsidRPr="00E94A8C" w:rsidRDefault="00F43A5B" w:rsidP="00F43A5B">
            <w:pPr>
              <w:adjustRightInd w:val="0"/>
              <w:spacing w:before="60" w:after="60"/>
              <w:jc w:val="center"/>
              <w:rPr>
                <w:rFonts w:ascii="Arial" w:eastAsiaTheme="majorEastAsia" w:hAnsi="Arial" w:cs="Arial"/>
                <w:b/>
                <w:color w:val="000000"/>
              </w:rPr>
            </w:pPr>
            <w:r w:rsidRPr="00E94A8C">
              <w:rPr>
                <w:rFonts w:ascii="Arial" w:hAnsi="Arial" w:cs="Arial"/>
                <w:b/>
                <w:color w:val="000000"/>
              </w:rPr>
              <w:t>1.2%</w:t>
            </w:r>
          </w:p>
        </w:tc>
      </w:tr>
    </w:tbl>
    <w:p w14:paraId="6D4247AE" w14:textId="77777777" w:rsidR="00F43A5B" w:rsidRPr="00E94A8C" w:rsidRDefault="00F43A5B" w:rsidP="00F43A5B">
      <w:pPr>
        <w:jc w:val="center"/>
        <w:rPr>
          <w:rFonts w:ascii="Arial" w:hAnsi="Arial" w:cs="Arial"/>
          <w:b/>
        </w:rPr>
      </w:pPr>
    </w:p>
    <w:p w14:paraId="6BE07A2A" w14:textId="55221EE0" w:rsidR="00242354" w:rsidRPr="00E94A8C" w:rsidRDefault="008E65F3">
      <w:pPr>
        <w:rPr>
          <w:rFonts w:ascii="Arial" w:hAnsi="Arial" w:cs="Arial"/>
        </w:rPr>
      </w:pPr>
      <w:r w:rsidRPr="00E94A8C">
        <w:rPr>
          <w:rFonts w:ascii="Arial" w:hAnsi="Arial" w:cs="Arial"/>
        </w:rPr>
        <w:t>Rec = recommendation</w:t>
      </w:r>
      <w:r w:rsidR="00242354" w:rsidRPr="00E94A8C">
        <w:rPr>
          <w:rFonts w:ascii="Arial" w:hAnsi="Arial" w:cs="Arial"/>
        </w:rPr>
        <w:br w:type="page"/>
      </w:r>
    </w:p>
    <w:p w14:paraId="1675142A" w14:textId="77777777" w:rsidR="00F43A5B" w:rsidRPr="00E94A8C" w:rsidRDefault="00F43A5B">
      <w:pPr>
        <w:rPr>
          <w:rFonts w:ascii="Arial" w:hAnsi="Arial" w:cs="Arial"/>
        </w:rPr>
      </w:pPr>
    </w:p>
    <w:p w14:paraId="5BC57672" w14:textId="10FA5AD8" w:rsidR="00665D43" w:rsidRPr="004D5435" w:rsidRDefault="00665D43" w:rsidP="00665D43">
      <w:pPr>
        <w:rPr>
          <w:b/>
        </w:rPr>
      </w:pPr>
      <w:r w:rsidRPr="004D5435">
        <w:rPr>
          <w:b/>
        </w:rPr>
        <w:t>LEGENDS</w:t>
      </w:r>
    </w:p>
    <w:p w14:paraId="415DCB9B" w14:textId="77777777" w:rsidR="00665D43" w:rsidRDefault="00665D43" w:rsidP="00665D43"/>
    <w:p w14:paraId="4658CB21" w14:textId="77777777" w:rsidR="00665D43" w:rsidRDefault="00665D43" w:rsidP="00665D43"/>
    <w:p w14:paraId="57759850" w14:textId="77777777" w:rsidR="00665D43" w:rsidRDefault="00665D43" w:rsidP="00665D43">
      <w:r w:rsidRPr="0028673B">
        <w:rPr>
          <w:b/>
        </w:rPr>
        <w:t>Supplemental Methods:</w:t>
      </w:r>
      <w:r>
        <w:t xml:space="preserve"> Provides detailed eligibility criteria, statistical models for building ROCA, sample handling and processing, and setting specificity and positive predictive value standards.</w:t>
      </w:r>
    </w:p>
    <w:p w14:paraId="55612168" w14:textId="77777777" w:rsidR="00665D43" w:rsidRDefault="00665D43" w:rsidP="00665D43"/>
    <w:p w14:paraId="0A4B85A6" w14:textId="77777777" w:rsidR="00665D43" w:rsidRDefault="00665D43" w:rsidP="00665D43"/>
    <w:p w14:paraId="0E52F63E" w14:textId="77777777" w:rsidR="00665D43" w:rsidRDefault="00665D43" w:rsidP="00665D43"/>
    <w:p w14:paraId="1FBD6033" w14:textId="77777777" w:rsidR="00665D43" w:rsidRDefault="00665D43" w:rsidP="00665D43"/>
    <w:p w14:paraId="3F20366E" w14:textId="77777777" w:rsidR="00665D43" w:rsidRDefault="00665D43" w:rsidP="00665D43"/>
    <w:p w14:paraId="51D4F2C0" w14:textId="77777777" w:rsidR="00665D43" w:rsidRDefault="00665D43" w:rsidP="00665D43">
      <w:r w:rsidRPr="0028673B">
        <w:rPr>
          <w:b/>
        </w:rPr>
        <w:t xml:space="preserve">Supplemental Table 1: </w:t>
      </w:r>
      <w:r>
        <w:t>Frequency of ROCA recommendations at normal, intermediate, and elevated levels of risk by year on study.</w:t>
      </w:r>
    </w:p>
    <w:p w14:paraId="717192F4" w14:textId="77777777" w:rsidR="00665D43" w:rsidRDefault="00665D43" w:rsidP="00665D43">
      <w:pPr>
        <w:rPr>
          <w:rFonts w:ascii="Arial" w:hAnsi="Arial" w:cs="Arial"/>
        </w:rPr>
      </w:pPr>
    </w:p>
    <w:p w14:paraId="2D1F875D" w14:textId="77777777" w:rsidR="00665D43" w:rsidRDefault="00665D43" w:rsidP="00665D43">
      <w:pPr>
        <w:rPr>
          <w:rFonts w:ascii="Arial" w:hAnsi="Arial" w:cs="Arial"/>
        </w:rPr>
      </w:pPr>
    </w:p>
    <w:p w14:paraId="2D98C3D7" w14:textId="77777777" w:rsidR="00665D43" w:rsidRDefault="00665D43" w:rsidP="00665D43">
      <w:pPr>
        <w:rPr>
          <w:rFonts w:ascii="Arial" w:hAnsi="Arial" w:cs="Arial"/>
        </w:rPr>
      </w:pPr>
    </w:p>
    <w:p w14:paraId="7AE1EFE7" w14:textId="77777777" w:rsidR="001426D0" w:rsidRPr="00524FCB" w:rsidRDefault="001426D0">
      <w:pPr>
        <w:rPr>
          <w:rFonts w:ascii="Arial" w:hAnsi="Arial" w:cs="Arial"/>
        </w:rPr>
      </w:pPr>
    </w:p>
    <w:sectPr w:rsidR="001426D0" w:rsidRPr="00524FCB" w:rsidSect="00EE152F">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2034AB" w15:done="0"/>
  <w15:commentEx w15:paraId="7713EA04" w15:done="0"/>
  <w15:commentEx w15:paraId="2205BAB8" w15:done="0"/>
  <w15:commentEx w15:paraId="45A1D4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altName w:val="Mangal"/>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A3C4B"/>
    <w:multiLevelType w:val="hybridMultilevel"/>
    <w:tmpl w:val="7AA818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71D0A9B"/>
    <w:multiLevelType w:val="hybridMultilevel"/>
    <w:tmpl w:val="2F4490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ene, Mark (NIH/NCI) [E]">
    <w15:presenceInfo w15:providerId="AD" w15:userId="S-1-5-21-12604286-656692736-1848903544-10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5s2zeaqrw9adestptxpwdbtxsref9dw22x&quot;&gt;ROCA&lt;record-ids&gt;&lt;item&gt;1762&lt;/item&gt;&lt;item&gt;2260&lt;/item&gt;&lt;item&gt;3275&lt;/item&gt;&lt;item&gt;3867&lt;/item&gt;&lt;item&gt;4101&lt;/item&gt;&lt;item&gt;9598&lt;/item&gt;&lt;/record-ids&gt;&lt;/item&gt;&lt;/Libraries&gt;"/>
  </w:docVars>
  <w:rsids>
    <w:rsidRoot w:val="00EE152F"/>
    <w:rsid w:val="000F56A5"/>
    <w:rsid w:val="00142304"/>
    <w:rsid w:val="001426D0"/>
    <w:rsid w:val="001D3C48"/>
    <w:rsid w:val="001E22A8"/>
    <w:rsid w:val="00236BEF"/>
    <w:rsid w:val="00242354"/>
    <w:rsid w:val="002B3B1A"/>
    <w:rsid w:val="002D5FCB"/>
    <w:rsid w:val="003476D2"/>
    <w:rsid w:val="00372B04"/>
    <w:rsid w:val="00455D17"/>
    <w:rsid w:val="00480582"/>
    <w:rsid w:val="004C54F0"/>
    <w:rsid w:val="004D5435"/>
    <w:rsid w:val="00500740"/>
    <w:rsid w:val="00524D68"/>
    <w:rsid w:val="00524FCB"/>
    <w:rsid w:val="005C3D86"/>
    <w:rsid w:val="005D784E"/>
    <w:rsid w:val="005F33FE"/>
    <w:rsid w:val="00665D43"/>
    <w:rsid w:val="00670DEE"/>
    <w:rsid w:val="006D22DA"/>
    <w:rsid w:val="00723060"/>
    <w:rsid w:val="00730304"/>
    <w:rsid w:val="00761825"/>
    <w:rsid w:val="007B2000"/>
    <w:rsid w:val="008113EC"/>
    <w:rsid w:val="008557C0"/>
    <w:rsid w:val="008E65F3"/>
    <w:rsid w:val="00933FA5"/>
    <w:rsid w:val="00963E54"/>
    <w:rsid w:val="00964BD6"/>
    <w:rsid w:val="00974DA2"/>
    <w:rsid w:val="009C53CB"/>
    <w:rsid w:val="009C6652"/>
    <w:rsid w:val="009D180E"/>
    <w:rsid w:val="00A010B6"/>
    <w:rsid w:val="00A11397"/>
    <w:rsid w:val="00C856E8"/>
    <w:rsid w:val="00CC6E1A"/>
    <w:rsid w:val="00D5219F"/>
    <w:rsid w:val="00D63C8E"/>
    <w:rsid w:val="00D72CDE"/>
    <w:rsid w:val="00D950EE"/>
    <w:rsid w:val="00DA3D8B"/>
    <w:rsid w:val="00E90020"/>
    <w:rsid w:val="00E94A8C"/>
    <w:rsid w:val="00EE152F"/>
    <w:rsid w:val="00F14BCA"/>
    <w:rsid w:val="00F43A5B"/>
    <w:rsid w:val="00F4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D6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474A2"/>
    <w:rPr>
      <w:rFonts w:cs="Times New Roman"/>
      <w:sz w:val="18"/>
      <w:szCs w:val="18"/>
    </w:rPr>
  </w:style>
  <w:style w:type="paragraph" w:styleId="CommentText">
    <w:name w:val="annotation text"/>
    <w:basedOn w:val="Normal"/>
    <w:link w:val="CommentTextChar"/>
    <w:rsid w:val="00F474A2"/>
    <w:rPr>
      <w:rFonts w:ascii="Arial" w:eastAsia="Cambria" w:hAnsi="Arial" w:cs="Times New Roman"/>
    </w:rPr>
  </w:style>
  <w:style w:type="character" w:customStyle="1" w:styleId="CommentTextChar">
    <w:name w:val="Comment Text Char"/>
    <w:basedOn w:val="DefaultParagraphFont"/>
    <w:link w:val="CommentText"/>
    <w:rsid w:val="00F474A2"/>
    <w:rPr>
      <w:rFonts w:ascii="Arial" w:eastAsia="Cambria" w:hAnsi="Arial" w:cs="Times New Roman"/>
    </w:rPr>
  </w:style>
  <w:style w:type="paragraph" w:styleId="ListParagraph">
    <w:name w:val="List Paragraph"/>
    <w:basedOn w:val="Normal"/>
    <w:uiPriority w:val="99"/>
    <w:qFormat/>
    <w:rsid w:val="00F474A2"/>
    <w:pPr>
      <w:spacing w:line="480" w:lineRule="auto"/>
      <w:ind w:left="720"/>
      <w:contextualSpacing/>
    </w:pPr>
    <w:rPr>
      <w:rFonts w:ascii="Arial" w:eastAsia="Cambria" w:hAnsi="Arial" w:cs="Times New Roman"/>
    </w:rPr>
  </w:style>
  <w:style w:type="paragraph" w:styleId="BalloonText">
    <w:name w:val="Balloon Text"/>
    <w:basedOn w:val="Normal"/>
    <w:link w:val="BalloonTextChar"/>
    <w:uiPriority w:val="99"/>
    <w:semiHidden/>
    <w:unhideWhenUsed/>
    <w:rsid w:val="00F47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4A2"/>
    <w:rPr>
      <w:rFonts w:ascii="Lucida Grande" w:hAnsi="Lucida Grande" w:cs="Lucida Grande"/>
      <w:sz w:val="18"/>
      <w:szCs w:val="18"/>
    </w:rPr>
  </w:style>
  <w:style w:type="paragraph" w:customStyle="1" w:styleId="EndNoteBibliographyTitle">
    <w:name w:val="EndNote Bibliography Title"/>
    <w:basedOn w:val="Normal"/>
    <w:rsid w:val="001426D0"/>
    <w:pPr>
      <w:jc w:val="center"/>
    </w:pPr>
    <w:rPr>
      <w:rFonts w:ascii="Cambria" w:hAnsi="Cambria"/>
    </w:rPr>
  </w:style>
  <w:style w:type="paragraph" w:customStyle="1" w:styleId="EndNoteBibliography">
    <w:name w:val="EndNote Bibliography"/>
    <w:basedOn w:val="Normal"/>
    <w:rsid w:val="001426D0"/>
    <w:rPr>
      <w:rFonts w:ascii="Cambria" w:hAnsi="Cambria"/>
    </w:rPr>
  </w:style>
  <w:style w:type="paragraph" w:styleId="Caption">
    <w:name w:val="caption"/>
    <w:basedOn w:val="Normal"/>
    <w:next w:val="Normal"/>
    <w:autoRedefine/>
    <w:uiPriority w:val="99"/>
    <w:qFormat/>
    <w:rsid w:val="00F43A5B"/>
    <w:pPr>
      <w:spacing w:after="200" w:line="480" w:lineRule="auto"/>
      <w:jc w:val="center"/>
    </w:pPr>
    <w:rPr>
      <w:rFonts w:ascii="Arial" w:eastAsia="Cambria" w:hAnsi="Arial" w:cs="Times New Roman"/>
      <w:b/>
      <w:bCs/>
      <w:color w:val="4F81BD"/>
    </w:rPr>
  </w:style>
  <w:style w:type="paragraph" w:styleId="CommentSubject">
    <w:name w:val="annotation subject"/>
    <w:basedOn w:val="CommentText"/>
    <w:next w:val="CommentText"/>
    <w:link w:val="CommentSubjectChar"/>
    <w:uiPriority w:val="99"/>
    <w:semiHidden/>
    <w:unhideWhenUsed/>
    <w:rsid w:val="005D784E"/>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5D784E"/>
    <w:rPr>
      <w:rFonts w:ascii="Arial" w:eastAsia="Cambria" w:hAnsi="Arial"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474A2"/>
    <w:rPr>
      <w:rFonts w:cs="Times New Roman"/>
      <w:sz w:val="18"/>
      <w:szCs w:val="18"/>
    </w:rPr>
  </w:style>
  <w:style w:type="paragraph" w:styleId="CommentText">
    <w:name w:val="annotation text"/>
    <w:basedOn w:val="Normal"/>
    <w:link w:val="CommentTextChar"/>
    <w:rsid w:val="00F474A2"/>
    <w:rPr>
      <w:rFonts w:ascii="Arial" w:eastAsia="Cambria" w:hAnsi="Arial" w:cs="Times New Roman"/>
    </w:rPr>
  </w:style>
  <w:style w:type="character" w:customStyle="1" w:styleId="CommentTextChar">
    <w:name w:val="Comment Text Char"/>
    <w:basedOn w:val="DefaultParagraphFont"/>
    <w:link w:val="CommentText"/>
    <w:rsid w:val="00F474A2"/>
    <w:rPr>
      <w:rFonts w:ascii="Arial" w:eastAsia="Cambria" w:hAnsi="Arial" w:cs="Times New Roman"/>
    </w:rPr>
  </w:style>
  <w:style w:type="paragraph" w:styleId="ListParagraph">
    <w:name w:val="List Paragraph"/>
    <w:basedOn w:val="Normal"/>
    <w:uiPriority w:val="99"/>
    <w:qFormat/>
    <w:rsid w:val="00F474A2"/>
    <w:pPr>
      <w:spacing w:line="480" w:lineRule="auto"/>
      <w:ind w:left="720"/>
      <w:contextualSpacing/>
    </w:pPr>
    <w:rPr>
      <w:rFonts w:ascii="Arial" w:eastAsia="Cambria" w:hAnsi="Arial" w:cs="Times New Roman"/>
    </w:rPr>
  </w:style>
  <w:style w:type="paragraph" w:styleId="BalloonText">
    <w:name w:val="Balloon Text"/>
    <w:basedOn w:val="Normal"/>
    <w:link w:val="BalloonTextChar"/>
    <w:uiPriority w:val="99"/>
    <w:semiHidden/>
    <w:unhideWhenUsed/>
    <w:rsid w:val="00F47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4A2"/>
    <w:rPr>
      <w:rFonts w:ascii="Lucida Grande" w:hAnsi="Lucida Grande" w:cs="Lucida Grande"/>
      <w:sz w:val="18"/>
      <w:szCs w:val="18"/>
    </w:rPr>
  </w:style>
  <w:style w:type="paragraph" w:customStyle="1" w:styleId="EndNoteBibliographyTitle">
    <w:name w:val="EndNote Bibliography Title"/>
    <w:basedOn w:val="Normal"/>
    <w:rsid w:val="001426D0"/>
    <w:pPr>
      <w:jc w:val="center"/>
    </w:pPr>
    <w:rPr>
      <w:rFonts w:ascii="Cambria" w:hAnsi="Cambria"/>
    </w:rPr>
  </w:style>
  <w:style w:type="paragraph" w:customStyle="1" w:styleId="EndNoteBibliography">
    <w:name w:val="EndNote Bibliography"/>
    <w:basedOn w:val="Normal"/>
    <w:rsid w:val="001426D0"/>
    <w:rPr>
      <w:rFonts w:ascii="Cambria" w:hAnsi="Cambria"/>
    </w:rPr>
  </w:style>
  <w:style w:type="paragraph" w:styleId="Caption">
    <w:name w:val="caption"/>
    <w:basedOn w:val="Normal"/>
    <w:next w:val="Normal"/>
    <w:autoRedefine/>
    <w:uiPriority w:val="99"/>
    <w:qFormat/>
    <w:rsid w:val="00F43A5B"/>
    <w:pPr>
      <w:spacing w:after="200" w:line="480" w:lineRule="auto"/>
      <w:jc w:val="center"/>
    </w:pPr>
    <w:rPr>
      <w:rFonts w:ascii="Arial" w:eastAsia="Cambria" w:hAnsi="Arial" w:cs="Times New Roman"/>
      <w:b/>
      <w:bCs/>
      <w:color w:val="4F81BD"/>
    </w:rPr>
  </w:style>
  <w:style w:type="paragraph" w:styleId="CommentSubject">
    <w:name w:val="annotation subject"/>
    <w:basedOn w:val="CommentText"/>
    <w:next w:val="CommentText"/>
    <w:link w:val="CommentSubjectChar"/>
    <w:uiPriority w:val="99"/>
    <w:semiHidden/>
    <w:unhideWhenUsed/>
    <w:rsid w:val="005D784E"/>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5D784E"/>
    <w:rPr>
      <w:rFonts w:ascii="Arial" w:eastAsia="Cambr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2642</Words>
  <Characters>15060</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Cancer Institute</dc:creator>
  <cp:lastModifiedBy>Steven Skates</cp:lastModifiedBy>
  <cp:revision>2</cp:revision>
  <cp:lastPrinted>2016-06-06T14:09:00Z</cp:lastPrinted>
  <dcterms:created xsi:type="dcterms:W3CDTF">2017-01-03T22:32:00Z</dcterms:created>
  <dcterms:modified xsi:type="dcterms:W3CDTF">2017-01-03T22:32:00Z</dcterms:modified>
</cp:coreProperties>
</file>