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E99" w:rsidRPr="001A4460" w:rsidRDefault="00061ECE" w:rsidP="005F0D7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061ECE">
        <w:rPr>
          <w:rFonts w:ascii="Times New Roman" w:hAnsi="Times New Roman" w:cs="Times New Roman"/>
          <w:b/>
          <w:sz w:val="24"/>
          <w:szCs w:val="24"/>
        </w:rPr>
        <w:t>Supplementary materials and methods</w:t>
      </w:r>
    </w:p>
    <w:p w:rsidR="000D0FB1" w:rsidRDefault="000D0FB1" w:rsidP="005F0D77">
      <w:pPr>
        <w:pStyle w:val="Paragraph"/>
        <w:spacing w:after="48" w:line="480" w:lineRule="auto"/>
        <w:jc w:val="both"/>
        <w:rPr>
          <w:i/>
        </w:rPr>
      </w:pPr>
      <w:r>
        <w:rPr>
          <w:i/>
        </w:rPr>
        <w:t>Cell Line Maintenance</w:t>
      </w:r>
    </w:p>
    <w:p w:rsidR="000D0FB1" w:rsidRDefault="000D0FB1" w:rsidP="005F0D77">
      <w:pPr>
        <w:pStyle w:val="Paragraph"/>
        <w:spacing w:after="48" w:line="480" w:lineRule="auto"/>
        <w:jc w:val="both"/>
      </w:pPr>
      <w:r w:rsidRPr="00877EE4">
        <w:t>HEK293T-17 cells (ATCC, CRL-11268) were maintained in DMEM (Invitrogen) plus 10% v/v heat inactivated fetal bovine serum (HI FBS, HyClone) and 1 X non-essential amino acids (NEAA, Invitrogen). Jurkat cells (</w:t>
      </w:r>
      <w:r w:rsidR="004D34DA" w:rsidRPr="00877EE4">
        <w:t>ATCC,</w:t>
      </w:r>
      <w:r w:rsidRPr="00877EE4">
        <w:t xml:space="preserve"> TIB-152) were maintained in RPMI 1640 (Invitrogen) plus 10% v/v HI FBS. Jurkat mGITR NFκB cells were maintained in RPMI 1640 supplemented with 10% HI FBS, 5 µg/mL blasticidin (Invitrogen) and 5 µg/mL puromycin (Invitrogen).</w:t>
      </w:r>
    </w:p>
    <w:p w:rsidR="000D0FB1" w:rsidRDefault="000D0FB1" w:rsidP="005F0D77">
      <w:pPr>
        <w:pStyle w:val="Paragraph"/>
        <w:spacing w:after="48" w:line="480" w:lineRule="auto"/>
        <w:jc w:val="both"/>
        <w:rPr>
          <w:i/>
        </w:rPr>
      </w:pPr>
    </w:p>
    <w:p w:rsidR="008060B6" w:rsidRPr="00996A8D" w:rsidRDefault="008060B6" w:rsidP="008060B6">
      <w:pPr>
        <w:pStyle w:val="Paragraph"/>
        <w:spacing w:after="48" w:line="480" w:lineRule="auto"/>
        <w:jc w:val="both"/>
        <w:rPr>
          <w:i/>
        </w:rPr>
      </w:pPr>
      <w:r w:rsidRPr="00996A8D">
        <w:rPr>
          <w:i/>
        </w:rPr>
        <w:t>Generation of mGITRL-FP</w:t>
      </w:r>
      <w:r w:rsidR="009A5C82">
        <w:rPr>
          <w:i/>
        </w:rPr>
        <w:t xml:space="preserve"> and anti-PD-L1 mIgG1</w:t>
      </w:r>
      <w:bookmarkStart w:id="0" w:name="_GoBack"/>
      <w:bookmarkEnd w:id="0"/>
    </w:p>
    <w:p w:rsidR="00724D56" w:rsidRPr="00996A8D" w:rsidRDefault="00724D56" w:rsidP="00724D56">
      <w:pPr>
        <w:pStyle w:val="Paragraph"/>
        <w:spacing w:after="48" w:line="480" w:lineRule="auto"/>
        <w:jc w:val="both"/>
      </w:pPr>
      <w:r w:rsidRPr="00996A8D">
        <w:t>DNA fragments encoding a haemagglutinin signal peptide sequence, a mIgG1 or mIgG2a Fc domain, the yeast-derived coiled coil GCN4 pII, and mouse GITRL ECD were synthesized (Geneart) and cloned into pDest12.2oriP (Thermo Fisher).  The full amino acid sequence of the mIgG2a version of mGITRL-FP is provided in Fig. S1.</w:t>
      </w:r>
    </w:p>
    <w:p w:rsidR="00724D56" w:rsidRPr="00996A8D" w:rsidRDefault="00724D56" w:rsidP="00724D56">
      <w:pPr>
        <w:pStyle w:val="Paragraph"/>
        <w:spacing w:after="48" w:line="480" w:lineRule="auto"/>
        <w:jc w:val="both"/>
      </w:pPr>
      <w:r w:rsidRPr="00996A8D">
        <w:t>CHO cells, grown in a proprietary chemically defined media similar to CD-CHO™ (Life Technologies Ltd, Paisley, UK), were transfected with the resulting plasmids and cultured for 8 days in shake flasks. Proteins were purified using MabSelect SuRe affinity chromatography (GE Healthcare) followed by size-exclusion chromatography (SEC).</w:t>
      </w:r>
      <w:r w:rsidR="00BC66C4" w:rsidRPr="00996A8D">
        <w:t xml:space="preserve"> </w:t>
      </w:r>
    </w:p>
    <w:p w:rsidR="00BC66C4" w:rsidRPr="00BC66C4" w:rsidRDefault="00BC66C4" w:rsidP="00724D56">
      <w:pPr>
        <w:pStyle w:val="Paragraph"/>
        <w:spacing w:after="48" w:line="480" w:lineRule="auto"/>
        <w:jc w:val="both"/>
        <w:rPr>
          <w:color w:val="C00000"/>
        </w:rPr>
      </w:pPr>
      <w:r w:rsidRPr="003E4FB4">
        <w:t xml:space="preserve">To generate the PD-L1 mIgG1 antibody, rats were immunized with recombinant mPDL1 Fc (R&amp;D systems 1019-B7). Rat lymph node samples were prepared and hybridomas established. Hybridoma supernatants were screened for binding to mPD-L1 protein using a Homogeneous Time Resolved Fluorescence (HTRF) assay and </w:t>
      </w:r>
      <w:r w:rsidR="00C724D4">
        <w:t>the clone</w:t>
      </w:r>
      <w:r w:rsidRPr="003E4FB4">
        <w:t xml:space="preserve"> was selected based on its desired specificity. Antibody variable genes were sequenced, the constant domain of the antibody exchanged to mouse IgG1 and expressed using a mammalian cell based system</w:t>
      </w:r>
      <w:r w:rsidR="00F00448">
        <w:t>.</w:t>
      </w:r>
    </w:p>
    <w:p w:rsidR="00547CF0" w:rsidRDefault="00547CF0" w:rsidP="005F0D77">
      <w:pPr>
        <w:pStyle w:val="Paragraph"/>
        <w:spacing w:after="48" w:line="480" w:lineRule="auto"/>
        <w:jc w:val="both"/>
        <w:rPr>
          <w:i/>
        </w:rPr>
      </w:pPr>
    </w:p>
    <w:p w:rsidR="00061ECE" w:rsidRDefault="00061ECE" w:rsidP="005F0D77">
      <w:pPr>
        <w:pStyle w:val="Paragraph"/>
        <w:spacing w:after="48" w:line="480" w:lineRule="auto"/>
        <w:jc w:val="both"/>
        <w:rPr>
          <w:i/>
        </w:rPr>
      </w:pPr>
      <w:r w:rsidRPr="00C432F2">
        <w:rPr>
          <w:i/>
        </w:rPr>
        <w:t>ELISA</w:t>
      </w:r>
    </w:p>
    <w:p w:rsidR="00061ECE" w:rsidRDefault="00061ECE" w:rsidP="005F0D77">
      <w:pPr>
        <w:spacing w:line="480" w:lineRule="auto"/>
        <w:rPr>
          <w:rFonts w:ascii="Times New Roman" w:hAnsi="Times New Roman" w:cs="Times New Roman"/>
          <w:sz w:val="24"/>
        </w:rPr>
      </w:pPr>
      <w:r w:rsidRPr="00C309AF">
        <w:rPr>
          <w:rFonts w:ascii="Times New Roman" w:hAnsi="Times New Roman" w:cs="Times New Roman"/>
          <w:sz w:val="24"/>
        </w:rPr>
        <w:t>Recombinant mouse GITR</w:t>
      </w:r>
      <w:r>
        <w:rPr>
          <w:rFonts w:ascii="Times New Roman" w:hAnsi="Times New Roman" w:cs="Times New Roman"/>
          <w:sz w:val="24"/>
        </w:rPr>
        <w:t>-Fc</w:t>
      </w:r>
      <w:r w:rsidRPr="00C309AF">
        <w:rPr>
          <w:rFonts w:ascii="Times New Roman" w:hAnsi="Times New Roman" w:cs="Times New Roman"/>
          <w:sz w:val="24"/>
        </w:rPr>
        <w:t xml:space="preserve"> and OX40</w:t>
      </w:r>
      <w:r>
        <w:rPr>
          <w:rFonts w:ascii="Times New Roman" w:hAnsi="Times New Roman" w:cs="Times New Roman"/>
          <w:sz w:val="24"/>
        </w:rPr>
        <w:t>-Fc</w:t>
      </w:r>
      <w:r w:rsidRPr="00C309AF">
        <w:rPr>
          <w:rFonts w:ascii="Times New Roman" w:hAnsi="Times New Roman" w:cs="Times New Roman"/>
          <w:sz w:val="24"/>
        </w:rPr>
        <w:t xml:space="preserve"> (R&amp;D Systems) </w:t>
      </w:r>
      <w:r>
        <w:rPr>
          <w:rFonts w:ascii="Times New Roman" w:hAnsi="Times New Roman" w:cs="Times New Roman"/>
          <w:sz w:val="24"/>
        </w:rPr>
        <w:t xml:space="preserve">glycoproteins </w:t>
      </w:r>
      <w:r w:rsidRPr="00C309AF">
        <w:rPr>
          <w:rFonts w:ascii="Times New Roman" w:hAnsi="Times New Roman" w:cs="Times New Roman"/>
          <w:sz w:val="24"/>
        </w:rPr>
        <w:t>were coated overnight at 1 µg/mL in PBS onto 96-well plates (Greiner). Plates were washed with PBST (PBS + 0.01</w:t>
      </w:r>
      <w:r w:rsidR="00926834">
        <w:rPr>
          <w:rFonts w:ascii="Times New Roman" w:hAnsi="Times New Roman" w:cs="Times New Roman"/>
          <w:sz w:val="24"/>
        </w:rPr>
        <w:t xml:space="preserve"> </w:t>
      </w:r>
      <w:r w:rsidRPr="00C309AF">
        <w:rPr>
          <w:rFonts w:ascii="Times New Roman" w:hAnsi="Times New Roman" w:cs="Times New Roman"/>
          <w:sz w:val="24"/>
        </w:rPr>
        <w:t>% Tween-20), blocked for 1 hour at room temperature with PBS containing 1</w:t>
      </w:r>
      <w:r w:rsidR="00926834">
        <w:rPr>
          <w:rFonts w:ascii="Times New Roman" w:hAnsi="Times New Roman" w:cs="Times New Roman"/>
          <w:sz w:val="24"/>
        </w:rPr>
        <w:t xml:space="preserve"> </w:t>
      </w:r>
      <w:r w:rsidRPr="00C309AF">
        <w:rPr>
          <w:rFonts w:ascii="Times New Roman" w:hAnsi="Times New Roman" w:cs="Times New Roman"/>
          <w:sz w:val="24"/>
        </w:rPr>
        <w:t>% (w/v) BSA, and washed in PBST again.</w:t>
      </w:r>
      <w:r w:rsidRPr="00C309AF">
        <w:rPr>
          <w:rFonts w:ascii="Times New Roman" w:hAnsi="Times New Roman" w:cs="Times New Roman"/>
          <w:i/>
          <w:sz w:val="24"/>
        </w:rPr>
        <w:t xml:space="preserve"> </w:t>
      </w:r>
      <w:r w:rsidRPr="00C309AF">
        <w:rPr>
          <w:rFonts w:ascii="Times New Roman" w:hAnsi="Times New Roman" w:cs="Times New Roman"/>
          <w:sz w:val="24"/>
        </w:rPr>
        <w:t xml:space="preserve">Twenty-five microlitres of 1 µg/mL mouse GITRL or </w:t>
      </w:r>
      <w:r w:rsidR="00AC76C3">
        <w:rPr>
          <w:rFonts w:ascii="Times New Roman" w:hAnsi="Times New Roman" w:cs="Times New Roman"/>
          <w:sz w:val="24"/>
        </w:rPr>
        <w:t>OX40L-FP</w:t>
      </w:r>
      <w:r>
        <w:rPr>
          <w:rFonts w:ascii="Times New Roman" w:hAnsi="Times New Roman" w:cs="Times New Roman"/>
          <w:sz w:val="24"/>
        </w:rPr>
        <w:t>s</w:t>
      </w:r>
      <w:r w:rsidRPr="00C309AF">
        <w:rPr>
          <w:rFonts w:ascii="Times New Roman" w:hAnsi="Times New Roman" w:cs="Times New Roman"/>
          <w:sz w:val="24"/>
        </w:rPr>
        <w:t xml:space="preserve"> diluted in assay buffer [PBS + 1</w:t>
      </w:r>
      <w:r w:rsidR="00926834">
        <w:rPr>
          <w:rFonts w:ascii="Times New Roman" w:hAnsi="Times New Roman" w:cs="Times New Roman"/>
          <w:sz w:val="24"/>
        </w:rPr>
        <w:t xml:space="preserve"> </w:t>
      </w:r>
      <w:r w:rsidRPr="00C309AF">
        <w:rPr>
          <w:rFonts w:ascii="Times New Roman" w:hAnsi="Times New Roman" w:cs="Times New Roman"/>
          <w:sz w:val="24"/>
        </w:rPr>
        <w:t>% bovine serum albumin (BSA)] was added to wells, and plates were incubated for 2 hours at room temperature. After 3 washes, 25 µL of 1 µg/mL horseradish peroxidase–conjugated anti-mouse Fc antibody (Sigma) diluted in assay buffer was added to each well, and plates were incubated for 1 hour.  After incubation, plates were washed 3 times in PBST, 25 µL of tetramethylbenzidine substrate solution (KPL) was added to each well, and plates incubated for 5 minutes. After incubation 15 µL of 0.5 M sulphuric acid stop solution was added to all wells. The optical density at 450 nm was measured using an EnVision plate reader (Perkin</w:t>
      </w:r>
      <w:r>
        <w:rPr>
          <w:rFonts w:ascii="Times New Roman" w:hAnsi="Times New Roman" w:cs="Times New Roman"/>
          <w:sz w:val="24"/>
        </w:rPr>
        <w:t>Elmer).</w:t>
      </w:r>
    </w:p>
    <w:p w:rsidR="00061ECE" w:rsidRDefault="002E26F7" w:rsidP="005F0D77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887F44">
        <w:rPr>
          <w:rFonts w:ascii="Times New Roman" w:hAnsi="Times New Roman" w:cs="Times New Roman"/>
          <w:b/>
          <w:sz w:val="24"/>
          <w:szCs w:val="24"/>
        </w:rPr>
        <w:lastRenderedPageBreak/>
        <w:t>Supplementary Figure Legends</w:t>
      </w:r>
    </w:p>
    <w:p w:rsidR="00EA03BD" w:rsidRDefault="00996A8D" w:rsidP="005F0D77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Fig. S1 - </w:t>
      </w:r>
      <w:r w:rsidR="00C734C3" w:rsidRPr="00EA03BD">
        <w:rPr>
          <w:rFonts w:ascii="Times New Roman" w:hAnsi="Times New Roman" w:cs="Times New Roman"/>
          <w:b/>
          <w:bCs/>
          <w:sz w:val="24"/>
          <w:szCs w:val="24"/>
        </w:rPr>
        <w:t xml:space="preserve">Primary amino acid sequence of mGITRL-FP mIgG2a. </w:t>
      </w:r>
      <w:r w:rsidR="00C734C3" w:rsidRPr="0013659E">
        <w:rPr>
          <w:rFonts w:ascii="Times New Roman" w:hAnsi="Times New Roman" w:cs="Times New Roman"/>
          <w:bCs/>
          <w:sz w:val="24"/>
          <w:szCs w:val="24"/>
        </w:rPr>
        <w:t xml:space="preserve"> The key domains (</w:t>
      </w:r>
      <w:r w:rsidR="00C734C3">
        <w:rPr>
          <w:rFonts w:ascii="Times New Roman" w:hAnsi="Times New Roman" w:cs="Times New Roman"/>
          <w:bCs/>
          <w:sz w:val="24"/>
          <w:szCs w:val="24"/>
        </w:rPr>
        <w:t>mIgG2a</w:t>
      </w:r>
      <w:r w:rsidR="00C734C3" w:rsidRPr="0013659E">
        <w:rPr>
          <w:rFonts w:ascii="Times New Roman" w:hAnsi="Times New Roman" w:cs="Times New Roman"/>
          <w:bCs/>
          <w:sz w:val="24"/>
          <w:szCs w:val="24"/>
        </w:rPr>
        <w:t xml:space="preserve"> Fc, </w:t>
      </w:r>
      <w:r w:rsidR="00C734C3">
        <w:rPr>
          <w:rFonts w:ascii="Times New Roman" w:hAnsi="Times New Roman" w:cs="Times New Roman"/>
          <w:bCs/>
          <w:sz w:val="24"/>
          <w:szCs w:val="24"/>
        </w:rPr>
        <w:t>GCN4 pII</w:t>
      </w:r>
      <w:r w:rsidR="00C734C3" w:rsidRPr="0013659E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r w:rsidR="00C734C3">
        <w:rPr>
          <w:rFonts w:ascii="Times New Roman" w:hAnsi="Times New Roman" w:cs="Times New Roman"/>
          <w:bCs/>
          <w:sz w:val="24"/>
          <w:szCs w:val="24"/>
        </w:rPr>
        <w:t>m</w:t>
      </w:r>
      <w:r w:rsidR="00C734C3" w:rsidRPr="00EA03BD">
        <w:rPr>
          <w:rFonts w:ascii="Times New Roman" w:hAnsi="Times New Roman" w:cs="Times New Roman"/>
          <w:bCs/>
          <w:sz w:val="24"/>
          <w:szCs w:val="24"/>
        </w:rPr>
        <w:t>GITRL ECD domain)</w:t>
      </w:r>
      <w:r w:rsidR="00C734C3" w:rsidRPr="0013659E">
        <w:rPr>
          <w:rFonts w:ascii="Times New Roman" w:hAnsi="Times New Roman" w:cs="Times New Roman"/>
          <w:bCs/>
          <w:sz w:val="24"/>
          <w:szCs w:val="24"/>
        </w:rPr>
        <w:t xml:space="preserve"> are separated by glycine/glycine-seri</w:t>
      </w:r>
      <w:r w:rsidR="00C734C3" w:rsidRPr="00EA03BD">
        <w:rPr>
          <w:rFonts w:ascii="Times New Roman" w:hAnsi="Times New Roman" w:cs="Times New Roman"/>
          <w:bCs/>
          <w:sz w:val="24"/>
          <w:szCs w:val="24"/>
        </w:rPr>
        <w:t>ne linkers (underlined).</w:t>
      </w:r>
    </w:p>
    <w:p w:rsidR="00996A8D" w:rsidRDefault="00996A8D" w:rsidP="005F0D7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40FC" w:rsidRDefault="00BB5DD1" w:rsidP="005F0D7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EA03B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34C3">
        <w:rPr>
          <w:rFonts w:ascii="Times New Roman" w:hAnsi="Times New Roman" w:cs="Times New Roman"/>
          <w:b/>
          <w:bCs/>
          <w:sz w:val="24"/>
          <w:szCs w:val="24"/>
        </w:rPr>
        <w:t>S2</w:t>
      </w:r>
      <w:r w:rsidR="00EA03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A73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Intratumoral T-reg</w:t>
      </w:r>
      <w:r w:rsidRPr="002A730E">
        <w:rPr>
          <w:rFonts w:ascii="Times New Roman" w:hAnsi="Times New Roman" w:cs="Times New Roman"/>
          <w:b/>
          <w:bCs/>
          <w:sz w:val="24"/>
          <w:szCs w:val="24"/>
        </w:rPr>
        <w:t xml:space="preserve"> depletion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B5DD1" w:rsidRDefault="00BB5DD1" w:rsidP="005F0D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A730E">
        <w:rPr>
          <w:rFonts w:ascii="Times New Roman" w:hAnsi="Times New Roman" w:cs="Times New Roman"/>
          <w:sz w:val="24"/>
          <w:szCs w:val="24"/>
        </w:rPr>
        <w:t xml:space="preserve">CT26 </w:t>
      </w:r>
      <w:r>
        <w:rPr>
          <w:rFonts w:ascii="Times New Roman" w:hAnsi="Times New Roman" w:cs="Times New Roman"/>
          <w:sz w:val="24"/>
          <w:szCs w:val="24"/>
        </w:rPr>
        <w:t>tumor</w:t>
      </w:r>
      <w:r w:rsidRPr="002A730E">
        <w:rPr>
          <w:rFonts w:ascii="Times New Roman" w:hAnsi="Times New Roman" w:cs="Times New Roman"/>
          <w:sz w:val="24"/>
          <w:szCs w:val="24"/>
        </w:rPr>
        <w:t xml:space="preserve"> bearing mice were injected with either saline control, </w:t>
      </w:r>
      <w:r w:rsidR="00B157AF">
        <w:rPr>
          <w:rFonts w:ascii="Times New Roman" w:hAnsi="Times New Roman" w:cs="Times New Roman"/>
          <w:sz w:val="24"/>
          <w:szCs w:val="24"/>
        </w:rPr>
        <w:t>mGITRL-FP</w:t>
      </w:r>
      <w:r w:rsidRPr="002A730E">
        <w:rPr>
          <w:rFonts w:ascii="Times New Roman" w:hAnsi="Times New Roman" w:cs="Times New Roman"/>
          <w:sz w:val="24"/>
          <w:szCs w:val="24"/>
        </w:rPr>
        <w:t xml:space="preserve"> mIgG1 (10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30E">
        <w:rPr>
          <w:rFonts w:ascii="Times New Roman" w:hAnsi="Times New Roman" w:cs="Times New Roman"/>
          <w:sz w:val="24"/>
          <w:szCs w:val="24"/>
        </w:rPr>
        <w:t xml:space="preserve">mg/kg) or </w:t>
      </w:r>
      <w:r w:rsidR="00B157AF">
        <w:rPr>
          <w:rFonts w:ascii="Times New Roman" w:hAnsi="Times New Roman" w:cs="Times New Roman"/>
          <w:sz w:val="24"/>
          <w:szCs w:val="24"/>
        </w:rPr>
        <w:t>mGITRL-FP</w:t>
      </w:r>
      <w:r w:rsidRPr="002A730E">
        <w:rPr>
          <w:rFonts w:ascii="Times New Roman" w:hAnsi="Times New Roman" w:cs="Times New Roman"/>
          <w:sz w:val="24"/>
          <w:szCs w:val="24"/>
        </w:rPr>
        <w:t xml:space="preserve"> mIgG2a (10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A730E">
        <w:rPr>
          <w:rFonts w:ascii="Times New Roman" w:hAnsi="Times New Roman" w:cs="Times New Roman"/>
          <w:sz w:val="24"/>
          <w:szCs w:val="24"/>
        </w:rPr>
        <w:t>mg/kg) once i.p. at 6 days post CT26 implantation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730E">
        <w:rPr>
          <w:rFonts w:ascii="Times New Roman" w:hAnsi="Times New Roman" w:cs="Times New Roman"/>
          <w:sz w:val="24"/>
          <w:szCs w:val="24"/>
        </w:rPr>
        <w:t>Flow cytometric plots showing the proportion of CD4</w:t>
      </w:r>
      <w:r w:rsidRPr="003F5605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Pr="002A730E">
        <w:rPr>
          <w:rFonts w:ascii="Times New Roman" w:hAnsi="Times New Roman" w:cs="Times New Roman"/>
          <w:sz w:val="24"/>
          <w:szCs w:val="24"/>
        </w:rPr>
        <w:t>Foxp3</w:t>
      </w:r>
      <w:r w:rsidRPr="003F5605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2A730E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-regs</w:t>
      </w:r>
      <w:r w:rsidRPr="002A730E">
        <w:rPr>
          <w:rFonts w:ascii="Times New Roman" w:hAnsi="Times New Roman" w:cs="Times New Roman"/>
          <w:sz w:val="24"/>
          <w:szCs w:val="24"/>
        </w:rPr>
        <w:t xml:space="preserve"> in the </w:t>
      </w:r>
      <w:r>
        <w:rPr>
          <w:rFonts w:ascii="Times New Roman" w:hAnsi="Times New Roman" w:cs="Times New Roman"/>
          <w:sz w:val="24"/>
          <w:szCs w:val="24"/>
        </w:rPr>
        <w:t>tumor</w:t>
      </w:r>
      <w:r w:rsidRPr="002A730E">
        <w:rPr>
          <w:rFonts w:ascii="Times New Roman" w:hAnsi="Times New Roman" w:cs="Times New Roman"/>
          <w:sz w:val="24"/>
          <w:szCs w:val="24"/>
        </w:rPr>
        <w:t xml:space="preserve"> 4 days after treatment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A730E">
        <w:rPr>
          <w:rFonts w:ascii="Times New Roman" w:hAnsi="Times New Roman" w:cs="Times New Roman"/>
          <w:sz w:val="24"/>
          <w:szCs w:val="24"/>
        </w:rPr>
        <w:t>CD4</w:t>
      </w:r>
      <w:r w:rsidRPr="00926834">
        <w:rPr>
          <w:rFonts w:ascii="Times New Roman" w:hAnsi="Times New Roman" w:cs="Times New Roman"/>
          <w:sz w:val="24"/>
          <w:szCs w:val="24"/>
          <w:vertAlign w:val="superscript"/>
        </w:rPr>
        <w:t xml:space="preserve">+ </w:t>
      </w:r>
      <w:r w:rsidRPr="002A730E">
        <w:rPr>
          <w:rFonts w:ascii="Times New Roman" w:hAnsi="Times New Roman" w:cs="Times New Roman"/>
          <w:sz w:val="24"/>
          <w:szCs w:val="24"/>
        </w:rPr>
        <w:t>Foxp3</w:t>
      </w:r>
      <w:r w:rsidRPr="00926834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Pr="002A730E">
        <w:rPr>
          <w:rFonts w:ascii="Times New Roman" w:hAnsi="Times New Roman" w:cs="Times New Roman"/>
          <w:sz w:val="24"/>
          <w:szCs w:val="24"/>
        </w:rPr>
        <w:t xml:space="preserve"> flow cytometry analysis gate is positioned based on Foxp3 fluorescence minus one (FMO) control.</w:t>
      </w:r>
      <w:r w:rsidR="004E082C">
        <w:rPr>
          <w:rFonts w:ascii="Times New Roman" w:hAnsi="Times New Roman" w:cs="Times New Roman"/>
          <w:sz w:val="24"/>
          <w:szCs w:val="24"/>
        </w:rPr>
        <w:t xml:space="preserve"> N = 8 mice per group</w:t>
      </w:r>
      <w:r w:rsidR="00194A15">
        <w:rPr>
          <w:rFonts w:ascii="Times New Roman" w:hAnsi="Times New Roman" w:cs="Times New Roman"/>
          <w:sz w:val="24"/>
          <w:szCs w:val="24"/>
        </w:rPr>
        <w:t xml:space="preserve">. </w:t>
      </w:r>
      <w:r w:rsidR="00093762">
        <w:rPr>
          <w:rFonts w:ascii="Times New Roman" w:hAnsi="Times New Roman" w:cs="Times New Roman"/>
          <w:sz w:val="24"/>
          <w:szCs w:val="24"/>
        </w:rPr>
        <w:t xml:space="preserve">Data is one representative </w:t>
      </w:r>
      <w:r w:rsidR="00E23198">
        <w:rPr>
          <w:rFonts w:ascii="Times New Roman" w:hAnsi="Times New Roman" w:cs="Times New Roman"/>
          <w:sz w:val="24"/>
          <w:szCs w:val="24"/>
        </w:rPr>
        <w:t>of at</w:t>
      </w:r>
      <w:r w:rsidR="00194A15">
        <w:rPr>
          <w:rFonts w:ascii="Times New Roman" w:hAnsi="Times New Roman" w:cs="Times New Roman"/>
          <w:sz w:val="24"/>
          <w:szCs w:val="24"/>
        </w:rPr>
        <w:t xml:space="preserve"> leas</w:t>
      </w:r>
      <w:r w:rsidR="00093762">
        <w:rPr>
          <w:rFonts w:ascii="Times New Roman" w:hAnsi="Times New Roman" w:cs="Times New Roman"/>
          <w:sz w:val="24"/>
          <w:szCs w:val="24"/>
        </w:rPr>
        <w:t>t three independent experiments.</w:t>
      </w:r>
    </w:p>
    <w:p w:rsidR="00E00F02" w:rsidRDefault="00E00F02" w:rsidP="005F0D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4D7E26" w:rsidRPr="00E00F02" w:rsidRDefault="004D7E26" w:rsidP="005F0D7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EA03B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34C3">
        <w:rPr>
          <w:rFonts w:ascii="Times New Roman" w:hAnsi="Times New Roman" w:cs="Times New Roman"/>
          <w:b/>
          <w:bCs/>
          <w:sz w:val="24"/>
          <w:szCs w:val="24"/>
        </w:rPr>
        <w:t>S3</w:t>
      </w:r>
      <w:r w:rsidR="00EA03BD" w:rsidRPr="009D61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614D"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614D">
        <w:rPr>
          <w:rFonts w:ascii="Times New Roman" w:hAnsi="Times New Roman" w:cs="Times New Roman"/>
          <w:b/>
          <w:bCs/>
          <w:sz w:val="24"/>
          <w:szCs w:val="24"/>
        </w:rPr>
        <w:t>Binding and p</w:t>
      </w:r>
      <w:r>
        <w:rPr>
          <w:rFonts w:ascii="Times New Roman" w:hAnsi="Times New Roman" w:cs="Times New Roman"/>
          <w:b/>
          <w:bCs/>
          <w:sz w:val="24"/>
          <w:szCs w:val="24"/>
        </w:rPr>
        <w:t>otency</w:t>
      </w:r>
      <w:r w:rsidRPr="009D614D">
        <w:rPr>
          <w:rFonts w:ascii="Times New Roman" w:hAnsi="Times New Roman" w:cs="Times New Roman"/>
          <w:b/>
          <w:bCs/>
          <w:sz w:val="24"/>
          <w:szCs w:val="24"/>
        </w:rPr>
        <w:t xml:space="preserve"> profile of a mouse OX40 ligand fusion protein.</w:t>
      </w:r>
    </w:p>
    <w:p w:rsidR="004D7E26" w:rsidRPr="009D614D" w:rsidRDefault="004D7E26" w:rsidP="005F0D77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</w:rPr>
      </w:pPr>
      <w:r w:rsidRPr="009D614D">
        <w:rPr>
          <w:rFonts w:ascii="Times New Roman" w:hAnsi="Times New Roman" w:cs="Times New Roman"/>
          <w:bCs/>
          <w:sz w:val="24"/>
          <w:szCs w:val="24"/>
        </w:rPr>
        <w:t xml:space="preserve">(A) </w:t>
      </w:r>
      <w:r>
        <w:rPr>
          <w:rFonts w:ascii="Times New Roman" w:hAnsi="Times New Roman" w:cs="Times New Roman"/>
          <w:bCs/>
          <w:sz w:val="24"/>
          <w:szCs w:val="24"/>
        </w:rPr>
        <w:t xml:space="preserve">Binding ELISA showing that </w:t>
      </w:r>
      <w:r w:rsidR="00B157AF">
        <w:rPr>
          <w:rFonts w:ascii="Times New Roman" w:hAnsi="Times New Roman" w:cs="Times New Roman"/>
          <w:sz w:val="24"/>
        </w:rPr>
        <w:t>mGITRL-FP</w:t>
      </w:r>
      <w:r>
        <w:rPr>
          <w:rFonts w:ascii="Times New Roman" w:hAnsi="Times New Roman" w:cs="Times New Roman"/>
          <w:sz w:val="24"/>
        </w:rPr>
        <w:t xml:space="preserve"> mIgG1 and mIgG2a each </w:t>
      </w:r>
      <w:r w:rsidRPr="009D614D">
        <w:rPr>
          <w:rFonts w:ascii="Times New Roman" w:hAnsi="Times New Roman" w:cs="Times New Roman"/>
          <w:sz w:val="24"/>
        </w:rPr>
        <w:t xml:space="preserve">binds specifically to </w:t>
      </w:r>
      <w:r>
        <w:rPr>
          <w:rFonts w:ascii="Times New Roman" w:hAnsi="Times New Roman" w:cs="Times New Roman"/>
          <w:sz w:val="24"/>
        </w:rPr>
        <w:t xml:space="preserve">recombinant </w:t>
      </w:r>
      <w:r w:rsidRPr="009D614D">
        <w:rPr>
          <w:rFonts w:ascii="Times New Roman" w:hAnsi="Times New Roman" w:cs="Times New Roman"/>
          <w:sz w:val="24"/>
        </w:rPr>
        <w:t>mouse GITR</w:t>
      </w:r>
      <w:r>
        <w:rPr>
          <w:rFonts w:ascii="Times New Roman" w:hAnsi="Times New Roman" w:cs="Times New Roman"/>
          <w:sz w:val="24"/>
        </w:rPr>
        <w:t>-Fc (black bars) and not to recombinant mouse OX40-Fc</w:t>
      </w:r>
      <w:r w:rsidRPr="009D614D">
        <w:rPr>
          <w:rFonts w:ascii="Times New Roman" w:hAnsi="Times New Roman" w:cs="Times New Roman"/>
          <w:sz w:val="24"/>
        </w:rPr>
        <w:t xml:space="preserve"> and </w:t>
      </w:r>
      <w:r>
        <w:rPr>
          <w:rFonts w:ascii="Times New Roman" w:hAnsi="Times New Roman" w:cs="Times New Roman"/>
          <w:sz w:val="24"/>
        </w:rPr>
        <w:t xml:space="preserve">that </w:t>
      </w:r>
      <w:r w:rsidR="00B157AF">
        <w:rPr>
          <w:rFonts w:ascii="Times New Roman" w:hAnsi="Times New Roman" w:cs="Times New Roman"/>
          <w:sz w:val="24"/>
        </w:rPr>
        <w:t>mOX40L-FP</w:t>
      </w:r>
      <w:r>
        <w:rPr>
          <w:rFonts w:ascii="Times New Roman" w:hAnsi="Times New Roman" w:cs="Times New Roman"/>
          <w:sz w:val="24"/>
        </w:rPr>
        <w:t xml:space="preserve"> mIgG1 and mIgG2a each </w:t>
      </w:r>
      <w:r w:rsidRPr="009D614D">
        <w:rPr>
          <w:rFonts w:ascii="Times New Roman" w:hAnsi="Times New Roman" w:cs="Times New Roman"/>
          <w:sz w:val="24"/>
        </w:rPr>
        <w:t xml:space="preserve">binds specifically to </w:t>
      </w:r>
      <w:r>
        <w:rPr>
          <w:rFonts w:ascii="Times New Roman" w:hAnsi="Times New Roman" w:cs="Times New Roman"/>
          <w:sz w:val="24"/>
        </w:rPr>
        <w:t xml:space="preserve">recombinant </w:t>
      </w:r>
      <w:r w:rsidRPr="009D614D">
        <w:rPr>
          <w:rFonts w:ascii="Times New Roman" w:hAnsi="Times New Roman" w:cs="Times New Roman"/>
          <w:sz w:val="24"/>
        </w:rPr>
        <w:t>mouse OX40</w:t>
      </w:r>
      <w:r>
        <w:rPr>
          <w:rFonts w:ascii="Times New Roman" w:hAnsi="Times New Roman" w:cs="Times New Roman"/>
          <w:sz w:val="24"/>
        </w:rPr>
        <w:t xml:space="preserve"> (grey bars) and not recombinant mouse GITR</w:t>
      </w:r>
      <w:r w:rsidRPr="009D614D">
        <w:rPr>
          <w:rFonts w:ascii="Times New Roman" w:hAnsi="Times New Roman" w:cs="Times New Roman"/>
          <w:sz w:val="24"/>
        </w:rPr>
        <w:t xml:space="preserve">. </w:t>
      </w:r>
      <w:r w:rsidR="00B157AF">
        <w:rPr>
          <w:rFonts w:ascii="Times New Roman" w:hAnsi="Times New Roman" w:cs="Times New Roman"/>
          <w:sz w:val="24"/>
        </w:rPr>
        <w:t>mOX40L-FP</w:t>
      </w:r>
      <w:r w:rsidRPr="009D61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Y182A isotype control</w:t>
      </w:r>
      <w:r w:rsidRPr="009D614D">
        <w:rPr>
          <w:rFonts w:ascii="Times New Roman" w:hAnsi="Times New Roman" w:cs="Times New Roman"/>
          <w:sz w:val="24"/>
        </w:rPr>
        <w:t xml:space="preserve"> binds</w:t>
      </w:r>
      <w:r>
        <w:rPr>
          <w:rFonts w:ascii="Times New Roman" w:hAnsi="Times New Roman" w:cs="Times New Roman"/>
          <w:sz w:val="24"/>
        </w:rPr>
        <w:t xml:space="preserve"> minimally</w:t>
      </w:r>
      <w:r w:rsidRPr="009D61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to recombinant </w:t>
      </w:r>
      <w:r w:rsidRPr="009D614D">
        <w:rPr>
          <w:rFonts w:ascii="Times New Roman" w:hAnsi="Times New Roman" w:cs="Times New Roman"/>
          <w:sz w:val="24"/>
        </w:rPr>
        <w:t>mouse OX40</w:t>
      </w:r>
      <w:r>
        <w:rPr>
          <w:rFonts w:ascii="Times New Roman" w:hAnsi="Times New Roman" w:cs="Times New Roman"/>
          <w:sz w:val="24"/>
        </w:rPr>
        <w:t>-Fc.</w:t>
      </w:r>
      <w:r w:rsidR="00E00F02">
        <w:rPr>
          <w:rFonts w:ascii="Times New Roman" w:hAnsi="Times New Roman" w:cs="Times New Roman"/>
          <w:sz w:val="24"/>
        </w:rPr>
        <w:t xml:space="preserve"> N = 8 samples per group. Data is representative of t</w:t>
      </w:r>
      <w:r w:rsidR="005F0D77">
        <w:rPr>
          <w:rFonts w:ascii="Times New Roman" w:hAnsi="Times New Roman" w:cs="Times New Roman"/>
          <w:sz w:val="24"/>
        </w:rPr>
        <w:t>wo</w:t>
      </w:r>
      <w:r w:rsidR="00E00F02">
        <w:rPr>
          <w:rFonts w:ascii="Times New Roman" w:hAnsi="Times New Roman" w:cs="Times New Roman"/>
          <w:sz w:val="24"/>
        </w:rPr>
        <w:t xml:space="preserve"> independent experiments.</w:t>
      </w:r>
    </w:p>
    <w:p w:rsidR="005F0D77" w:rsidRDefault="004D7E26" w:rsidP="005F0D77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(B) </w:t>
      </w:r>
      <w:r w:rsidR="004516B0">
        <w:rPr>
          <w:rFonts w:ascii="Times New Roman" w:hAnsi="Times New Roman" w:cs="Times New Roman"/>
          <w:sz w:val="24"/>
          <w:szCs w:val="24"/>
        </w:rPr>
        <w:t>Binding of mOX40L-</w:t>
      </w:r>
      <w:r w:rsidRPr="003A2256">
        <w:rPr>
          <w:rFonts w:ascii="Times New Roman" w:hAnsi="Times New Roman" w:cs="Times New Roman"/>
          <w:sz w:val="24"/>
          <w:szCs w:val="24"/>
        </w:rPr>
        <w:t>FP</w:t>
      </w:r>
      <w:r>
        <w:rPr>
          <w:rFonts w:ascii="Times New Roman" w:hAnsi="Times New Roman" w:cs="Times New Roman"/>
          <w:sz w:val="24"/>
          <w:szCs w:val="24"/>
        </w:rPr>
        <w:t xml:space="preserve"> mIgG1 (black circles)</w:t>
      </w:r>
      <w:r w:rsidRPr="003A2256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 xml:space="preserve">Y182A </w:t>
      </w:r>
      <w:r w:rsidRPr="003A2256">
        <w:rPr>
          <w:rFonts w:ascii="Times New Roman" w:hAnsi="Times New Roman" w:cs="Times New Roman"/>
          <w:sz w:val="24"/>
          <w:szCs w:val="24"/>
        </w:rPr>
        <w:t>isotype control</w:t>
      </w:r>
      <w:r>
        <w:rPr>
          <w:rFonts w:ascii="Times New Roman" w:hAnsi="Times New Roman" w:cs="Times New Roman"/>
          <w:sz w:val="24"/>
          <w:szCs w:val="24"/>
        </w:rPr>
        <w:t xml:space="preserve"> (open circles)</w:t>
      </w:r>
      <w:r w:rsidRPr="003A2256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human </w:t>
      </w:r>
      <w:r w:rsidRPr="003A2256">
        <w:rPr>
          <w:rFonts w:ascii="Times New Roman" w:hAnsi="Times New Roman" w:cs="Times New Roman"/>
          <w:sz w:val="24"/>
          <w:szCs w:val="24"/>
        </w:rPr>
        <w:t>OX40 on</w:t>
      </w:r>
      <w:r>
        <w:rPr>
          <w:rFonts w:ascii="Times New Roman" w:hAnsi="Times New Roman" w:cs="Times New Roman"/>
          <w:sz w:val="24"/>
          <w:szCs w:val="24"/>
        </w:rPr>
        <w:t xml:space="preserve"> Jurkat human OX40 NF-κB reporter cell line</w:t>
      </w:r>
      <w:r w:rsidRPr="003A22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Mouse OX40L</w:t>
      </w:r>
      <w:r w:rsidR="004D532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FP mIgG1 </w:t>
      </w:r>
      <w:r>
        <w:rPr>
          <w:rFonts w:ascii="Times New Roman" w:hAnsi="Times New Roman" w:cs="Times New Roman"/>
          <w:sz w:val="24"/>
          <w:szCs w:val="24"/>
        </w:rPr>
        <w:lastRenderedPageBreak/>
        <w:t>induced NF</w:t>
      </w:r>
      <w:r>
        <w:rPr>
          <w:rFonts w:ascii="Times New Roman" w:hAnsi="Times New Roman" w:cs="Times New Roman"/>
          <w:sz w:val="24"/>
          <w:szCs w:val="24"/>
        </w:rPr>
        <w:noBreakHyphen/>
        <w:t xml:space="preserve">κB signalling in the reporter assay but this was not evident for the </w:t>
      </w:r>
      <w:r w:rsidR="00B157AF">
        <w:rPr>
          <w:rFonts w:ascii="Times New Roman" w:hAnsi="Times New Roman" w:cs="Times New Roman"/>
          <w:sz w:val="24"/>
          <w:szCs w:val="24"/>
        </w:rPr>
        <w:t>mOX40L-FP</w:t>
      </w:r>
      <w:r>
        <w:rPr>
          <w:rFonts w:ascii="Times New Roman" w:hAnsi="Times New Roman" w:cs="Times New Roman"/>
          <w:sz w:val="24"/>
          <w:szCs w:val="24"/>
        </w:rPr>
        <w:t xml:space="preserve"> Y182A isotype control.</w:t>
      </w:r>
      <w:r w:rsidR="00E3529A" w:rsidRPr="00E3529A">
        <w:rPr>
          <w:rFonts w:ascii="Times New Roman" w:hAnsi="Times New Roman" w:cs="Times New Roman"/>
          <w:sz w:val="24"/>
        </w:rPr>
        <w:t xml:space="preserve"> </w:t>
      </w:r>
      <w:bookmarkStart w:id="1" w:name="OLE_LINK1"/>
      <w:r w:rsidR="000644E8">
        <w:rPr>
          <w:rFonts w:ascii="Times New Roman" w:hAnsi="Times New Roman" w:cs="Times New Roman"/>
          <w:sz w:val="24"/>
        </w:rPr>
        <w:t>Data</w:t>
      </w:r>
      <w:r w:rsidR="00B24165">
        <w:rPr>
          <w:rFonts w:ascii="Times New Roman" w:hAnsi="Times New Roman" w:cs="Times New Roman"/>
          <w:sz w:val="24"/>
        </w:rPr>
        <w:t xml:space="preserve"> is </w:t>
      </w:r>
      <w:r w:rsidR="00FF1BE7">
        <w:rPr>
          <w:rFonts w:ascii="Times New Roman" w:hAnsi="Times New Roman" w:cs="Times New Roman"/>
          <w:sz w:val="24"/>
        </w:rPr>
        <w:t xml:space="preserve">one </w:t>
      </w:r>
      <w:r w:rsidR="00B24165">
        <w:rPr>
          <w:rFonts w:ascii="Times New Roman" w:hAnsi="Times New Roman" w:cs="Times New Roman"/>
          <w:sz w:val="24"/>
        </w:rPr>
        <w:t>representative of two independent experiments.</w:t>
      </w:r>
    </w:p>
    <w:p w:rsidR="00BA7288" w:rsidRDefault="00BA7288" w:rsidP="005F0D7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D7E26" w:rsidRDefault="00800870" w:rsidP="005F0D77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</w:t>
      </w:r>
      <w:r w:rsidR="00EA03B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734C3">
        <w:rPr>
          <w:rFonts w:ascii="Times New Roman" w:hAnsi="Times New Roman" w:cs="Times New Roman"/>
          <w:b/>
          <w:bCs/>
          <w:sz w:val="24"/>
          <w:szCs w:val="24"/>
        </w:rPr>
        <w:t>S4</w:t>
      </w:r>
      <w:r w:rsidR="00EA03BD" w:rsidRPr="009D61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7E26">
        <w:rPr>
          <w:rFonts w:ascii="Times New Roman" w:hAnsi="Times New Roman" w:cs="Times New Roman"/>
          <w:b/>
          <w:bCs/>
          <w:sz w:val="24"/>
          <w:szCs w:val="24"/>
        </w:rPr>
        <w:t xml:space="preserve">– Combination of </w:t>
      </w:r>
      <w:r w:rsidR="00B157AF">
        <w:rPr>
          <w:rFonts w:ascii="Times New Roman" w:hAnsi="Times New Roman" w:cs="Times New Roman"/>
          <w:b/>
          <w:bCs/>
          <w:sz w:val="24"/>
          <w:szCs w:val="24"/>
        </w:rPr>
        <w:t>mGITRL-FP</w:t>
      </w:r>
      <w:r w:rsidR="004D7E26">
        <w:rPr>
          <w:rFonts w:ascii="Times New Roman" w:hAnsi="Times New Roman" w:cs="Times New Roman"/>
          <w:b/>
          <w:bCs/>
          <w:sz w:val="24"/>
          <w:szCs w:val="24"/>
        </w:rPr>
        <w:t xml:space="preserve"> mIgG2a and </w:t>
      </w:r>
      <w:r w:rsidR="00B157AF">
        <w:rPr>
          <w:rFonts w:ascii="Times New Roman" w:hAnsi="Times New Roman" w:cs="Times New Roman"/>
          <w:b/>
          <w:bCs/>
          <w:sz w:val="24"/>
          <w:szCs w:val="24"/>
        </w:rPr>
        <w:t>mOX40L-FP</w:t>
      </w:r>
      <w:r w:rsidR="004D7E26">
        <w:rPr>
          <w:rFonts w:ascii="Times New Roman" w:hAnsi="Times New Roman" w:cs="Times New Roman"/>
          <w:b/>
          <w:bCs/>
          <w:sz w:val="24"/>
          <w:szCs w:val="24"/>
        </w:rPr>
        <w:t xml:space="preserve"> mIgG1 induces increased </w:t>
      </w:r>
      <w:r w:rsidR="00B164C1">
        <w:rPr>
          <w:rFonts w:ascii="Times New Roman" w:hAnsi="Times New Roman" w:cs="Times New Roman"/>
          <w:b/>
          <w:bCs/>
          <w:sz w:val="24"/>
          <w:szCs w:val="24"/>
        </w:rPr>
        <w:t>survival of mice bearing B16</w:t>
      </w:r>
      <w:r w:rsidR="00AC397A">
        <w:rPr>
          <w:rFonts w:ascii="Times New Roman" w:hAnsi="Times New Roman" w:cs="Times New Roman"/>
          <w:b/>
          <w:bCs/>
          <w:sz w:val="24"/>
          <w:szCs w:val="24"/>
        </w:rPr>
        <w:t>F10-Luc2</w:t>
      </w:r>
      <w:r w:rsidR="004D7E26">
        <w:rPr>
          <w:rFonts w:ascii="Times New Roman" w:hAnsi="Times New Roman" w:cs="Times New Roman"/>
          <w:b/>
          <w:bCs/>
          <w:sz w:val="24"/>
          <w:szCs w:val="24"/>
        </w:rPr>
        <w:t xml:space="preserve"> tumors compared to monotherapy treatment.</w:t>
      </w:r>
    </w:p>
    <w:p w:rsidR="004D7E26" w:rsidRDefault="004D7E26" w:rsidP="005F0D77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B16</w:t>
      </w:r>
      <w:r w:rsidR="00AC397A">
        <w:rPr>
          <w:rFonts w:ascii="Times New Roman" w:hAnsi="Times New Roman" w:cs="Times New Roman"/>
          <w:sz w:val="24"/>
          <w:szCs w:val="24"/>
        </w:rPr>
        <w:t>F10-Luc2</w:t>
      </w:r>
      <w:r>
        <w:rPr>
          <w:rFonts w:ascii="Times New Roman" w:hAnsi="Times New Roman" w:cs="Times New Roman"/>
          <w:sz w:val="24"/>
          <w:szCs w:val="24"/>
        </w:rPr>
        <w:t xml:space="preserve"> tumor bearing mice were dosed i.p. with saline, 25 mg/kg </w:t>
      </w:r>
      <w:r w:rsidR="00B157AF">
        <w:rPr>
          <w:rFonts w:ascii="Times New Roman" w:hAnsi="Times New Roman" w:cs="Times New Roman"/>
          <w:sz w:val="24"/>
          <w:szCs w:val="24"/>
        </w:rPr>
        <w:t>mGITRL-FP</w:t>
      </w:r>
      <w:r>
        <w:rPr>
          <w:rFonts w:ascii="Times New Roman" w:hAnsi="Times New Roman" w:cs="Times New Roman"/>
          <w:sz w:val="24"/>
          <w:szCs w:val="24"/>
        </w:rPr>
        <w:t xml:space="preserve"> mIgG2a biweekly for two weeks, 15 mg/kg </w:t>
      </w:r>
      <w:r w:rsidR="00B157AF">
        <w:rPr>
          <w:rFonts w:ascii="Times New Roman" w:hAnsi="Times New Roman" w:cs="Times New Roman"/>
          <w:sz w:val="24"/>
          <w:szCs w:val="24"/>
        </w:rPr>
        <w:t>mOX40L-FP</w:t>
      </w:r>
      <w:r>
        <w:rPr>
          <w:rFonts w:ascii="Times New Roman" w:hAnsi="Times New Roman" w:cs="Times New Roman"/>
          <w:sz w:val="24"/>
          <w:szCs w:val="24"/>
        </w:rPr>
        <w:t xml:space="preserve"> mIgG1 bi weekly for three weeks or a combination of both molecules and survival measured. </w:t>
      </w:r>
      <w:r w:rsidR="00B53045">
        <w:rPr>
          <w:rFonts w:ascii="Times New Roman" w:hAnsi="Times New Roman" w:cs="Times New Roman"/>
          <w:sz w:val="24"/>
          <w:szCs w:val="24"/>
        </w:rPr>
        <w:t>Log Rank test, where *** indicates a P-value &lt;</w:t>
      </w:r>
      <w:r w:rsidR="00AC397A">
        <w:rPr>
          <w:rFonts w:ascii="Times New Roman" w:hAnsi="Times New Roman" w:cs="Times New Roman"/>
          <w:sz w:val="24"/>
          <w:szCs w:val="24"/>
        </w:rPr>
        <w:t xml:space="preserve">0.001, </w:t>
      </w:r>
      <w:r w:rsidR="00B53045">
        <w:rPr>
          <w:rFonts w:ascii="Times New Roman" w:hAnsi="Times New Roman" w:cs="Times New Roman"/>
          <w:sz w:val="24"/>
          <w:szCs w:val="24"/>
        </w:rPr>
        <w:t xml:space="preserve">** </w:t>
      </w:r>
      <w:r w:rsidR="00FD500E">
        <w:rPr>
          <w:rFonts w:ascii="Times New Roman" w:hAnsi="Times New Roman" w:cs="Times New Roman"/>
          <w:sz w:val="24"/>
          <w:szCs w:val="24"/>
        </w:rPr>
        <w:t>indicates</w:t>
      </w:r>
      <w:r w:rsidR="00AC397A">
        <w:rPr>
          <w:rFonts w:ascii="Times New Roman" w:hAnsi="Times New Roman" w:cs="Times New Roman"/>
          <w:sz w:val="24"/>
          <w:szCs w:val="24"/>
        </w:rPr>
        <w:t xml:space="preserve"> a P-value &lt;0.01 and * indicates a P-value of &lt;0.05.</w:t>
      </w:r>
      <w:r w:rsidR="003A37E0">
        <w:rPr>
          <w:rFonts w:ascii="Times New Roman" w:hAnsi="Times New Roman" w:cs="Times New Roman"/>
          <w:sz w:val="24"/>
          <w:szCs w:val="24"/>
        </w:rPr>
        <w:t xml:space="preserve"> N=8 mice per group.</w:t>
      </w:r>
      <w:r w:rsidR="00C85F67">
        <w:rPr>
          <w:rFonts w:ascii="Times New Roman" w:hAnsi="Times New Roman" w:cs="Times New Roman"/>
          <w:sz w:val="24"/>
          <w:szCs w:val="24"/>
        </w:rPr>
        <w:t xml:space="preserve"> Data is one representative of two independent experiments.</w:t>
      </w:r>
    </w:p>
    <w:bookmarkEnd w:id="1"/>
    <w:p w:rsidR="00727763" w:rsidRDefault="00727763" w:rsidP="005F0D77">
      <w:pPr>
        <w:pStyle w:val="ListParagraph"/>
        <w:spacing w:line="48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A7288" w:rsidRDefault="00BA7288" w:rsidP="005F0D77">
      <w:pPr>
        <w:pStyle w:val="ListParagraph"/>
        <w:spacing w:line="48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6F52" w:rsidRPr="002D2A9A" w:rsidRDefault="00727763" w:rsidP="005F0D77">
      <w:pPr>
        <w:spacing w:line="48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6418A60" wp14:editId="2B665A4B">
                <wp:simplePos x="0" y="0"/>
                <wp:positionH relativeFrom="column">
                  <wp:posOffset>13567410</wp:posOffset>
                </wp:positionH>
                <wp:positionV relativeFrom="paragraph">
                  <wp:posOffset>403860</wp:posOffset>
                </wp:positionV>
                <wp:extent cx="433070" cy="307340"/>
                <wp:effectExtent l="0" t="0" r="0" b="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7763" w:rsidRDefault="00727763" w:rsidP="0072776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0/6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418A60" id="_x0000_t202" coordsize="21600,21600" o:spt="202" path="m,l,21600r21600,l21600,xe">
                <v:stroke joinstyle="miter"/>
                <v:path gradientshapeok="t" o:connecttype="rect"/>
              </v:shapetype>
              <v:shape id="TextBox 30" o:spid="_x0000_s1026" type="#_x0000_t202" style="position:absolute;margin-left:1068.3pt;margin-top:31.8pt;width:34.1pt;height:24.2pt;z-index:2516833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" filled="f" stroked="f">
                <v:textbox style="mso-fit-shape-to-text:t">
                  <w:txbxContent>
                    <w:p w:rsidR="00727763" w:rsidRDefault="00727763" w:rsidP="0072776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0/6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A2CBC9" wp14:editId="50709E02">
                <wp:simplePos x="0" y="0"/>
                <wp:positionH relativeFrom="column">
                  <wp:posOffset>17025620</wp:posOffset>
                </wp:positionH>
                <wp:positionV relativeFrom="paragraph">
                  <wp:posOffset>403860</wp:posOffset>
                </wp:positionV>
                <wp:extent cx="433070" cy="307340"/>
                <wp:effectExtent l="0" t="0" r="0" b="0"/>
                <wp:wrapNone/>
                <wp:docPr id="30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7763" w:rsidRDefault="00727763" w:rsidP="0072776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5/7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A2CBC9" id="TextBox 29" o:spid="_x0000_s1027" type="#_x0000_t202" style="position:absolute;margin-left:1340.6pt;margin-top:31.8pt;width:34.1pt;height:24.2pt;z-index:2516700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" filled="f" stroked="f">
                <v:textbox style="mso-fit-shape-to-text:t">
                  <w:txbxContent>
                    <w:p w:rsidR="00727763" w:rsidRDefault="00727763" w:rsidP="0072776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5/7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6A9137" wp14:editId="1251A055">
                <wp:simplePos x="0" y="0"/>
                <wp:positionH relativeFrom="column">
                  <wp:posOffset>9620250</wp:posOffset>
                </wp:positionH>
                <wp:positionV relativeFrom="paragraph">
                  <wp:posOffset>403860</wp:posOffset>
                </wp:positionV>
                <wp:extent cx="433070" cy="307340"/>
                <wp:effectExtent l="0" t="0" r="0" b="0"/>
                <wp:wrapNone/>
                <wp:docPr id="28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7763" w:rsidRDefault="00727763" w:rsidP="00727763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0/6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6A9137" id="TextBox 27" o:spid="_x0000_s1028" type="#_x0000_t202" style="position:absolute;margin-left:757.5pt;margin-top:31.8pt;width:34.1pt;height:24.2pt;z-index:2516567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" filled="f" stroked="f">
                <v:textbox style="mso-fit-shape-to-text:t">
                  <w:txbxContent>
                    <w:p w:rsidR="00727763" w:rsidRDefault="00727763" w:rsidP="00727763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0/6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6F52" w:rsidRPr="002D2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50"/>
    <w:rsid w:val="00011A14"/>
    <w:rsid w:val="00023ED4"/>
    <w:rsid w:val="00061ECE"/>
    <w:rsid w:val="000644E8"/>
    <w:rsid w:val="00093762"/>
    <w:rsid w:val="000B1FA1"/>
    <w:rsid w:val="000D0FB1"/>
    <w:rsid w:val="0013659E"/>
    <w:rsid w:val="00156B74"/>
    <w:rsid w:val="0016108F"/>
    <w:rsid w:val="00192D5D"/>
    <w:rsid w:val="001934BA"/>
    <w:rsid w:val="00194162"/>
    <w:rsid w:val="00194A15"/>
    <w:rsid w:val="001A4460"/>
    <w:rsid w:val="001F0C03"/>
    <w:rsid w:val="00225316"/>
    <w:rsid w:val="00267591"/>
    <w:rsid w:val="00297C7F"/>
    <w:rsid w:val="002D2A9A"/>
    <w:rsid w:val="002E26F7"/>
    <w:rsid w:val="00353D78"/>
    <w:rsid w:val="003A37E0"/>
    <w:rsid w:val="003C075E"/>
    <w:rsid w:val="003C4B25"/>
    <w:rsid w:val="003E4FB4"/>
    <w:rsid w:val="003F5605"/>
    <w:rsid w:val="00436ECE"/>
    <w:rsid w:val="004516B0"/>
    <w:rsid w:val="004556E4"/>
    <w:rsid w:val="004D34DA"/>
    <w:rsid w:val="004D5327"/>
    <w:rsid w:val="004D7E26"/>
    <w:rsid w:val="004E082C"/>
    <w:rsid w:val="00547CF0"/>
    <w:rsid w:val="005F0D77"/>
    <w:rsid w:val="00635640"/>
    <w:rsid w:val="00675447"/>
    <w:rsid w:val="006C095B"/>
    <w:rsid w:val="007012DC"/>
    <w:rsid w:val="00706A53"/>
    <w:rsid w:val="00717618"/>
    <w:rsid w:val="00724D56"/>
    <w:rsid w:val="00727763"/>
    <w:rsid w:val="007453E9"/>
    <w:rsid w:val="00774804"/>
    <w:rsid w:val="007B3B5E"/>
    <w:rsid w:val="00800870"/>
    <w:rsid w:val="008060B6"/>
    <w:rsid w:val="0082470F"/>
    <w:rsid w:val="0084798F"/>
    <w:rsid w:val="00887F44"/>
    <w:rsid w:val="008A1BA1"/>
    <w:rsid w:val="008C62FF"/>
    <w:rsid w:val="008D71DE"/>
    <w:rsid w:val="00926834"/>
    <w:rsid w:val="00934B1F"/>
    <w:rsid w:val="00937A28"/>
    <w:rsid w:val="00996A8D"/>
    <w:rsid w:val="009A5C82"/>
    <w:rsid w:val="00AC397A"/>
    <w:rsid w:val="00AC76C3"/>
    <w:rsid w:val="00AD43FB"/>
    <w:rsid w:val="00AD4C15"/>
    <w:rsid w:val="00AF2719"/>
    <w:rsid w:val="00AF54AF"/>
    <w:rsid w:val="00B053C6"/>
    <w:rsid w:val="00B157AF"/>
    <w:rsid w:val="00B164C1"/>
    <w:rsid w:val="00B24165"/>
    <w:rsid w:val="00B26CA0"/>
    <w:rsid w:val="00B340FC"/>
    <w:rsid w:val="00B53045"/>
    <w:rsid w:val="00B932C6"/>
    <w:rsid w:val="00B95E39"/>
    <w:rsid w:val="00BA4A34"/>
    <w:rsid w:val="00BA7288"/>
    <w:rsid w:val="00BB17F0"/>
    <w:rsid w:val="00BB5DD1"/>
    <w:rsid w:val="00BC66C4"/>
    <w:rsid w:val="00BD3A4D"/>
    <w:rsid w:val="00BD7BC7"/>
    <w:rsid w:val="00C45463"/>
    <w:rsid w:val="00C724D4"/>
    <w:rsid w:val="00C734C3"/>
    <w:rsid w:val="00C85F67"/>
    <w:rsid w:val="00CC417A"/>
    <w:rsid w:val="00D05D2A"/>
    <w:rsid w:val="00D153C8"/>
    <w:rsid w:val="00D508FF"/>
    <w:rsid w:val="00D74E99"/>
    <w:rsid w:val="00DF0D6E"/>
    <w:rsid w:val="00DF20C5"/>
    <w:rsid w:val="00E00F02"/>
    <w:rsid w:val="00E23198"/>
    <w:rsid w:val="00E3529A"/>
    <w:rsid w:val="00E961F1"/>
    <w:rsid w:val="00EA03BD"/>
    <w:rsid w:val="00EB3D50"/>
    <w:rsid w:val="00EC7EF3"/>
    <w:rsid w:val="00F00448"/>
    <w:rsid w:val="00F02A3E"/>
    <w:rsid w:val="00F44FB9"/>
    <w:rsid w:val="00F675CF"/>
    <w:rsid w:val="00F72E22"/>
    <w:rsid w:val="00FA2B06"/>
    <w:rsid w:val="00FB48F2"/>
    <w:rsid w:val="00FD500E"/>
    <w:rsid w:val="00FF1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093127-3F54-42A1-BDFC-3EB43DDCB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link w:val="ParagraphChar"/>
    <w:rsid w:val="00061ECE"/>
    <w:pPr>
      <w:spacing w:after="240" w:line="30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ParagraphChar">
    <w:name w:val="Paragraph Char"/>
    <w:link w:val="Paragraph"/>
    <w:locked/>
    <w:rsid w:val="00061ECE"/>
    <w:rPr>
      <w:rFonts w:ascii="Times New Roman" w:eastAsia="SimSu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E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2776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4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MedImmune</Company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Leyland, Rebecca</dc:creator>
  <cp:lastModifiedBy>Leyland, Rebecca (Oncology)</cp:lastModifiedBy>
  <cp:revision>8</cp:revision>
  <dcterms:created xsi:type="dcterms:W3CDTF">2016-12-08T13:13:00Z</dcterms:created>
  <dcterms:modified xsi:type="dcterms:W3CDTF">2016-12-12T14:11:00Z</dcterms:modified>
</cp:coreProperties>
</file>